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0"/>
        <w:rPr>
          <w:rFonts w:hint="eastAsia"/>
        </w:rPr>
      </w:pPr>
    </w:p>
    <w:p>
      <w:pPr>
        <w:ind w:firstLine="539"/>
        <w:jc w:val="center"/>
        <w:rPr>
          <w:rFonts w:ascii="宋体" w:hAnsi="宋体" w:cs="宋体"/>
          <w:sz w:val="84"/>
          <w:szCs w:val="84"/>
        </w:rPr>
      </w:pPr>
      <w:bookmarkStart w:id="253" w:name="_GoBack"/>
      <w:r>
        <w:rPr>
          <w:rFonts w:hint="eastAsia" w:ascii="宋体" w:hAnsi="宋体" w:cs="宋体"/>
          <w:b/>
          <w:bCs/>
          <w:sz w:val="44"/>
          <w:szCs w:val="24"/>
        </w:rPr>
        <w:t>东乡经济开发区化工集中区安全智能管控平台建设项目(三期)项目采购</w:t>
      </w:r>
    </w:p>
    <w:bookmarkEnd w:id="253"/>
    <w:p>
      <w:pPr>
        <w:ind w:firstLine="539"/>
        <w:jc w:val="center"/>
        <w:rPr>
          <w:rFonts w:ascii="宋体" w:hAnsi="宋体" w:cs="宋体"/>
          <w:sz w:val="84"/>
          <w:szCs w:val="84"/>
        </w:rPr>
      </w:pPr>
    </w:p>
    <w:p>
      <w:pPr>
        <w:ind w:firstLine="539"/>
        <w:jc w:val="center"/>
        <w:rPr>
          <w:rFonts w:ascii="宋体" w:hAnsi="宋体" w:cs="宋体"/>
          <w:sz w:val="84"/>
          <w:szCs w:val="84"/>
        </w:rPr>
      </w:pPr>
    </w:p>
    <w:p>
      <w:pPr>
        <w:ind w:firstLine="539"/>
        <w:jc w:val="center"/>
        <w:rPr>
          <w:rFonts w:hint="eastAsia" w:ascii="宋体" w:hAnsi="宋体" w:cs="宋体"/>
          <w:sz w:val="84"/>
          <w:szCs w:val="84"/>
        </w:rPr>
      </w:pPr>
    </w:p>
    <w:p>
      <w:pPr>
        <w:ind w:firstLine="539"/>
        <w:jc w:val="center"/>
        <w:rPr>
          <w:rFonts w:ascii="宋体" w:hAnsi="宋体" w:cs="宋体"/>
          <w:sz w:val="84"/>
          <w:szCs w:val="84"/>
        </w:rPr>
      </w:pPr>
    </w:p>
    <w:p>
      <w:pPr>
        <w:ind w:firstLine="539"/>
        <w:jc w:val="center"/>
        <w:rPr>
          <w:rFonts w:hint="eastAsia" w:ascii="宋体" w:hAnsi="宋体" w:cs="宋体"/>
          <w:sz w:val="84"/>
          <w:szCs w:val="84"/>
        </w:rPr>
      </w:pPr>
      <w:r>
        <w:rPr>
          <w:rFonts w:hint="eastAsia" w:ascii="宋体" w:hAnsi="宋体" w:cs="宋体"/>
          <w:sz w:val="84"/>
          <w:szCs w:val="84"/>
        </w:rPr>
        <w:t>公开招标文件</w:t>
      </w:r>
    </w:p>
    <w:p>
      <w:pPr>
        <w:pStyle w:val="3"/>
        <w:jc w:val="center"/>
        <w:rPr>
          <w:rFonts w:ascii="宋体" w:hAnsi="宋体" w:eastAsia="宋体" w:cs="宋体"/>
        </w:rPr>
      </w:pPr>
      <w:bookmarkStart w:id="0" w:name="_Toc163636231"/>
      <w:r>
        <w:rPr>
          <w:rFonts w:hint="eastAsia" w:ascii="宋体" w:hAnsi="宋体" w:cs="宋体"/>
          <w:b w:val="0"/>
          <w:bCs w:val="0"/>
        </w:rPr>
        <w:t>项目编号：</w:t>
      </w:r>
      <w:r>
        <w:rPr>
          <w:rFonts w:hint="eastAsia" w:ascii="仿宋" w:hAnsi="仿宋" w:cs="仿宋"/>
        </w:rPr>
        <w:t>JXZS2024005</w:t>
      </w:r>
      <w:bookmarkEnd w:id="0"/>
    </w:p>
    <w:p/>
    <w:p>
      <w:pPr>
        <w:pStyle w:val="31"/>
      </w:pPr>
    </w:p>
    <w:p>
      <w:pPr>
        <w:pStyle w:val="31"/>
        <w:rPr>
          <w:rFonts w:hint="eastAsia"/>
        </w:rPr>
      </w:pPr>
    </w:p>
    <w:p>
      <w:pPr>
        <w:pStyle w:val="31"/>
      </w:pPr>
    </w:p>
    <w:p>
      <w:pPr>
        <w:pStyle w:val="31"/>
      </w:pPr>
    </w:p>
    <w:p>
      <w:pPr>
        <w:pStyle w:val="31"/>
      </w:pPr>
    </w:p>
    <w:p>
      <w:pPr>
        <w:pStyle w:val="31"/>
      </w:pPr>
    </w:p>
    <w:p>
      <w:pPr>
        <w:pStyle w:val="31"/>
      </w:pPr>
    </w:p>
    <w:p>
      <w:pPr>
        <w:pStyle w:val="31"/>
        <w:rPr>
          <w:rFonts w:hint="eastAsia"/>
        </w:rPr>
      </w:pPr>
    </w:p>
    <w:p>
      <w:pPr>
        <w:pStyle w:val="31"/>
      </w:pPr>
    </w:p>
    <w:p>
      <w:pPr>
        <w:pStyle w:val="31"/>
      </w:pPr>
    </w:p>
    <w:p>
      <w:pPr>
        <w:pStyle w:val="31"/>
        <w:rPr>
          <w:rFonts w:hint="eastAsia"/>
        </w:rPr>
      </w:pPr>
    </w:p>
    <w:p>
      <w:pPr>
        <w:spacing w:line="480" w:lineRule="auto"/>
        <w:jc w:val="center"/>
        <w:rPr>
          <w:rFonts w:hint="eastAsia" w:ascii="宋体" w:hAnsi="宋体" w:cs="宋体"/>
          <w:b/>
          <w:sz w:val="36"/>
        </w:rPr>
      </w:pPr>
      <w:r>
        <w:rPr>
          <w:rFonts w:hint="eastAsia" w:ascii="宋体" w:hAnsi="宋体" w:cs="宋体"/>
          <w:b/>
          <w:sz w:val="36"/>
        </w:rPr>
        <w:t>江西中铖工程管理有限公司</w:t>
      </w:r>
    </w:p>
    <w:p>
      <w:pPr>
        <w:spacing w:line="480" w:lineRule="auto"/>
        <w:jc w:val="center"/>
        <w:rPr>
          <w:rFonts w:hint="eastAsia" w:ascii="宋体" w:hAnsi="宋体" w:cs="宋体"/>
          <w:b/>
          <w:sz w:val="36"/>
        </w:rPr>
      </w:pPr>
      <w:r>
        <w:rPr>
          <w:rFonts w:hint="eastAsia" w:ascii="宋体" w:hAnsi="宋体" w:cs="宋体"/>
          <w:b/>
          <w:sz w:val="36"/>
        </w:rPr>
        <w:t xml:space="preserve">中国 </w:t>
      </w:r>
      <w:r>
        <w:rPr>
          <w:rFonts w:hint="eastAsia" w:ascii="宋体" w:hAnsi="宋体" w:cs="宋体"/>
          <w:b/>
          <w:sz w:val="24"/>
        </w:rPr>
        <w:t>.</w:t>
      </w:r>
      <w:r>
        <w:rPr>
          <w:rFonts w:hint="eastAsia" w:ascii="宋体" w:hAnsi="宋体" w:cs="宋体"/>
          <w:b/>
          <w:sz w:val="36"/>
        </w:rPr>
        <w:t xml:space="preserve"> 东乡</w:t>
      </w:r>
    </w:p>
    <w:p>
      <w:pPr>
        <w:spacing w:line="480" w:lineRule="auto"/>
        <w:jc w:val="center"/>
        <w:rPr>
          <w:rFonts w:hint="eastAsia" w:ascii="宋体" w:hAnsi="宋体" w:cs="宋体"/>
          <w:b/>
          <w:sz w:val="36"/>
        </w:rPr>
        <w:sectPr>
          <w:headerReference r:id="rId5" w:type="first"/>
          <w:footerReference r:id="rId8" w:type="first"/>
          <w:headerReference r:id="rId3" w:type="default"/>
          <w:footerReference r:id="rId6" w:type="default"/>
          <w:headerReference r:id="rId4" w:type="even"/>
          <w:footerReference r:id="rId7" w:type="even"/>
          <w:pgSz w:w="11906" w:h="16838"/>
          <w:pgMar w:top="1247" w:right="1417" w:bottom="1702" w:left="1417" w:header="851" w:footer="992" w:gutter="0"/>
          <w:pgNumType w:fmt="upperRoman" w:start="1"/>
          <w:cols w:space="720" w:num="1"/>
          <w:titlePg/>
          <w:docGrid w:linePitch="312" w:charSpace="0"/>
        </w:sectPr>
      </w:pPr>
    </w:p>
    <w:p>
      <w:pPr>
        <w:adjustRightInd w:val="0"/>
        <w:snapToGrid w:val="0"/>
        <w:spacing w:line="360" w:lineRule="auto"/>
        <w:ind w:firstLine="539"/>
        <w:jc w:val="center"/>
        <w:rPr>
          <w:rFonts w:hint="eastAsia" w:ascii="宋体" w:hAnsi="宋体" w:cs="宋体"/>
          <w:bCs/>
          <w:sz w:val="52"/>
        </w:rPr>
      </w:pPr>
      <w:r>
        <w:rPr>
          <w:rFonts w:hint="eastAsia" w:ascii="宋体" w:hAnsi="宋体" w:cs="宋体"/>
          <w:bCs/>
          <w:sz w:val="52"/>
        </w:rPr>
        <w:t>目   录</w:t>
      </w:r>
    </w:p>
    <w:p>
      <w:pPr>
        <w:pStyle w:val="40"/>
        <w:rPr>
          <w:rFonts w:ascii="等线" w:hAnsi="等线" w:eastAsia="等线"/>
          <w:szCs w:val="22"/>
          <w:lang w:val="en-US" w:eastAsia="zh-CN"/>
        </w:rPr>
      </w:pPr>
      <w:r>
        <w:rPr>
          <w:rFonts w:hint="eastAsia" w:ascii="宋体" w:hAnsi="宋体" w:cs="宋体"/>
        </w:rPr>
        <w:fldChar w:fldCharType="begin"/>
      </w:r>
      <w:r>
        <w:rPr>
          <w:rStyle w:val="58"/>
          <w:rFonts w:hint="eastAsia" w:ascii="宋体" w:hAnsi="宋体" w:cs="宋体"/>
          <w:color w:val="auto"/>
        </w:rPr>
        <w:instrText xml:space="preserve"> TOC \o "1-3" \h \z \u </w:instrText>
      </w:r>
      <w:r>
        <w:rPr>
          <w:rFonts w:hint="eastAsia" w:ascii="宋体" w:hAnsi="宋体" w:cs="宋体"/>
        </w:rPr>
        <w:fldChar w:fldCharType="separate"/>
      </w:r>
      <w:r>
        <w:rPr>
          <w:rStyle w:val="58"/>
          <w:lang/>
        </w:rPr>
        <w:fldChar w:fldCharType="begin"/>
      </w:r>
      <w:r>
        <w:rPr>
          <w:rStyle w:val="58"/>
          <w:lang/>
        </w:rPr>
        <w:instrText xml:space="preserve"> </w:instrText>
      </w:r>
      <w:r>
        <w:rPr>
          <w:lang/>
        </w:rPr>
        <w:instrText xml:space="preserve">HYPERLINK \l "_Toc163636231"</w:instrText>
      </w:r>
      <w:r>
        <w:rPr>
          <w:rStyle w:val="58"/>
          <w:lang/>
        </w:rPr>
        <w:instrText xml:space="preserve"> </w:instrText>
      </w:r>
      <w:r>
        <w:rPr>
          <w:rStyle w:val="58"/>
          <w:lang/>
        </w:rPr>
        <w:fldChar w:fldCharType="separate"/>
      </w:r>
      <w:r>
        <w:rPr>
          <w:rStyle w:val="58"/>
          <w:rFonts w:ascii="宋体" w:hAnsi="宋体" w:cs="宋体"/>
          <w:lang/>
        </w:rPr>
        <w:t>项目编号：</w:t>
      </w:r>
      <w:r>
        <w:rPr>
          <w:rStyle w:val="58"/>
          <w:rFonts w:ascii="仿宋" w:hAnsi="仿宋" w:cs="仿宋"/>
          <w:lang/>
        </w:rPr>
        <w:t>JXZS2024005</w:t>
      </w:r>
      <w:r>
        <w:rPr>
          <w:lang/>
        </w:rPr>
        <w:tab/>
      </w:r>
      <w:r>
        <w:rPr>
          <w:lang/>
        </w:rPr>
        <w:fldChar w:fldCharType="begin"/>
      </w:r>
      <w:r>
        <w:rPr>
          <w:lang/>
        </w:rPr>
        <w:instrText xml:space="preserve"> PAGEREF _Toc163636231 \h </w:instrText>
      </w:r>
      <w:r>
        <w:rPr>
          <w:lang/>
        </w:rPr>
        <w:fldChar w:fldCharType="separate"/>
      </w:r>
      <w:r>
        <w:rPr>
          <w:lang/>
        </w:rPr>
        <w:t>I</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"_Toc163636232"</w:instrText>
      </w:r>
      <w:r>
        <w:rPr>
          <w:rStyle w:val="58"/>
          <w:lang/>
        </w:rPr>
        <w:instrText xml:space="preserve"> </w:instrText>
      </w:r>
      <w:r>
        <w:rPr>
          <w:rStyle w:val="58"/>
          <w:lang/>
        </w:rPr>
        <w:fldChar w:fldCharType="separate"/>
      </w:r>
      <w:r>
        <w:rPr>
          <w:rStyle w:val="58"/>
          <w:rFonts w:hAnsi="宋体" w:cs="宋体"/>
          <w:b/>
          <w:lang/>
        </w:rPr>
        <w:t>第一章　投标邀请</w:t>
      </w:r>
      <w:r>
        <w:rPr>
          <w:lang/>
        </w:rPr>
        <w:tab/>
      </w:r>
      <w:r>
        <w:rPr>
          <w:lang/>
        </w:rPr>
        <w:fldChar w:fldCharType="begin"/>
      </w:r>
      <w:r>
        <w:rPr>
          <w:lang/>
        </w:rPr>
        <w:instrText xml:space="preserve"> PAGEREF _Toc163636232 \h </w:instrText>
      </w:r>
      <w:r>
        <w:rPr>
          <w:lang/>
        </w:rPr>
        <w:fldChar w:fldCharType="separate"/>
      </w:r>
      <w:r>
        <w:rPr>
          <w:lang/>
        </w:rPr>
        <w:t>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"_Toc163636233"</w:instrText>
      </w:r>
      <w:r>
        <w:rPr>
          <w:rStyle w:val="58"/>
          <w:lang/>
        </w:rPr>
        <w:instrText xml:space="preserve"> </w:instrText>
      </w:r>
      <w:r>
        <w:rPr>
          <w:rStyle w:val="58"/>
          <w:lang/>
        </w:rPr>
        <w:fldChar w:fldCharType="separate"/>
      </w:r>
      <w:r>
        <w:rPr>
          <w:rStyle w:val="58"/>
          <w:rFonts w:ascii="宋体" w:hAnsi="宋体" w:cs="宋体"/>
          <w:lang/>
        </w:rPr>
        <w:t>一、项目基本情况</w:t>
      </w:r>
      <w:r>
        <w:rPr>
          <w:lang/>
        </w:rPr>
        <w:tab/>
      </w:r>
      <w:r>
        <w:rPr>
          <w:lang/>
        </w:rPr>
        <w:fldChar w:fldCharType="begin"/>
      </w:r>
      <w:r>
        <w:rPr>
          <w:lang/>
        </w:rPr>
        <w:instrText xml:space="preserve"> PAGEREF _Toc163636233 \h </w:instrText>
      </w:r>
      <w:r>
        <w:rPr>
          <w:lang/>
        </w:rPr>
        <w:fldChar w:fldCharType="separate"/>
      </w:r>
      <w:r>
        <w:rPr>
          <w:lang/>
        </w:rPr>
        <w:t>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"_Toc163636234"</w:instrText>
      </w:r>
      <w:r>
        <w:rPr>
          <w:rStyle w:val="58"/>
          <w:lang/>
        </w:rPr>
        <w:instrText xml:space="preserve"> </w:instrText>
      </w:r>
      <w:r>
        <w:rPr>
          <w:rStyle w:val="58"/>
          <w:lang/>
        </w:rPr>
        <w:fldChar w:fldCharType="separate"/>
      </w:r>
      <w:r>
        <w:rPr>
          <w:rStyle w:val="58"/>
          <w:rFonts w:ascii="宋体" w:hAnsi="宋体" w:cs="宋体"/>
          <w:lang/>
        </w:rPr>
        <w:t>二、申请人的资格要求</w:t>
      </w:r>
      <w:r>
        <w:rPr>
          <w:lang/>
        </w:rPr>
        <w:tab/>
      </w:r>
      <w:r>
        <w:rPr>
          <w:lang/>
        </w:rPr>
        <w:fldChar w:fldCharType="begin"/>
      </w:r>
      <w:r>
        <w:rPr>
          <w:lang/>
        </w:rPr>
        <w:instrText xml:space="preserve"> PAGEREF _Toc163636234 \h </w:instrText>
      </w:r>
      <w:r>
        <w:rPr>
          <w:lang/>
        </w:rPr>
        <w:fldChar w:fldCharType="separate"/>
      </w:r>
      <w:r>
        <w:rPr>
          <w:lang/>
        </w:rPr>
        <w:t>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"_Toc163636235"</w:instrText>
      </w:r>
      <w:r>
        <w:rPr>
          <w:rStyle w:val="58"/>
          <w:lang/>
        </w:rPr>
        <w:instrText xml:space="preserve"> </w:instrText>
      </w:r>
      <w:r>
        <w:rPr>
          <w:rStyle w:val="58"/>
          <w:lang/>
        </w:rPr>
        <w:fldChar w:fldCharType="separate"/>
      </w:r>
      <w:r>
        <w:rPr>
          <w:rStyle w:val="58"/>
          <w:rFonts w:ascii="宋体" w:hAnsi="宋体" w:cs="宋体"/>
          <w:lang/>
        </w:rPr>
        <w:t>三、获取招标文件</w:t>
      </w:r>
      <w:r>
        <w:rPr>
          <w:lang/>
        </w:rPr>
        <w:tab/>
      </w:r>
      <w:r>
        <w:rPr>
          <w:lang/>
        </w:rPr>
        <w:fldChar w:fldCharType="begin"/>
      </w:r>
      <w:r>
        <w:rPr>
          <w:lang/>
        </w:rPr>
        <w:instrText xml:space="preserve"> PAGEREF _Toc163636235 \h </w:instrText>
      </w:r>
      <w:r>
        <w:rPr>
          <w:lang/>
        </w:rPr>
        <w:fldChar w:fldCharType="separate"/>
      </w:r>
      <w:r>
        <w:rPr>
          <w:lang/>
        </w:rPr>
        <w:t>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"_Toc163636236"</w:instrText>
      </w:r>
      <w:r>
        <w:rPr>
          <w:rStyle w:val="58"/>
          <w:lang/>
        </w:rPr>
        <w:instrText xml:space="preserve"> </w:instrText>
      </w:r>
      <w:r>
        <w:rPr>
          <w:rStyle w:val="58"/>
          <w:lang/>
        </w:rPr>
        <w:fldChar w:fldCharType="separate"/>
      </w:r>
      <w:r>
        <w:rPr>
          <w:rStyle w:val="58"/>
          <w:rFonts w:ascii="宋体" w:hAnsi="宋体" w:cs="宋体"/>
          <w:lang/>
        </w:rPr>
        <w:t>四、提交投标文件截止时间、开标时间和地点</w:t>
      </w:r>
      <w:r>
        <w:rPr>
          <w:lang/>
        </w:rPr>
        <w:tab/>
      </w:r>
      <w:r>
        <w:rPr>
          <w:lang/>
        </w:rPr>
        <w:fldChar w:fldCharType="begin"/>
      </w:r>
      <w:r>
        <w:rPr>
          <w:lang/>
        </w:rPr>
        <w:instrText xml:space="preserve"> PAGEREF _Toc163636236 \h </w:instrText>
      </w:r>
      <w:r>
        <w:rPr>
          <w:lang/>
        </w:rPr>
        <w:fldChar w:fldCharType="separate"/>
      </w:r>
      <w:r>
        <w:rPr>
          <w:lang/>
        </w:rPr>
        <w:t>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"_Toc163636237"</w:instrText>
      </w:r>
      <w:r>
        <w:rPr>
          <w:rStyle w:val="58"/>
          <w:lang/>
        </w:rPr>
        <w:instrText xml:space="preserve"> </w:instrText>
      </w:r>
      <w:r>
        <w:rPr>
          <w:rStyle w:val="58"/>
          <w:lang/>
        </w:rPr>
        <w:fldChar w:fldCharType="separate"/>
      </w:r>
      <w:r>
        <w:rPr>
          <w:rStyle w:val="58"/>
          <w:rFonts w:ascii="宋体" w:hAnsi="宋体" w:cs="宋体"/>
          <w:lang/>
        </w:rPr>
        <w:t>五、公告期限</w:t>
      </w:r>
      <w:r>
        <w:rPr>
          <w:lang/>
        </w:rPr>
        <w:tab/>
      </w:r>
      <w:r>
        <w:rPr>
          <w:lang/>
        </w:rPr>
        <w:fldChar w:fldCharType="begin"/>
      </w:r>
      <w:r>
        <w:rPr>
          <w:lang/>
        </w:rPr>
        <w:instrText xml:space="preserve"> PAGEREF _Toc163636237 \h </w:instrText>
      </w:r>
      <w:r>
        <w:rPr>
          <w:lang/>
        </w:rPr>
        <w:fldChar w:fldCharType="separate"/>
      </w:r>
      <w:r>
        <w:rPr>
          <w:lang/>
        </w:rPr>
        <w:t>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"_Toc163636238"</w:instrText>
      </w:r>
      <w:r>
        <w:rPr>
          <w:rStyle w:val="58"/>
          <w:lang/>
        </w:rPr>
        <w:instrText xml:space="preserve"> </w:instrText>
      </w:r>
      <w:r>
        <w:rPr>
          <w:rStyle w:val="58"/>
          <w:lang/>
        </w:rPr>
        <w:fldChar w:fldCharType="separate"/>
      </w:r>
      <w:r>
        <w:rPr>
          <w:rStyle w:val="58"/>
          <w:rFonts w:ascii="宋体" w:hAnsi="宋体" w:cs="宋体"/>
          <w:lang/>
        </w:rPr>
        <w:t>六、其他补充事宜</w:t>
      </w:r>
      <w:r>
        <w:rPr>
          <w:lang/>
        </w:rPr>
        <w:tab/>
      </w:r>
      <w:r>
        <w:rPr>
          <w:lang/>
        </w:rPr>
        <w:fldChar w:fldCharType="begin"/>
      </w:r>
      <w:r>
        <w:rPr>
          <w:lang/>
        </w:rPr>
        <w:instrText xml:space="preserve"> PAGEREF _Toc163636238 \h </w:instrText>
      </w:r>
      <w:r>
        <w:rPr>
          <w:lang/>
        </w:rPr>
        <w:fldChar w:fldCharType="separate"/>
      </w:r>
      <w:r>
        <w:rPr>
          <w:lang/>
        </w:rPr>
        <w:t>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"_Toc163636239"</w:instrText>
      </w:r>
      <w:r>
        <w:rPr>
          <w:rStyle w:val="58"/>
          <w:lang/>
        </w:rPr>
        <w:instrText xml:space="preserve"> </w:instrText>
      </w:r>
      <w:r>
        <w:rPr>
          <w:rStyle w:val="58"/>
          <w:lang/>
        </w:rPr>
        <w:fldChar w:fldCharType="separate"/>
      </w:r>
      <w:r>
        <w:rPr>
          <w:rStyle w:val="58"/>
          <w:rFonts w:ascii="宋体" w:hAnsi="宋体" w:cs="宋体"/>
          <w:lang/>
        </w:rPr>
        <w:t>七、对本次招标提出询问，请按以下方式联系。</w:t>
      </w:r>
      <w:r>
        <w:rPr>
          <w:lang/>
        </w:rPr>
        <w:tab/>
      </w:r>
      <w:r>
        <w:rPr>
          <w:lang/>
        </w:rPr>
        <w:fldChar w:fldCharType="begin"/>
      </w:r>
      <w:r>
        <w:rPr>
          <w:lang/>
        </w:rPr>
        <w:instrText xml:space="preserve"> PAGEREF _Toc163636239 \h </w:instrText>
      </w:r>
      <w:r>
        <w:rPr>
          <w:lang/>
        </w:rPr>
        <w:fldChar w:fldCharType="separate"/>
      </w:r>
      <w:r>
        <w:rPr>
          <w:lang/>
        </w:rPr>
        <w:t>3</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"_Toc163636240"</w:instrText>
      </w:r>
      <w:r>
        <w:rPr>
          <w:rStyle w:val="58"/>
          <w:lang/>
        </w:rPr>
        <w:instrText xml:space="preserve"> </w:instrText>
      </w:r>
      <w:r>
        <w:rPr>
          <w:rStyle w:val="58"/>
          <w:lang/>
        </w:rPr>
        <w:fldChar w:fldCharType="separate"/>
      </w:r>
      <w:r>
        <w:rPr>
          <w:rStyle w:val="58"/>
          <w:rFonts w:hAnsi="宋体" w:cs="宋体"/>
          <w:b/>
          <w:bCs/>
          <w:lang/>
        </w:rPr>
        <w:t>第二章　投标人须知</w:t>
      </w:r>
      <w:r>
        <w:rPr>
          <w:lang/>
        </w:rPr>
        <w:tab/>
      </w:r>
      <w:r>
        <w:rPr>
          <w:lang/>
        </w:rPr>
        <w:fldChar w:fldCharType="begin"/>
      </w:r>
      <w:r>
        <w:rPr>
          <w:lang/>
        </w:rPr>
        <w:instrText xml:space="preserve"> PAGEREF _Toc163636240 \h </w:instrText>
      </w:r>
      <w:r>
        <w:rPr>
          <w:lang/>
        </w:rPr>
        <w:fldChar w:fldCharType="separate"/>
      </w:r>
      <w:r>
        <w:rPr>
          <w:lang/>
        </w:rPr>
        <w:t>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"_Toc163636241"</w:instrText>
      </w:r>
      <w:r>
        <w:rPr>
          <w:rStyle w:val="58"/>
          <w:lang/>
        </w:rPr>
        <w:instrText xml:space="preserve"> </w:instrText>
      </w:r>
      <w:r>
        <w:rPr>
          <w:rStyle w:val="58"/>
          <w:lang/>
        </w:rPr>
        <w:fldChar w:fldCharType="separate"/>
      </w:r>
      <w:r>
        <w:rPr>
          <w:rStyle w:val="58"/>
          <w:rFonts w:ascii="宋体" w:hAnsi="宋体" w:cs="宋体"/>
          <w:lang/>
        </w:rPr>
        <w:t>一、投标人须知前附表</w:t>
      </w:r>
      <w:r>
        <w:rPr>
          <w:lang/>
        </w:rPr>
        <w:tab/>
      </w:r>
      <w:r>
        <w:rPr>
          <w:lang/>
        </w:rPr>
        <w:fldChar w:fldCharType="begin"/>
      </w:r>
      <w:r>
        <w:rPr>
          <w:lang/>
        </w:rPr>
        <w:instrText xml:space="preserve"> PAGEREF _Toc163636241 \h </w:instrText>
      </w:r>
      <w:r>
        <w:rPr>
          <w:lang/>
        </w:rPr>
        <w:fldChar w:fldCharType="separate"/>
      </w:r>
      <w:r>
        <w:rPr>
          <w:lang/>
        </w:rPr>
        <w:t>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"_Toc163636242"</w:instrText>
      </w:r>
      <w:r>
        <w:rPr>
          <w:rStyle w:val="58"/>
          <w:lang/>
        </w:rPr>
        <w:instrText xml:space="preserve"> </w:instrText>
      </w:r>
      <w:r>
        <w:rPr>
          <w:rStyle w:val="58"/>
          <w:lang/>
        </w:rPr>
        <w:fldChar w:fldCharType="separate"/>
      </w:r>
      <w:r>
        <w:rPr>
          <w:rStyle w:val="58"/>
          <w:rFonts w:ascii="宋体" w:hAnsi="宋体" w:cs="宋体"/>
          <w:lang/>
        </w:rPr>
        <w:t>1. 适用范围</w:t>
      </w:r>
      <w:r>
        <w:rPr>
          <w:lang/>
        </w:rPr>
        <w:tab/>
      </w:r>
      <w:r>
        <w:rPr>
          <w:lang/>
        </w:rPr>
        <w:fldChar w:fldCharType="begin"/>
      </w:r>
      <w:r>
        <w:rPr>
          <w:lang/>
        </w:rPr>
        <w:instrText xml:space="preserve"> PAGEREF _Toc163636242 \h </w:instrText>
      </w:r>
      <w:r>
        <w:rPr>
          <w:lang/>
        </w:rPr>
        <w:fldChar w:fldCharType="separate"/>
      </w:r>
      <w:r>
        <w:rPr>
          <w:lang/>
        </w:rPr>
        <w:t>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"_Toc163636243"</w:instrText>
      </w:r>
      <w:r>
        <w:rPr>
          <w:rStyle w:val="58"/>
          <w:lang/>
        </w:rPr>
        <w:instrText xml:space="preserve"> </w:instrText>
      </w:r>
      <w:r>
        <w:rPr>
          <w:rStyle w:val="58"/>
          <w:lang/>
        </w:rPr>
        <w:fldChar w:fldCharType="separate"/>
      </w:r>
      <w:r>
        <w:rPr>
          <w:rStyle w:val="58"/>
          <w:rFonts w:ascii="宋体" w:hAnsi="宋体" w:cs="宋体"/>
          <w:lang/>
        </w:rPr>
        <w:t>2. 定义</w:t>
      </w:r>
      <w:r>
        <w:rPr>
          <w:lang/>
        </w:rPr>
        <w:tab/>
      </w:r>
      <w:r>
        <w:rPr>
          <w:lang/>
        </w:rPr>
        <w:fldChar w:fldCharType="begin"/>
      </w:r>
      <w:r>
        <w:rPr>
          <w:lang/>
        </w:rPr>
        <w:instrText xml:space="preserve"> PAGEREF _Toc163636243 \h </w:instrText>
      </w:r>
      <w:r>
        <w:rPr>
          <w:lang/>
        </w:rPr>
        <w:fldChar w:fldCharType="separate"/>
      </w:r>
      <w:r>
        <w:rPr>
          <w:lang/>
        </w:rPr>
        <w:t>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"_Toc163636244"</w:instrText>
      </w:r>
      <w:r>
        <w:rPr>
          <w:rStyle w:val="58"/>
          <w:lang/>
        </w:rPr>
        <w:instrText xml:space="preserve"> </w:instrText>
      </w:r>
      <w:r>
        <w:rPr>
          <w:rStyle w:val="58"/>
          <w:lang/>
        </w:rPr>
        <w:fldChar w:fldCharType="separate"/>
      </w:r>
      <w:r>
        <w:rPr>
          <w:rStyle w:val="58"/>
          <w:rFonts w:ascii="宋体" w:hAnsi="宋体" w:cs="宋体"/>
          <w:lang/>
        </w:rPr>
        <w:t>3. 合格投标人</w:t>
      </w:r>
      <w:r>
        <w:rPr>
          <w:lang/>
        </w:rPr>
        <w:tab/>
      </w:r>
      <w:r>
        <w:rPr>
          <w:lang/>
        </w:rPr>
        <w:fldChar w:fldCharType="begin"/>
      </w:r>
      <w:r>
        <w:rPr>
          <w:lang/>
        </w:rPr>
        <w:instrText xml:space="preserve"> PAGEREF _Toc163636244 \h </w:instrText>
      </w:r>
      <w:r>
        <w:rPr>
          <w:lang/>
        </w:rPr>
        <w:fldChar w:fldCharType="separate"/>
      </w:r>
      <w:r>
        <w:rPr>
          <w:lang/>
        </w:rPr>
        <w:t>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"_Toc163636245"</w:instrText>
      </w:r>
      <w:r>
        <w:rPr>
          <w:rStyle w:val="58"/>
          <w:lang/>
        </w:rPr>
        <w:instrText xml:space="preserve"> </w:instrText>
      </w:r>
      <w:r>
        <w:rPr>
          <w:rStyle w:val="58"/>
          <w:lang/>
        </w:rPr>
        <w:fldChar w:fldCharType="separate"/>
      </w:r>
      <w:r>
        <w:rPr>
          <w:rStyle w:val="58"/>
          <w:rFonts w:ascii="宋体" w:hAnsi="宋体" w:cs="宋体"/>
          <w:lang/>
        </w:rPr>
        <w:t>4. 投标费用</w:t>
      </w:r>
      <w:r>
        <w:rPr>
          <w:lang/>
        </w:rPr>
        <w:tab/>
      </w:r>
      <w:r>
        <w:rPr>
          <w:lang/>
        </w:rPr>
        <w:fldChar w:fldCharType="begin"/>
      </w:r>
      <w:r>
        <w:rPr>
          <w:lang/>
        </w:rPr>
        <w:instrText xml:space="preserve"> PAGEREF _Toc163636245 \h </w:instrText>
      </w:r>
      <w:r>
        <w:rPr>
          <w:lang/>
        </w:rPr>
        <w:fldChar w:fldCharType="separate"/>
      </w:r>
      <w:r>
        <w:rPr>
          <w:lang/>
        </w:rPr>
        <w:t>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"_Toc163636246"</w:instrText>
      </w:r>
      <w:r>
        <w:rPr>
          <w:rStyle w:val="58"/>
          <w:lang/>
        </w:rPr>
        <w:instrText xml:space="preserve"> </w:instrText>
      </w:r>
      <w:r>
        <w:rPr>
          <w:rStyle w:val="58"/>
          <w:lang/>
        </w:rPr>
        <w:fldChar w:fldCharType="separate"/>
      </w:r>
      <w:r>
        <w:rPr>
          <w:rStyle w:val="58"/>
          <w:rFonts w:ascii="宋体" w:hAnsi="宋体" w:cs="宋体"/>
          <w:lang/>
        </w:rPr>
        <w:t>5. 投标人代表</w:t>
      </w:r>
      <w:r>
        <w:rPr>
          <w:lang/>
        </w:rPr>
        <w:tab/>
      </w:r>
      <w:r>
        <w:rPr>
          <w:lang/>
        </w:rPr>
        <w:fldChar w:fldCharType="begin"/>
      </w:r>
      <w:r>
        <w:rPr>
          <w:lang/>
        </w:rPr>
        <w:instrText xml:space="preserve"> PAGEREF _Toc163636246 \h </w:instrText>
      </w:r>
      <w:r>
        <w:rPr>
          <w:lang/>
        </w:rPr>
        <w:fldChar w:fldCharType="separate"/>
      </w:r>
      <w:r>
        <w:rPr>
          <w:lang/>
        </w:rPr>
        <w:t>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"_Toc163636247"</w:instrText>
      </w:r>
      <w:r>
        <w:rPr>
          <w:rStyle w:val="58"/>
          <w:lang/>
        </w:rPr>
        <w:instrText xml:space="preserve"> </w:instrText>
      </w:r>
      <w:r>
        <w:rPr>
          <w:rStyle w:val="58"/>
          <w:lang/>
        </w:rPr>
        <w:fldChar w:fldCharType="separate"/>
      </w:r>
      <w:r>
        <w:rPr>
          <w:rStyle w:val="58"/>
          <w:rFonts w:ascii="宋体" w:hAnsi="宋体" w:cs="宋体"/>
          <w:lang/>
        </w:rPr>
        <w:t>6. 招标文件的构成</w:t>
      </w:r>
      <w:r>
        <w:rPr>
          <w:lang/>
        </w:rPr>
        <w:tab/>
      </w:r>
      <w:r>
        <w:rPr>
          <w:lang/>
        </w:rPr>
        <w:fldChar w:fldCharType="begin"/>
      </w:r>
      <w:r>
        <w:rPr>
          <w:lang/>
        </w:rPr>
        <w:instrText xml:space="preserve"> PAGEREF _Toc163636247 \h </w:instrText>
      </w:r>
      <w:r>
        <w:rPr>
          <w:lang/>
        </w:rPr>
        <w:fldChar w:fldCharType="separate"/>
      </w:r>
      <w:r>
        <w:rPr>
          <w:lang/>
        </w:rPr>
        <w:t>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"_Toc163636248"</w:instrText>
      </w:r>
      <w:r>
        <w:rPr>
          <w:rStyle w:val="58"/>
          <w:lang/>
        </w:rPr>
        <w:instrText xml:space="preserve"> </w:instrText>
      </w:r>
      <w:r>
        <w:rPr>
          <w:rStyle w:val="58"/>
          <w:lang/>
        </w:rPr>
        <w:fldChar w:fldCharType="separate"/>
      </w:r>
      <w:r>
        <w:rPr>
          <w:rStyle w:val="58"/>
          <w:rFonts w:ascii="宋体" w:hAnsi="宋体" w:cs="宋体"/>
          <w:lang/>
        </w:rPr>
        <w:t>7、投标人应当提交的资格、资信证明文件</w:t>
      </w:r>
      <w:r>
        <w:rPr>
          <w:lang/>
        </w:rPr>
        <w:tab/>
      </w:r>
      <w:r>
        <w:rPr>
          <w:lang/>
        </w:rPr>
        <w:fldChar w:fldCharType="begin"/>
      </w:r>
      <w:r>
        <w:rPr>
          <w:lang/>
        </w:rPr>
        <w:instrText xml:space="preserve"> PAGEREF _Toc163636248 \h </w:instrText>
      </w:r>
      <w:r>
        <w:rPr>
          <w:lang/>
        </w:rPr>
        <w:fldChar w:fldCharType="separate"/>
      </w:r>
      <w:r>
        <w:rPr>
          <w:lang/>
        </w:rPr>
        <w:t>8</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"_Toc163636249"</w:instrText>
      </w:r>
      <w:r>
        <w:rPr>
          <w:rStyle w:val="58"/>
          <w:lang/>
        </w:rPr>
        <w:instrText xml:space="preserve"> </w:instrText>
      </w:r>
      <w:r>
        <w:rPr>
          <w:rStyle w:val="58"/>
          <w:lang/>
        </w:rPr>
        <w:fldChar w:fldCharType="separate"/>
      </w:r>
      <w:r>
        <w:rPr>
          <w:rStyle w:val="58"/>
          <w:rFonts w:ascii="宋体" w:hAnsi="宋体" w:cs="宋体"/>
          <w:lang/>
        </w:rPr>
        <w:t>8、为落实政府采购政策，采购标的需满足的要求，以及投标人须提供的证明材料</w:t>
      </w:r>
      <w:r>
        <w:rPr>
          <w:lang/>
        </w:rPr>
        <w:tab/>
      </w:r>
      <w:r>
        <w:rPr>
          <w:lang/>
        </w:rPr>
        <w:fldChar w:fldCharType="begin"/>
      </w:r>
      <w:r>
        <w:rPr>
          <w:lang/>
        </w:rPr>
        <w:instrText xml:space="preserve"> PAGEREF _Toc163636249 \h </w:instrText>
      </w:r>
      <w:r>
        <w:rPr>
          <w:lang/>
        </w:rPr>
        <w:fldChar w:fldCharType="separate"/>
      </w:r>
      <w:r>
        <w:rPr>
          <w:lang/>
        </w:rPr>
        <w:t>8</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"_Toc163636250"</w:instrText>
      </w:r>
      <w:r>
        <w:rPr>
          <w:rStyle w:val="58"/>
          <w:lang/>
        </w:rPr>
        <w:instrText xml:space="preserve"> </w:instrText>
      </w:r>
      <w:r>
        <w:rPr>
          <w:rStyle w:val="58"/>
          <w:lang/>
        </w:rPr>
        <w:fldChar w:fldCharType="separate"/>
      </w:r>
      <w:r>
        <w:rPr>
          <w:rStyle w:val="58"/>
          <w:rFonts w:ascii="宋体" w:hAnsi="宋体" w:cs="宋体"/>
          <w:lang/>
        </w:rPr>
        <w:t>9、对小型和微型企业、监狱企业、残疾人福利性单位产品参加投标享受的政策</w:t>
      </w:r>
      <w:r>
        <w:rPr>
          <w:lang/>
        </w:rPr>
        <w:tab/>
      </w:r>
      <w:r>
        <w:rPr>
          <w:lang/>
        </w:rPr>
        <w:fldChar w:fldCharType="begin"/>
      </w:r>
      <w:r>
        <w:rPr>
          <w:lang/>
        </w:rPr>
        <w:instrText xml:space="preserve"> PAGEREF _Toc163636250 \h </w:instrText>
      </w:r>
      <w:r>
        <w:rPr>
          <w:lang/>
        </w:rPr>
        <w:fldChar w:fldCharType="separate"/>
      </w:r>
      <w:r>
        <w:rPr>
          <w:lang/>
        </w:rPr>
        <w:t>10</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"_Toc163636251"</w:instrText>
      </w:r>
      <w:r>
        <w:rPr>
          <w:rStyle w:val="58"/>
          <w:lang/>
        </w:rPr>
        <w:instrText xml:space="preserve"> </w:instrText>
      </w:r>
      <w:r>
        <w:rPr>
          <w:rStyle w:val="58"/>
          <w:lang/>
        </w:rPr>
        <w:fldChar w:fldCharType="separate"/>
      </w:r>
      <w:r>
        <w:rPr>
          <w:rStyle w:val="58"/>
          <w:rFonts w:ascii="宋体" w:hAnsi="宋体" w:cs="宋体"/>
          <w:lang/>
        </w:rPr>
        <w:t>10. 招标文件的修改</w:t>
      </w:r>
      <w:r>
        <w:rPr>
          <w:lang/>
        </w:rPr>
        <w:tab/>
      </w:r>
      <w:r>
        <w:rPr>
          <w:lang/>
        </w:rPr>
        <w:fldChar w:fldCharType="begin"/>
      </w:r>
      <w:r>
        <w:rPr>
          <w:lang/>
        </w:rPr>
        <w:instrText xml:space="preserve"> PAGEREF _Toc163636251 \h </w:instrText>
      </w:r>
      <w:r>
        <w:rPr>
          <w:lang/>
        </w:rPr>
        <w:fldChar w:fldCharType="separate"/>
      </w:r>
      <w:r>
        <w:rPr>
          <w:lang/>
        </w:rPr>
        <w:t>10</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"_Toc163636252"</w:instrText>
      </w:r>
      <w:r>
        <w:rPr>
          <w:rStyle w:val="58"/>
          <w:lang/>
        </w:rPr>
        <w:instrText xml:space="preserve"> </w:instrText>
      </w:r>
      <w:r>
        <w:rPr>
          <w:rStyle w:val="58"/>
          <w:lang/>
        </w:rPr>
        <w:fldChar w:fldCharType="separate"/>
      </w:r>
      <w:r>
        <w:rPr>
          <w:rStyle w:val="58"/>
          <w:rFonts w:ascii="宋体" w:hAnsi="宋体" w:cs="宋体"/>
          <w:lang/>
        </w:rPr>
        <w:t>三、 投  标</w:t>
      </w:r>
      <w:r>
        <w:rPr>
          <w:lang/>
        </w:rPr>
        <w:tab/>
      </w:r>
      <w:r>
        <w:rPr>
          <w:lang/>
        </w:rPr>
        <w:fldChar w:fldCharType="begin"/>
      </w:r>
      <w:r>
        <w:rPr>
          <w:lang/>
        </w:rPr>
        <w:instrText xml:space="preserve"> PAGEREF _Toc163636252 \h </w:instrText>
      </w:r>
      <w:r>
        <w:rPr>
          <w:lang/>
        </w:rPr>
        <w:fldChar w:fldCharType="separate"/>
      </w:r>
      <w:r>
        <w:rPr>
          <w:lang/>
        </w:rPr>
        <w:t>10</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"_Toc163636253"</w:instrText>
      </w:r>
      <w:r>
        <w:rPr>
          <w:rStyle w:val="58"/>
          <w:lang/>
        </w:rPr>
        <w:instrText xml:space="preserve"> </w:instrText>
      </w:r>
      <w:r>
        <w:rPr>
          <w:rStyle w:val="58"/>
          <w:lang/>
        </w:rPr>
        <w:fldChar w:fldCharType="separate"/>
      </w:r>
      <w:r>
        <w:rPr>
          <w:rStyle w:val="58"/>
          <w:rFonts w:ascii="宋体" w:hAnsi="宋体" w:cs="宋体"/>
          <w:lang/>
        </w:rPr>
        <w:t>11、投标文件的编制</w:t>
      </w:r>
      <w:r>
        <w:rPr>
          <w:lang/>
        </w:rPr>
        <w:tab/>
      </w:r>
      <w:r>
        <w:rPr>
          <w:lang/>
        </w:rPr>
        <w:fldChar w:fldCharType="begin"/>
      </w:r>
      <w:r>
        <w:rPr>
          <w:lang/>
        </w:rPr>
        <w:instrText xml:space="preserve"> PAGEREF _Toc163636253 \h </w:instrText>
      </w:r>
      <w:r>
        <w:rPr>
          <w:lang/>
        </w:rPr>
        <w:fldChar w:fldCharType="separate"/>
      </w:r>
      <w:r>
        <w:rPr>
          <w:lang/>
        </w:rPr>
        <w:t>10</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"_Toc163636254"</w:instrText>
      </w:r>
      <w:r>
        <w:rPr>
          <w:rStyle w:val="58"/>
          <w:lang/>
        </w:rPr>
        <w:instrText xml:space="preserve"> </w:instrText>
      </w:r>
      <w:r>
        <w:rPr>
          <w:rStyle w:val="58"/>
          <w:lang/>
        </w:rPr>
        <w:fldChar w:fldCharType="separate"/>
      </w:r>
      <w:r>
        <w:rPr>
          <w:rStyle w:val="58"/>
          <w:rFonts w:ascii="宋体" w:hAnsi="宋体" w:cs="宋体"/>
          <w:lang/>
        </w:rPr>
        <w:t>12、 投标文件计量单位</w:t>
      </w:r>
      <w:r>
        <w:rPr>
          <w:lang/>
        </w:rPr>
        <w:tab/>
      </w:r>
      <w:r>
        <w:rPr>
          <w:lang/>
        </w:rPr>
        <w:fldChar w:fldCharType="begin"/>
      </w:r>
      <w:r>
        <w:rPr>
          <w:lang/>
        </w:rPr>
        <w:instrText xml:space="preserve"> PAGEREF _Toc163636254 \h </w:instrText>
      </w:r>
      <w:r>
        <w:rPr>
          <w:lang/>
        </w:rPr>
        <w:fldChar w:fldCharType="separate"/>
      </w:r>
      <w:r>
        <w:rPr>
          <w:lang/>
        </w:rPr>
        <w:t>11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"_Toc163636255"</w:instrText>
      </w:r>
      <w:r>
        <w:rPr>
          <w:rStyle w:val="58"/>
          <w:lang/>
        </w:rPr>
        <w:instrText xml:space="preserve"> </w:instrText>
      </w:r>
      <w:r>
        <w:rPr>
          <w:rStyle w:val="58"/>
          <w:lang/>
        </w:rPr>
        <w:fldChar w:fldCharType="separate"/>
      </w:r>
      <w:r>
        <w:rPr>
          <w:rStyle w:val="58"/>
          <w:rFonts w:ascii="宋体" w:hAnsi="宋体" w:cs="宋体"/>
          <w:lang/>
        </w:rPr>
        <w:t>13、 投标文件的构成</w:t>
      </w:r>
      <w:r>
        <w:rPr>
          <w:lang/>
        </w:rPr>
        <w:tab/>
      </w:r>
      <w:r>
        <w:rPr>
          <w:lang/>
        </w:rPr>
        <w:fldChar w:fldCharType="begin"/>
      </w:r>
      <w:r>
        <w:rPr>
          <w:lang/>
        </w:rPr>
        <w:instrText xml:space="preserve"> PAGEREF _Toc163636255 \h </w:instrText>
      </w:r>
      <w:r>
        <w:rPr>
          <w:lang/>
        </w:rPr>
        <w:fldChar w:fldCharType="separate"/>
      </w:r>
      <w:r>
        <w:rPr>
          <w:lang/>
        </w:rPr>
        <w:t>11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"_Toc163636256"</w:instrText>
      </w:r>
      <w:r>
        <w:rPr>
          <w:rStyle w:val="58"/>
          <w:lang/>
        </w:rPr>
        <w:instrText xml:space="preserve"> </w:instrText>
      </w:r>
      <w:r>
        <w:rPr>
          <w:rStyle w:val="58"/>
          <w:lang/>
        </w:rPr>
        <w:fldChar w:fldCharType="separate"/>
      </w:r>
      <w:r>
        <w:rPr>
          <w:rStyle w:val="58"/>
          <w:rFonts w:ascii="宋体" w:hAnsi="宋体" w:cs="宋体"/>
          <w:lang/>
        </w:rPr>
        <w:t>14、投标报价</w:t>
      </w:r>
      <w:r>
        <w:rPr>
          <w:lang/>
        </w:rPr>
        <w:tab/>
      </w:r>
      <w:r>
        <w:rPr>
          <w:lang/>
        </w:rPr>
        <w:fldChar w:fldCharType="begin"/>
      </w:r>
      <w:r>
        <w:rPr>
          <w:lang/>
        </w:rPr>
        <w:instrText xml:space="preserve"> PAGEREF _Toc163636256 \h </w:instrText>
      </w:r>
      <w:r>
        <w:rPr>
          <w:lang/>
        </w:rPr>
        <w:fldChar w:fldCharType="separate"/>
      </w:r>
      <w:r>
        <w:rPr>
          <w:lang/>
        </w:rPr>
        <w:t>11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"_Toc163636257"</w:instrText>
      </w:r>
      <w:r>
        <w:rPr>
          <w:rStyle w:val="58"/>
          <w:lang/>
        </w:rPr>
        <w:instrText xml:space="preserve"> </w:instrText>
      </w:r>
      <w:r>
        <w:rPr>
          <w:rStyle w:val="58"/>
          <w:lang/>
        </w:rPr>
        <w:fldChar w:fldCharType="separate"/>
      </w:r>
      <w:r>
        <w:rPr>
          <w:rStyle w:val="58"/>
          <w:lang/>
        </w:rPr>
        <w:t>15、</w:t>
      </w:r>
      <w:r>
        <w:rPr>
          <w:rStyle w:val="58"/>
          <w:rFonts w:ascii="宋体" w:hAnsi="宋体" w:cs="宋体"/>
          <w:lang/>
        </w:rPr>
        <w:t xml:space="preserve"> 投标保证金</w:t>
      </w:r>
      <w:r>
        <w:rPr>
          <w:lang/>
        </w:rPr>
        <w:tab/>
      </w:r>
      <w:r>
        <w:rPr>
          <w:lang/>
        </w:rPr>
        <w:fldChar w:fldCharType="begin"/>
      </w:r>
      <w:r>
        <w:rPr>
          <w:lang/>
        </w:rPr>
        <w:instrText xml:space="preserve"> PAGEREF _Toc163636257 \h </w:instrText>
      </w:r>
      <w:r>
        <w:rPr>
          <w:lang/>
        </w:rPr>
        <w:fldChar w:fldCharType="separate"/>
      </w:r>
      <w:r>
        <w:rPr>
          <w:lang/>
        </w:rPr>
        <w:t>11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"_Toc163636258"</w:instrText>
      </w:r>
      <w:r>
        <w:rPr>
          <w:rStyle w:val="58"/>
          <w:lang/>
        </w:rPr>
        <w:instrText xml:space="preserve"> </w:instrText>
      </w:r>
      <w:r>
        <w:rPr>
          <w:rStyle w:val="58"/>
          <w:lang/>
        </w:rPr>
        <w:fldChar w:fldCharType="separate"/>
      </w:r>
      <w:r>
        <w:rPr>
          <w:rStyle w:val="58"/>
          <w:rFonts w:ascii="宋体" w:hAnsi="宋体" w:cs="宋体"/>
          <w:lang/>
        </w:rPr>
        <w:t>16、投标有效期</w:t>
      </w:r>
      <w:r>
        <w:rPr>
          <w:lang/>
        </w:rPr>
        <w:tab/>
      </w:r>
      <w:r>
        <w:rPr>
          <w:lang/>
        </w:rPr>
        <w:fldChar w:fldCharType="begin"/>
      </w:r>
      <w:r>
        <w:rPr>
          <w:lang/>
        </w:rPr>
        <w:instrText xml:space="preserve"> PAGEREF _Toc163636258 \h </w:instrText>
      </w:r>
      <w:r>
        <w:rPr>
          <w:lang/>
        </w:rPr>
        <w:fldChar w:fldCharType="separate"/>
      </w:r>
      <w:r>
        <w:rPr>
          <w:lang/>
        </w:rPr>
        <w:t>12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"_Toc163636259"</w:instrText>
      </w:r>
      <w:r>
        <w:rPr>
          <w:rStyle w:val="58"/>
          <w:lang/>
        </w:rPr>
        <w:instrText xml:space="preserve"> </w:instrText>
      </w:r>
      <w:r>
        <w:rPr>
          <w:rStyle w:val="58"/>
          <w:lang/>
        </w:rPr>
        <w:fldChar w:fldCharType="separate"/>
      </w:r>
      <w:r>
        <w:rPr>
          <w:rStyle w:val="58"/>
          <w:rFonts w:ascii="宋体" w:hAnsi="宋体" w:cs="宋体"/>
          <w:lang/>
        </w:rPr>
        <w:t>17、投标文件的递交</w:t>
      </w:r>
      <w:r>
        <w:rPr>
          <w:lang/>
        </w:rPr>
        <w:tab/>
      </w:r>
      <w:r>
        <w:rPr>
          <w:lang/>
        </w:rPr>
        <w:fldChar w:fldCharType="begin"/>
      </w:r>
      <w:r>
        <w:rPr>
          <w:lang/>
        </w:rPr>
        <w:instrText xml:space="preserve"> PAGEREF _Toc163636259 \h </w:instrText>
      </w:r>
      <w:r>
        <w:rPr>
          <w:lang/>
        </w:rPr>
        <w:fldChar w:fldCharType="separate"/>
      </w:r>
      <w:r>
        <w:rPr>
          <w:lang/>
        </w:rPr>
        <w:t>12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"_Toc163636260"</w:instrText>
      </w:r>
      <w:r>
        <w:rPr>
          <w:rStyle w:val="58"/>
          <w:lang/>
        </w:rPr>
        <w:instrText xml:space="preserve"> </w:instrText>
      </w:r>
      <w:r>
        <w:rPr>
          <w:rStyle w:val="58"/>
          <w:lang/>
        </w:rPr>
        <w:fldChar w:fldCharType="separate"/>
      </w:r>
      <w:r>
        <w:rPr>
          <w:rStyle w:val="58"/>
          <w:rFonts w:ascii="宋体" w:hAnsi="宋体" w:cs="宋体"/>
          <w:lang/>
        </w:rPr>
        <w:t>18、分包的规定</w:t>
      </w:r>
      <w:r>
        <w:rPr>
          <w:lang/>
        </w:rPr>
        <w:tab/>
      </w:r>
      <w:r>
        <w:rPr>
          <w:lang/>
        </w:rPr>
        <w:fldChar w:fldCharType="begin"/>
      </w:r>
      <w:r>
        <w:rPr>
          <w:lang/>
        </w:rPr>
        <w:instrText xml:space="preserve"> PAGEREF _Toc163636260 \h </w:instrText>
      </w:r>
      <w:r>
        <w:rPr>
          <w:lang/>
        </w:rPr>
        <w:fldChar w:fldCharType="separate"/>
      </w:r>
      <w:r>
        <w:rPr>
          <w:lang/>
        </w:rPr>
        <w:t>13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"_Toc163636261"</w:instrText>
      </w:r>
      <w:r>
        <w:rPr>
          <w:rStyle w:val="58"/>
          <w:lang/>
        </w:rPr>
        <w:instrText xml:space="preserve"> </w:instrText>
      </w:r>
      <w:r>
        <w:rPr>
          <w:rStyle w:val="58"/>
          <w:lang/>
        </w:rPr>
        <w:fldChar w:fldCharType="separate"/>
      </w:r>
      <w:r>
        <w:rPr>
          <w:rStyle w:val="58"/>
          <w:rFonts w:ascii="宋体" w:hAnsi="宋体" w:cs="宋体"/>
          <w:lang/>
        </w:rPr>
        <w:t>19、恶意串通等行为的处理及串通投标情形的认定</w:t>
      </w:r>
      <w:r>
        <w:rPr>
          <w:lang/>
        </w:rPr>
        <w:tab/>
      </w:r>
      <w:r>
        <w:rPr>
          <w:lang/>
        </w:rPr>
        <w:fldChar w:fldCharType="begin"/>
      </w:r>
      <w:r>
        <w:rPr>
          <w:lang/>
        </w:rPr>
        <w:instrText xml:space="preserve"> PAGEREF _Toc163636261 \h </w:instrText>
      </w:r>
      <w:r>
        <w:rPr>
          <w:lang/>
        </w:rPr>
        <w:fldChar w:fldCharType="separate"/>
      </w:r>
      <w:r>
        <w:rPr>
          <w:lang/>
        </w:rPr>
        <w:t>13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"_Toc163636262"</w:instrText>
      </w:r>
      <w:r>
        <w:rPr>
          <w:rStyle w:val="58"/>
          <w:lang/>
        </w:rPr>
        <w:instrText xml:space="preserve"> </w:instrText>
      </w:r>
      <w:r>
        <w:rPr>
          <w:rStyle w:val="58"/>
          <w:lang/>
        </w:rPr>
        <w:fldChar w:fldCharType="separate"/>
      </w:r>
      <w:r>
        <w:rPr>
          <w:rStyle w:val="58"/>
          <w:rFonts w:ascii="宋体" w:hAnsi="宋体" w:cs="宋体"/>
          <w:lang/>
        </w:rPr>
        <w:t>四、开标</w:t>
      </w:r>
      <w:r>
        <w:rPr>
          <w:lang/>
        </w:rPr>
        <w:tab/>
      </w:r>
      <w:r>
        <w:rPr>
          <w:lang/>
        </w:rPr>
        <w:fldChar w:fldCharType="begin"/>
      </w:r>
      <w:r>
        <w:rPr>
          <w:lang/>
        </w:rPr>
        <w:instrText xml:space="preserve"> PAGEREF _Toc163636262 \h </w:instrText>
      </w:r>
      <w:r>
        <w:rPr>
          <w:lang/>
        </w:rPr>
        <w:fldChar w:fldCharType="separate"/>
      </w:r>
      <w:r>
        <w:rPr>
          <w:lang/>
        </w:rPr>
        <w:t>13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"_Toc163636263"</w:instrText>
      </w:r>
      <w:r>
        <w:rPr>
          <w:rStyle w:val="58"/>
          <w:lang/>
        </w:rPr>
        <w:instrText xml:space="preserve"> </w:instrText>
      </w:r>
      <w:r>
        <w:rPr>
          <w:rStyle w:val="58"/>
          <w:lang/>
        </w:rPr>
        <w:fldChar w:fldCharType="separate"/>
      </w:r>
      <w:r>
        <w:rPr>
          <w:rStyle w:val="58"/>
          <w:rFonts w:ascii="宋体" w:hAnsi="宋体" w:cs="宋体"/>
          <w:lang/>
        </w:rPr>
        <w:t>20.开标</w:t>
      </w:r>
      <w:r>
        <w:rPr>
          <w:lang/>
        </w:rPr>
        <w:tab/>
      </w:r>
      <w:r>
        <w:rPr>
          <w:lang/>
        </w:rPr>
        <w:fldChar w:fldCharType="begin"/>
      </w:r>
      <w:r>
        <w:rPr>
          <w:lang/>
        </w:rPr>
        <w:instrText xml:space="preserve"> PAGEREF _Toc163636263 \h </w:instrText>
      </w:r>
      <w:r>
        <w:rPr>
          <w:lang/>
        </w:rPr>
        <w:fldChar w:fldCharType="separate"/>
      </w:r>
      <w:r>
        <w:rPr>
          <w:lang/>
        </w:rPr>
        <w:t>13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"_Toc163636264"</w:instrText>
      </w:r>
      <w:r>
        <w:rPr>
          <w:rStyle w:val="58"/>
          <w:lang/>
        </w:rPr>
        <w:instrText xml:space="preserve"> </w:instrText>
      </w:r>
      <w:r>
        <w:rPr>
          <w:rStyle w:val="58"/>
          <w:lang/>
        </w:rPr>
        <w:fldChar w:fldCharType="separate"/>
      </w:r>
      <w:r>
        <w:rPr>
          <w:rStyle w:val="58"/>
          <w:rFonts w:ascii="宋体" w:hAnsi="宋体" w:cs="宋体"/>
          <w:lang/>
        </w:rPr>
        <w:t>五、评标</w:t>
      </w:r>
      <w:r>
        <w:rPr>
          <w:lang/>
        </w:rPr>
        <w:tab/>
      </w:r>
      <w:r>
        <w:rPr>
          <w:lang/>
        </w:rPr>
        <w:fldChar w:fldCharType="begin"/>
      </w:r>
      <w:r>
        <w:rPr>
          <w:lang/>
        </w:rPr>
        <w:instrText xml:space="preserve"> PAGEREF _Toc163636264 \h </w:instrText>
      </w:r>
      <w:r>
        <w:rPr>
          <w:lang/>
        </w:rPr>
        <w:fldChar w:fldCharType="separate"/>
      </w:r>
      <w:r>
        <w:rPr>
          <w:lang/>
        </w:rPr>
        <w:t>14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"_Toc163636265"</w:instrText>
      </w:r>
      <w:r>
        <w:rPr>
          <w:rStyle w:val="58"/>
          <w:lang/>
        </w:rPr>
        <w:instrText xml:space="preserve"> </w:instrText>
      </w:r>
      <w:r>
        <w:rPr>
          <w:rStyle w:val="58"/>
          <w:lang/>
        </w:rPr>
        <w:fldChar w:fldCharType="separate"/>
      </w:r>
      <w:r>
        <w:rPr>
          <w:rStyle w:val="58"/>
          <w:rFonts w:ascii="宋体" w:hAnsi="宋体" w:cs="宋体"/>
          <w:lang/>
        </w:rPr>
        <w:t>21、评标</w:t>
      </w:r>
      <w:r>
        <w:rPr>
          <w:lang/>
        </w:rPr>
        <w:tab/>
      </w:r>
      <w:r>
        <w:rPr>
          <w:lang/>
        </w:rPr>
        <w:fldChar w:fldCharType="begin"/>
      </w:r>
      <w:r>
        <w:rPr>
          <w:lang/>
        </w:rPr>
        <w:instrText xml:space="preserve"> PAGEREF _Toc163636265 \h </w:instrText>
      </w:r>
      <w:r>
        <w:rPr>
          <w:lang/>
        </w:rPr>
        <w:fldChar w:fldCharType="separate"/>
      </w:r>
      <w:r>
        <w:rPr>
          <w:lang/>
        </w:rPr>
        <w:t>14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"_Toc163636266"</w:instrText>
      </w:r>
      <w:r>
        <w:rPr>
          <w:rStyle w:val="58"/>
          <w:lang/>
        </w:rPr>
        <w:instrText xml:space="preserve"> </w:instrText>
      </w:r>
      <w:r>
        <w:rPr>
          <w:rStyle w:val="58"/>
          <w:lang/>
        </w:rPr>
        <w:fldChar w:fldCharType="separate"/>
      </w:r>
      <w:r>
        <w:rPr>
          <w:rStyle w:val="58"/>
          <w:rFonts w:ascii="宋体" w:hAnsi="宋体" w:cs="宋体"/>
          <w:lang/>
        </w:rPr>
        <w:t>22、评标方法和评标标准</w:t>
      </w:r>
      <w:r>
        <w:rPr>
          <w:lang/>
        </w:rPr>
        <w:tab/>
      </w:r>
      <w:r>
        <w:rPr>
          <w:lang/>
        </w:rPr>
        <w:fldChar w:fldCharType="begin"/>
      </w:r>
      <w:r>
        <w:rPr>
          <w:lang/>
        </w:rPr>
        <w:instrText xml:space="preserve"> PAGEREF _Toc163636266 \h </w:instrText>
      </w:r>
      <w:r>
        <w:rPr>
          <w:lang/>
        </w:rPr>
        <w:fldChar w:fldCharType="separate"/>
      </w:r>
      <w:r>
        <w:rPr>
          <w:lang/>
        </w:rPr>
        <w:t>16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"_Toc163636267"</w:instrText>
      </w:r>
      <w:r>
        <w:rPr>
          <w:rStyle w:val="58"/>
          <w:lang/>
        </w:rPr>
        <w:instrText xml:space="preserve"> </w:instrText>
      </w:r>
      <w:r>
        <w:rPr>
          <w:rStyle w:val="58"/>
          <w:lang/>
        </w:rPr>
        <w:fldChar w:fldCharType="separate"/>
      </w:r>
      <w:r>
        <w:rPr>
          <w:rStyle w:val="58"/>
          <w:rFonts w:ascii="宋体" w:hAnsi="宋体" w:cs="宋体"/>
          <w:lang/>
        </w:rPr>
        <w:t>六、中标和合同</w:t>
      </w:r>
      <w:r>
        <w:rPr>
          <w:lang/>
        </w:rPr>
        <w:tab/>
      </w:r>
      <w:r>
        <w:rPr>
          <w:lang/>
        </w:rPr>
        <w:fldChar w:fldCharType="begin"/>
      </w:r>
      <w:r>
        <w:rPr>
          <w:lang/>
        </w:rPr>
        <w:instrText xml:space="preserve"> PAGEREF _Toc163636267 \h </w:instrText>
      </w:r>
      <w:r>
        <w:rPr>
          <w:lang/>
        </w:rPr>
        <w:fldChar w:fldCharType="separate"/>
      </w:r>
      <w:r>
        <w:rPr>
          <w:lang/>
        </w:rPr>
        <w:t>16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"_Toc163636268"</w:instrText>
      </w:r>
      <w:r>
        <w:rPr>
          <w:rStyle w:val="58"/>
          <w:lang/>
        </w:rPr>
        <w:instrText xml:space="preserve"> </w:instrText>
      </w:r>
      <w:r>
        <w:rPr>
          <w:rStyle w:val="58"/>
          <w:lang/>
        </w:rPr>
        <w:fldChar w:fldCharType="separate"/>
      </w:r>
      <w:r>
        <w:rPr>
          <w:rStyle w:val="58"/>
          <w:rFonts w:ascii="宋体" w:hAnsi="宋体" w:cs="宋体"/>
          <w:lang/>
        </w:rPr>
        <w:t>23、中标人的确定</w:t>
      </w:r>
      <w:r>
        <w:rPr>
          <w:lang/>
        </w:rPr>
        <w:tab/>
      </w:r>
      <w:r>
        <w:rPr>
          <w:lang/>
        </w:rPr>
        <w:fldChar w:fldCharType="begin"/>
      </w:r>
      <w:r>
        <w:rPr>
          <w:lang/>
        </w:rPr>
        <w:instrText xml:space="preserve"> PAGEREF _Toc163636268 \h </w:instrText>
      </w:r>
      <w:r>
        <w:rPr>
          <w:lang/>
        </w:rPr>
        <w:fldChar w:fldCharType="separate"/>
      </w:r>
      <w:r>
        <w:rPr>
          <w:lang/>
        </w:rPr>
        <w:t>16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"_Toc163636269"</w:instrText>
      </w:r>
      <w:r>
        <w:rPr>
          <w:rStyle w:val="58"/>
          <w:lang/>
        </w:rPr>
        <w:instrText xml:space="preserve"> </w:instrText>
      </w:r>
      <w:r>
        <w:rPr>
          <w:rStyle w:val="58"/>
          <w:lang/>
        </w:rPr>
        <w:fldChar w:fldCharType="separate"/>
      </w:r>
      <w:r>
        <w:rPr>
          <w:rStyle w:val="58"/>
          <w:rFonts w:ascii="宋体" w:hAnsi="宋体" w:cs="宋体"/>
          <w:lang/>
        </w:rPr>
        <w:t>24、中标结果公示</w:t>
      </w:r>
      <w:r>
        <w:rPr>
          <w:lang/>
        </w:rPr>
        <w:tab/>
      </w:r>
      <w:r>
        <w:rPr>
          <w:lang/>
        </w:rPr>
        <w:fldChar w:fldCharType="begin"/>
      </w:r>
      <w:r>
        <w:rPr>
          <w:lang/>
        </w:rPr>
        <w:instrText xml:space="preserve"> PAGEREF _Toc163636269 \h </w:instrText>
      </w:r>
      <w:r>
        <w:rPr>
          <w:lang/>
        </w:rPr>
        <w:fldChar w:fldCharType="separate"/>
      </w:r>
      <w:r>
        <w:rPr>
          <w:lang/>
        </w:rPr>
        <w:t>16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"_Toc163636270"</w:instrText>
      </w:r>
      <w:r>
        <w:rPr>
          <w:rStyle w:val="58"/>
          <w:lang/>
        </w:rPr>
        <w:instrText xml:space="preserve"> </w:instrText>
      </w:r>
      <w:r>
        <w:rPr>
          <w:rStyle w:val="58"/>
          <w:lang/>
        </w:rPr>
        <w:fldChar w:fldCharType="separate"/>
      </w:r>
      <w:r>
        <w:rPr>
          <w:rStyle w:val="58"/>
          <w:rFonts w:ascii="宋体" w:hAnsi="宋体" w:cs="宋体"/>
          <w:lang/>
        </w:rPr>
        <w:t>25、履约保证金</w:t>
      </w:r>
      <w:r>
        <w:rPr>
          <w:lang/>
        </w:rPr>
        <w:tab/>
      </w:r>
      <w:r>
        <w:rPr>
          <w:lang/>
        </w:rPr>
        <w:fldChar w:fldCharType="begin"/>
      </w:r>
      <w:r>
        <w:rPr>
          <w:lang/>
        </w:rPr>
        <w:instrText xml:space="preserve"> PAGEREF _Toc163636270 \h </w:instrText>
      </w:r>
      <w:r>
        <w:rPr>
          <w:lang/>
        </w:rPr>
        <w:fldChar w:fldCharType="separate"/>
      </w:r>
      <w:r>
        <w:rPr>
          <w:lang/>
        </w:rPr>
        <w:t>16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"_Toc163636271"</w:instrText>
      </w:r>
      <w:r>
        <w:rPr>
          <w:rStyle w:val="58"/>
          <w:lang/>
        </w:rPr>
        <w:instrText xml:space="preserve"> </w:instrText>
      </w:r>
      <w:r>
        <w:rPr>
          <w:rStyle w:val="58"/>
          <w:lang/>
        </w:rPr>
        <w:fldChar w:fldCharType="separate"/>
      </w:r>
      <w:r>
        <w:rPr>
          <w:rStyle w:val="58"/>
          <w:rFonts w:ascii="宋体" w:hAnsi="宋体" w:cs="宋体"/>
          <w:lang/>
        </w:rPr>
        <w:t>26、签订合同</w:t>
      </w:r>
      <w:r>
        <w:rPr>
          <w:lang/>
        </w:rPr>
        <w:tab/>
      </w:r>
      <w:r>
        <w:rPr>
          <w:lang/>
        </w:rPr>
        <w:fldChar w:fldCharType="begin"/>
      </w:r>
      <w:r>
        <w:rPr>
          <w:lang/>
        </w:rPr>
        <w:instrText xml:space="preserve"> PAGEREF _Toc163636271 \h </w:instrText>
      </w:r>
      <w:r>
        <w:rPr>
          <w:lang/>
        </w:rPr>
        <w:fldChar w:fldCharType="separate"/>
      </w:r>
      <w:r>
        <w:rPr>
          <w:lang/>
        </w:rPr>
        <w:t>17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"_Toc163636272"</w:instrText>
      </w:r>
      <w:r>
        <w:rPr>
          <w:rStyle w:val="58"/>
          <w:lang/>
        </w:rPr>
        <w:instrText xml:space="preserve"> </w:instrText>
      </w:r>
      <w:r>
        <w:rPr>
          <w:rStyle w:val="58"/>
          <w:lang/>
        </w:rPr>
        <w:fldChar w:fldCharType="separate"/>
      </w:r>
      <w:r>
        <w:rPr>
          <w:rStyle w:val="58"/>
          <w:rFonts w:ascii="宋体" w:hAnsi="宋体" w:cs="宋体"/>
          <w:lang/>
        </w:rPr>
        <w:t>七、询问和质疑</w:t>
      </w:r>
      <w:r>
        <w:rPr>
          <w:lang/>
        </w:rPr>
        <w:tab/>
      </w:r>
      <w:r>
        <w:rPr>
          <w:lang/>
        </w:rPr>
        <w:fldChar w:fldCharType="begin"/>
      </w:r>
      <w:r>
        <w:rPr>
          <w:lang/>
        </w:rPr>
        <w:instrText xml:space="preserve"> PAGEREF _Toc163636272 \h </w:instrText>
      </w:r>
      <w:r>
        <w:rPr>
          <w:lang/>
        </w:rPr>
        <w:fldChar w:fldCharType="separate"/>
      </w:r>
      <w:r>
        <w:rPr>
          <w:lang/>
        </w:rPr>
        <w:t>17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"_Toc163636273"</w:instrText>
      </w:r>
      <w:r>
        <w:rPr>
          <w:rStyle w:val="58"/>
          <w:lang/>
        </w:rPr>
        <w:instrText xml:space="preserve"> </w:instrText>
      </w:r>
      <w:r>
        <w:rPr>
          <w:rStyle w:val="58"/>
          <w:lang/>
        </w:rPr>
        <w:fldChar w:fldCharType="separate"/>
      </w:r>
      <w:r>
        <w:rPr>
          <w:rStyle w:val="58"/>
          <w:rFonts w:ascii="宋体" w:hAnsi="宋体" w:cs="宋体"/>
          <w:lang/>
        </w:rPr>
        <w:t>27、询问</w:t>
      </w:r>
      <w:r>
        <w:rPr>
          <w:lang/>
        </w:rPr>
        <w:tab/>
      </w:r>
      <w:r>
        <w:rPr>
          <w:lang/>
        </w:rPr>
        <w:fldChar w:fldCharType="begin"/>
      </w:r>
      <w:r>
        <w:rPr>
          <w:lang/>
        </w:rPr>
        <w:instrText xml:space="preserve"> PAGEREF _Toc163636273 \h </w:instrText>
      </w:r>
      <w:r>
        <w:rPr>
          <w:lang/>
        </w:rPr>
        <w:fldChar w:fldCharType="separate"/>
      </w:r>
      <w:r>
        <w:rPr>
          <w:lang/>
        </w:rPr>
        <w:t>17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"_Toc163636274"</w:instrText>
      </w:r>
      <w:r>
        <w:rPr>
          <w:rStyle w:val="58"/>
          <w:lang/>
        </w:rPr>
        <w:instrText xml:space="preserve"> </w:instrText>
      </w:r>
      <w:r>
        <w:rPr>
          <w:rStyle w:val="58"/>
          <w:lang/>
        </w:rPr>
        <w:fldChar w:fldCharType="separate"/>
      </w:r>
      <w:r>
        <w:rPr>
          <w:rStyle w:val="58"/>
          <w:rFonts w:ascii="宋体" w:hAnsi="宋体" w:cs="宋体"/>
          <w:lang/>
        </w:rPr>
        <w:t>28、质疑</w:t>
      </w:r>
      <w:r>
        <w:rPr>
          <w:lang/>
        </w:rPr>
        <w:tab/>
      </w:r>
      <w:r>
        <w:rPr>
          <w:lang/>
        </w:rPr>
        <w:fldChar w:fldCharType="begin"/>
      </w:r>
      <w:r>
        <w:rPr>
          <w:lang/>
        </w:rPr>
        <w:instrText xml:space="preserve"> PAGEREF _Toc163636274 \h </w:instrText>
      </w:r>
      <w:r>
        <w:rPr>
          <w:lang/>
        </w:rPr>
        <w:fldChar w:fldCharType="separate"/>
      </w:r>
      <w:r>
        <w:rPr>
          <w:lang/>
        </w:rPr>
        <w:t>17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"_Toc163636275"</w:instrText>
      </w:r>
      <w:r>
        <w:rPr>
          <w:rStyle w:val="58"/>
          <w:lang/>
        </w:rPr>
        <w:instrText xml:space="preserve"> </w:instrText>
      </w:r>
      <w:r>
        <w:rPr>
          <w:rStyle w:val="58"/>
          <w:lang/>
        </w:rPr>
        <w:fldChar w:fldCharType="separate"/>
      </w:r>
      <w:r>
        <w:rPr>
          <w:rStyle w:val="58"/>
          <w:rFonts w:ascii="宋体" w:hAnsi="宋体" w:cs="宋体"/>
          <w:lang/>
        </w:rPr>
        <w:t>八、采购代理服务费</w:t>
      </w:r>
      <w:r>
        <w:rPr>
          <w:lang/>
        </w:rPr>
        <w:tab/>
      </w:r>
      <w:r>
        <w:rPr>
          <w:lang/>
        </w:rPr>
        <w:fldChar w:fldCharType="begin"/>
      </w:r>
      <w:r>
        <w:rPr>
          <w:lang/>
        </w:rPr>
        <w:instrText xml:space="preserve"> PAGEREF _Toc163636275 \h </w:instrText>
      </w:r>
      <w:r>
        <w:rPr>
          <w:lang/>
        </w:rPr>
        <w:fldChar w:fldCharType="separate"/>
      </w:r>
      <w:r>
        <w:rPr>
          <w:lang/>
        </w:rPr>
        <w:t>18</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"_Toc163636276"</w:instrText>
      </w:r>
      <w:r>
        <w:rPr>
          <w:rStyle w:val="58"/>
          <w:lang/>
        </w:rPr>
        <w:instrText xml:space="preserve"> </w:instrText>
      </w:r>
      <w:r>
        <w:rPr>
          <w:rStyle w:val="58"/>
          <w:lang/>
        </w:rPr>
        <w:fldChar w:fldCharType="separate"/>
      </w:r>
      <w:r>
        <w:rPr>
          <w:rStyle w:val="58"/>
          <w:rFonts w:ascii="宋体" w:hAnsi="宋体" w:cs="宋体"/>
          <w:lang/>
        </w:rPr>
        <w:t>29. 采购代理服务费</w:t>
      </w:r>
      <w:r>
        <w:rPr>
          <w:lang/>
        </w:rPr>
        <w:tab/>
      </w:r>
      <w:r>
        <w:rPr>
          <w:lang/>
        </w:rPr>
        <w:fldChar w:fldCharType="begin"/>
      </w:r>
      <w:r>
        <w:rPr>
          <w:lang/>
        </w:rPr>
        <w:instrText xml:space="preserve"> PAGEREF _Toc163636276 \h </w:instrText>
      </w:r>
      <w:r>
        <w:rPr>
          <w:lang/>
        </w:rPr>
        <w:fldChar w:fldCharType="separate"/>
      </w:r>
      <w:r>
        <w:rPr>
          <w:lang/>
        </w:rPr>
        <w:t>18</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"_Toc163636277"</w:instrText>
      </w:r>
      <w:r>
        <w:rPr>
          <w:rStyle w:val="58"/>
          <w:lang/>
        </w:rPr>
        <w:instrText xml:space="preserve"> </w:instrText>
      </w:r>
      <w:r>
        <w:rPr>
          <w:rStyle w:val="58"/>
          <w:lang/>
        </w:rPr>
        <w:fldChar w:fldCharType="separate"/>
      </w:r>
      <w:r>
        <w:rPr>
          <w:rStyle w:val="58"/>
          <w:rFonts w:ascii="宋体" w:hAnsi="宋体" w:cs="宋体"/>
          <w:lang/>
        </w:rPr>
        <w:t>九、附则</w:t>
      </w:r>
      <w:r>
        <w:rPr>
          <w:lang/>
        </w:rPr>
        <w:tab/>
      </w:r>
      <w:r>
        <w:rPr>
          <w:lang/>
        </w:rPr>
        <w:fldChar w:fldCharType="begin"/>
      </w:r>
      <w:r>
        <w:rPr>
          <w:lang/>
        </w:rPr>
        <w:instrText xml:space="preserve"> PAGEREF _Toc163636277 \h </w:instrText>
      </w:r>
      <w:r>
        <w:rPr>
          <w:lang/>
        </w:rPr>
        <w:fldChar w:fldCharType="separate"/>
      </w:r>
      <w:r>
        <w:rPr>
          <w:lang/>
        </w:rPr>
        <w:t>18</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"_Toc163636278"</w:instrText>
      </w:r>
      <w:r>
        <w:rPr>
          <w:rStyle w:val="58"/>
          <w:lang/>
        </w:rPr>
        <w:instrText xml:space="preserve"> </w:instrText>
      </w:r>
      <w:r>
        <w:rPr>
          <w:rStyle w:val="58"/>
          <w:lang/>
        </w:rPr>
        <w:fldChar w:fldCharType="separate"/>
      </w:r>
      <w:r>
        <w:rPr>
          <w:rStyle w:val="58"/>
          <w:rFonts w:ascii="宋体" w:hAnsi="宋体" w:cs="宋体"/>
          <w:lang/>
        </w:rPr>
        <w:t>30.解释权</w:t>
      </w:r>
      <w:r>
        <w:rPr>
          <w:lang/>
        </w:rPr>
        <w:tab/>
      </w:r>
      <w:r>
        <w:rPr>
          <w:lang/>
        </w:rPr>
        <w:fldChar w:fldCharType="begin"/>
      </w:r>
      <w:r>
        <w:rPr>
          <w:lang/>
        </w:rPr>
        <w:instrText xml:space="preserve"> PAGEREF _Toc163636278 \h </w:instrText>
      </w:r>
      <w:r>
        <w:rPr>
          <w:lang/>
        </w:rPr>
        <w:fldChar w:fldCharType="separate"/>
      </w:r>
      <w:r>
        <w:rPr>
          <w:lang/>
        </w:rPr>
        <w:t>18</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"_Toc163636279"</w:instrText>
      </w:r>
      <w:r>
        <w:rPr>
          <w:rStyle w:val="58"/>
          <w:lang/>
        </w:rPr>
        <w:instrText xml:space="preserve"> </w:instrText>
      </w:r>
      <w:r>
        <w:rPr>
          <w:rStyle w:val="58"/>
          <w:lang/>
        </w:rPr>
        <w:fldChar w:fldCharType="separate"/>
      </w:r>
      <w:r>
        <w:rPr>
          <w:rStyle w:val="58"/>
          <w:rFonts w:hAnsi="宋体" w:cs="宋体"/>
          <w:b/>
          <w:lang/>
        </w:rPr>
        <w:t>第四章  投标文件格式</w:t>
      </w:r>
      <w:r>
        <w:rPr>
          <w:lang/>
        </w:rPr>
        <w:tab/>
      </w:r>
      <w:r>
        <w:rPr>
          <w:lang/>
        </w:rPr>
        <w:fldChar w:fldCharType="begin"/>
      </w:r>
      <w:r>
        <w:rPr>
          <w:lang/>
        </w:rPr>
        <w:instrText xml:space="preserve"> PAGEREF _Toc163636279 \h </w:instrText>
      </w:r>
      <w:r>
        <w:rPr>
          <w:lang/>
        </w:rPr>
        <w:fldChar w:fldCharType="separate"/>
      </w:r>
      <w:r>
        <w:rPr>
          <w:lang/>
        </w:rPr>
        <w:t>21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"_Toc163636280"</w:instrText>
      </w:r>
      <w:r>
        <w:rPr>
          <w:rStyle w:val="58"/>
          <w:lang/>
        </w:rPr>
        <w:instrText xml:space="preserve"> </w:instrText>
      </w:r>
      <w:r>
        <w:rPr>
          <w:rStyle w:val="58"/>
          <w:lang/>
        </w:rPr>
        <w:fldChar w:fldCharType="separate"/>
      </w:r>
      <w:r>
        <w:rPr>
          <w:rStyle w:val="58"/>
          <w:rFonts w:ascii="宋体" w:hAnsi="宋体" w:cs="宋体"/>
          <w:lang/>
        </w:rPr>
        <w:t>格式1．投标书</w:t>
      </w:r>
      <w:r>
        <w:rPr>
          <w:lang/>
        </w:rPr>
        <w:tab/>
      </w:r>
      <w:r>
        <w:rPr>
          <w:lang/>
        </w:rPr>
        <w:fldChar w:fldCharType="begin"/>
      </w:r>
      <w:r>
        <w:rPr>
          <w:lang/>
        </w:rPr>
        <w:instrText xml:space="preserve"> PAGEREF _Toc163636280 \h </w:instrText>
      </w:r>
      <w:r>
        <w:rPr>
          <w:lang/>
        </w:rPr>
        <w:fldChar w:fldCharType="separate"/>
      </w:r>
      <w:r>
        <w:rPr>
          <w:lang/>
        </w:rPr>
        <w:t>22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"_Toc163636281"</w:instrText>
      </w:r>
      <w:r>
        <w:rPr>
          <w:rStyle w:val="58"/>
          <w:lang/>
        </w:rPr>
        <w:instrText xml:space="preserve"> </w:instrText>
      </w:r>
      <w:r>
        <w:rPr>
          <w:rStyle w:val="58"/>
          <w:lang/>
        </w:rPr>
        <w:fldChar w:fldCharType="separate"/>
      </w:r>
      <w:r>
        <w:rPr>
          <w:rStyle w:val="58"/>
          <w:rFonts w:ascii="宋体" w:hAnsi="宋体" w:cs="宋体"/>
          <w:lang/>
        </w:rPr>
        <w:t>格式2.开标一览表</w:t>
      </w:r>
      <w:r>
        <w:rPr>
          <w:lang/>
        </w:rPr>
        <w:tab/>
      </w:r>
      <w:r>
        <w:rPr>
          <w:lang/>
        </w:rPr>
        <w:fldChar w:fldCharType="begin"/>
      </w:r>
      <w:r>
        <w:rPr>
          <w:lang/>
        </w:rPr>
        <w:instrText xml:space="preserve"> PAGEREF _Toc163636281 \h </w:instrText>
      </w:r>
      <w:r>
        <w:rPr>
          <w:lang/>
        </w:rPr>
        <w:fldChar w:fldCharType="separate"/>
      </w:r>
      <w:r>
        <w:rPr>
          <w:lang/>
        </w:rPr>
        <w:t>23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"_Toc163636282"</w:instrText>
      </w:r>
      <w:r>
        <w:rPr>
          <w:rStyle w:val="58"/>
          <w:lang/>
        </w:rPr>
        <w:instrText xml:space="preserve"> </w:instrText>
      </w:r>
      <w:r>
        <w:rPr>
          <w:rStyle w:val="58"/>
          <w:lang/>
        </w:rPr>
        <w:fldChar w:fldCharType="separate"/>
      </w:r>
      <w:r>
        <w:rPr>
          <w:rStyle w:val="58"/>
          <w:rFonts w:ascii="宋体" w:hAnsi="宋体" w:cs="宋体"/>
          <w:lang/>
        </w:rPr>
        <w:t>格式3.分项报价明细表</w:t>
      </w:r>
      <w:r>
        <w:rPr>
          <w:lang/>
        </w:rPr>
        <w:tab/>
      </w:r>
      <w:r>
        <w:rPr>
          <w:lang/>
        </w:rPr>
        <w:fldChar w:fldCharType="begin"/>
      </w:r>
      <w:r>
        <w:rPr>
          <w:lang/>
        </w:rPr>
        <w:instrText xml:space="preserve"> PAGEREF _Toc163636282 \h </w:instrText>
      </w:r>
      <w:r>
        <w:rPr>
          <w:lang/>
        </w:rPr>
        <w:fldChar w:fldCharType="separate"/>
      </w:r>
      <w:r>
        <w:rPr>
          <w:lang/>
        </w:rPr>
        <w:t>24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"_Toc163636283"</w:instrText>
      </w:r>
      <w:r>
        <w:rPr>
          <w:rStyle w:val="58"/>
          <w:lang/>
        </w:rPr>
        <w:instrText xml:space="preserve"> </w:instrText>
      </w:r>
      <w:r>
        <w:rPr>
          <w:rStyle w:val="58"/>
          <w:lang/>
        </w:rPr>
        <w:fldChar w:fldCharType="separate"/>
      </w:r>
      <w:r>
        <w:rPr>
          <w:rStyle w:val="58"/>
          <w:rFonts w:ascii="宋体" w:hAnsi="宋体" w:cs="宋体"/>
          <w:spacing w:val="16"/>
          <w:position w:val="1"/>
          <w:lang/>
        </w:rPr>
        <w:t>2</w:t>
      </w:r>
      <w:r>
        <w:rPr>
          <w:rStyle w:val="58"/>
          <w:rFonts w:ascii="宋体" w:hAnsi="宋体" w:cs="宋体"/>
          <w:spacing w:val="9"/>
          <w:position w:val="1"/>
          <w:lang/>
        </w:rPr>
        <w:t>、“分项报价明细表”各分项报价合计应当与“开标一览表”报价合计相等。</w:t>
      </w:r>
      <w:r>
        <w:rPr>
          <w:lang/>
        </w:rPr>
        <w:tab/>
      </w:r>
      <w:r>
        <w:rPr>
          <w:lang/>
        </w:rPr>
        <w:fldChar w:fldCharType="begin"/>
      </w:r>
      <w:r>
        <w:rPr>
          <w:lang/>
        </w:rPr>
        <w:instrText xml:space="preserve"> PAGEREF _Toc163636283 \h </w:instrText>
      </w:r>
      <w:r>
        <w:rPr>
          <w:lang/>
        </w:rPr>
        <w:fldChar w:fldCharType="separate"/>
      </w:r>
      <w:r>
        <w:rPr>
          <w:lang/>
        </w:rPr>
        <w:t>24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"_Toc163636284"</w:instrText>
      </w:r>
      <w:r>
        <w:rPr>
          <w:rStyle w:val="58"/>
          <w:lang/>
        </w:rPr>
        <w:instrText xml:space="preserve"> </w:instrText>
      </w:r>
      <w:r>
        <w:rPr>
          <w:rStyle w:val="58"/>
          <w:lang/>
        </w:rPr>
        <w:fldChar w:fldCharType="separate"/>
      </w:r>
      <w:r>
        <w:rPr>
          <w:rStyle w:val="58"/>
          <w:rFonts w:ascii="宋体" w:hAnsi="宋体" w:cs="宋体"/>
          <w:spacing w:val="7"/>
          <w:position w:val="1"/>
          <w:lang/>
        </w:rPr>
        <w:t>3、需按此格式填写。</w:t>
      </w:r>
      <w:r>
        <w:rPr>
          <w:lang/>
        </w:rPr>
        <w:tab/>
      </w:r>
      <w:r>
        <w:rPr>
          <w:lang/>
        </w:rPr>
        <w:fldChar w:fldCharType="begin"/>
      </w:r>
      <w:r>
        <w:rPr>
          <w:lang/>
        </w:rPr>
        <w:instrText xml:space="preserve"> PAGEREF _Toc163636284 \h </w:instrText>
      </w:r>
      <w:r>
        <w:rPr>
          <w:lang/>
        </w:rPr>
        <w:fldChar w:fldCharType="separate"/>
      </w:r>
      <w:r>
        <w:rPr>
          <w:lang/>
        </w:rPr>
        <w:t>24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"_Toc163636285"</w:instrText>
      </w:r>
      <w:r>
        <w:rPr>
          <w:rStyle w:val="58"/>
          <w:lang/>
        </w:rPr>
        <w:instrText xml:space="preserve"> </w:instrText>
      </w:r>
      <w:r>
        <w:rPr>
          <w:rStyle w:val="58"/>
          <w:lang/>
        </w:rPr>
        <w:fldChar w:fldCharType="separate"/>
      </w:r>
      <w:r>
        <w:rPr>
          <w:rStyle w:val="58"/>
          <w:rFonts w:ascii="宋体" w:hAnsi="宋体" w:cs="宋体"/>
          <w:spacing w:val="7"/>
          <w:position w:val="1"/>
          <w:lang/>
        </w:rPr>
        <w:t>4、小、微企业产品或监狱企业产品须在明细表中注明，并在投标文件中提供相应证明材料，否则产生的一切后果由投标人承担。</w:t>
      </w:r>
      <w:r>
        <w:rPr>
          <w:lang/>
        </w:rPr>
        <w:tab/>
      </w:r>
      <w:r>
        <w:rPr>
          <w:lang/>
        </w:rPr>
        <w:fldChar w:fldCharType="begin"/>
      </w:r>
      <w:r>
        <w:rPr>
          <w:lang/>
        </w:rPr>
        <w:instrText xml:space="preserve"> PAGEREF _Toc163636285 \h </w:instrText>
      </w:r>
      <w:r>
        <w:rPr>
          <w:lang/>
        </w:rPr>
        <w:fldChar w:fldCharType="separate"/>
      </w:r>
      <w:r>
        <w:rPr>
          <w:lang/>
        </w:rPr>
        <w:t>24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"_Toc163636286"</w:instrText>
      </w:r>
      <w:r>
        <w:rPr>
          <w:rStyle w:val="58"/>
          <w:lang/>
        </w:rPr>
        <w:instrText xml:space="preserve"> </w:instrText>
      </w:r>
      <w:r>
        <w:rPr>
          <w:rStyle w:val="58"/>
          <w:lang/>
        </w:rPr>
        <w:fldChar w:fldCharType="separate"/>
      </w:r>
      <w:r>
        <w:rPr>
          <w:rStyle w:val="58"/>
          <w:rFonts w:ascii="宋体" w:hAnsi="宋体" w:cs="宋体"/>
          <w:spacing w:val="7"/>
          <w:position w:val="1"/>
          <w:lang/>
        </w:rPr>
        <w:t>5、节能、环保产品需备注注明，同时标明该产品在节能、环保政府采购清单中的页码，并提供复印件或截图，否则产生的一切后果由投标人承担。（不属于节能、环保产品的不需提供）</w:t>
      </w:r>
      <w:r>
        <w:rPr>
          <w:lang/>
        </w:rPr>
        <w:tab/>
      </w:r>
      <w:r>
        <w:rPr>
          <w:lang/>
        </w:rPr>
        <w:fldChar w:fldCharType="begin"/>
      </w:r>
      <w:r>
        <w:rPr>
          <w:lang/>
        </w:rPr>
        <w:instrText xml:space="preserve"> PAGEREF _Toc163636286 \h </w:instrText>
      </w:r>
      <w:r>
        <w:rPr>
          <w:lang/>
        </w:rPr>
        <w:fldChar w:fldCharType="separate"/>
      </w:r>
      <w:r>
        <w:rPr>
          <w:lang/>
        </w:rPr>
        <w:t>24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"_Toc163636287"</w:instrText>
      </w:r>
      <w:r>
        <w:rPr>
          <w:rStyle w:val="58"/>
          <w:lang/>
        </w:rPr>
        <w:instrText xml:space="preserve"> </w:instrText>
      </w:r>
      <w:r>
        <w:rPr>
          <w:rStyle w:val="58"/>
          <w:lang/>
        </w:rPr>
        <w:fldChar w:fldCharType="separate"/>
      </w:r>
      <w:r>
        <w:rPr>
          <w:rStyle w:val="58"/>
          <w:rFonts w:ascii="宋体" w:hAnsi="宋体" w:cs="宋体"/>
          <w:lang/>
        </w:rPr>
        <w:t>格式4.技术需求响应/偏离表</w:t>
      </w:r>
      <w:r>
        <w:rPr>
          <w:lang/>
        </w:rPr>
        <w:tab/>
      </w:r>
      <w:r>
        <w:rPr>
          <w:lang/>
        </w:rPr>
        <w:fldChar w:fldCharType="begin"/>
      </w:r>
      <w:r>
        <w:rPr>
          <w:lang/>
        </w:rPr>
        <w:instrText xml:space="preserve"> PAGEREF _Toc163636287 \h </w:instrText>
      </w:r>
      <w:r>
        <w:rPr>
          <w:lang/>
        </w:rPr>
        <w:fldChar w:fldCharType="separate"/>
      </w:r>
      <w:r>
        <w:rPr>
          <w:lang/>
        </w:rPr>
        <w:t>25</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"_Toc163636288"</w:instrText>
      </w:r>
      <w:r>
        <w:rPr>
          <w:rStyle w:val="58"/>
          <w:lang/>
        </w:rPr>
        <w:instrText xml:space="preserve"> </w:instrText>
      </w:r>
      <w:r>
        <w:rPr>
          <w:rStyle w:val="58"/>
          <w:lang/>
        </w:rPr>
        <w:fldChar w:fldCharType="separate"/>
      </w:r>
      <w:r>
        <w:rPr>
          <w:rStyle w:val="58"/>
          <w:rFonts w:ascii="宋体" w:hAnsi="宋体" w:cs="宋体"/>
          <w:lang/>
        </w:rPr>
        <w:t>格式5.商务条款响应/偏离表</w:t>
      </w:r>
      <w:r>
        <w:rPr>
          <w:lang/>
        </w:rPr>
        <w:tab/>
      </w:r>
      <w:r>
        <w:rPr>
          <w:lang/>
        </w:rPr>
        <w:fldChar w:fldCharType="begin"/>
      </w:r>
      <w:r>
        <w:rPr>
          <w:lang/>
        </w:rPr>
        <w:instrText xml:space="preserve"> PAGEREF _Toc163636288 \h </w:instrText>
      </w:r>
      <w:r>
        <w:rPr>
          <w:lang/>
        </w:rPr>
        <w:fldChar w:fldCharType="separate"/>
      </w:r>
      <w:r>
        <w:rPr>
          <w:lang/>
        </w:rPr>
        <w:t>26</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"_Toc163636289"</w:instrText>
      </w:r>
      <w:r>
        <w:rPr>
          <w:rStyle w:val="58"/>
          <w:lang/>
        </w:rPr>
        <w:instrText xml:space="preserve"> </w:instrText>
      </w:r>
      <w:r>
        <w:rPr>
          <w:rStyle w:val="58"/>
          <w:lang/>
        </w:rPr>
        <w:fldChar w:fldCharType="separate"/>
      </w:r>
      <w:r>
        <w:rPr>
          <w:rStyle w:val="58"/>
          <w:rFonts w:hAnsi="宋体" w:cs="宋体"/>
          <w:b/>
          <w:lang/>
        </w:rPr>
        <w:t>6、投标人应当提交的资格、资信证明文件</w:t>
      </w:r>
      <w:r>
        <w:rPr>
          <w:lang/>
        </w:rPr>
        <w:tab/>
      </w:r>
      <w:r>
        <w:rPr>
          <w:lang/>
        </w:rPr>
        <w:fldChar w:fldCharType="begin"/>
      </w:r>
      <w:r>
        <w:rPr>
          <w:lang/>
        </w:rPr>
        <w:instrText xml:space="preserve"> PAGEREF _Toc163636289 \h </w:instrText>
      </w:r>
      <w:r>
        <w:rPr>
          <w:lang/>
        </w:rPr>
        <w:fldChar w:fldCharType="separate"/>
      </w:r>
      <w:r>
        <w:rPr>
          <w:lang/>
        </w:rPr>
        <w:t>27</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"_Toc163636290"</w:instrText>
      </w:r>
      <w:r>
        <w:rPr>
          <w:rStyle w:val="58"/>
          <w:lang/>
        </w:rPr>
        <w:instrText xml:space="preserve"> </w:instrText>
      </w:r>
      <w:r>
        <w:rPr>
          <w:rStyle w:val="58"/>
          <w:lang/>
        </w:rPr>
        <w:fldChar w:fldCharType="separate"/>
      </w:r>
      <w:r>
        <w:rPr>
          <w:rStyle w:val="58"/>
          <w:rFonts w:hAnsi="宋体" w:cs="宋体"/>
          <w:b/>
          <w:lang/>
        </w:rPr>
        <w:t>6.1、江西省政府采购供应商资格信用承诺函</w:t>
      </w:r>
      <w:r>
        <w:rPr>
          <w:lang/>
        </w:rPr>
        <w:tab/>
      </w:r>
      <w:r>
        <w:rPr>
          <w:lang/>
        </w:rPr>
        <w:fldChar w:fldCharType="begin"/>
      </w:r>
      <w:r>
        <w:rPr>
          <w:lang/>
        </w:rPr>
        <w:instrText xml:space="preserve"> PAGEREF _Toc163636290 \h </w:instrText>
      </w:r>
      <w:r>
        <w:rPr>
          <w:lang/>
        </w:rPr>
        <w:fldChar w:fldCharType="separate"/>
      </w:r>
      <w:r>
        <w:rPr>
          <w:lang/>
        </w:rPr>
        <w:t>27</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"_Toc163636291"</w:instrText>
      </w:r>
      <w:r>
        <w:rPr>
          <w:rStyle w:val="58"/>
          <w:lang/>
        </w:rPr>
        <w:instrText xml:space="preserve"> </w:instrText>
      </w:r>
      <w:r>
        <w:rPr>
          <w:rStyle w:val="58"/>
          <w:lang/>
        </w:rPr>
        <w:fldChar w:fldCharType="separate"/>
      </w:r>
      <w:r>
        <w:rPr>
          <w:rStyle w:val="58"/>
          <w:rFonts w:ascii="宋体" w:hAnsi="宋体" w:cs="宋体"/>
          <w:b/>
          <w:bCs/>
          <w:lang/>
        </w:rPr>
        <w:t>说明：如投标人提供了《江西省政府采购供应商资格信用承诺函》的，视同提供了“满足《中华人民共和国政府采购法》第二十二条规定须提供的证明文件”中（1）～（6）资格要求的证明材料，无需再提供下列项证明文件</w:t>
      </w:r>
      <w:r>
        <w:rPr>
          <w:rStyle w:val="58"/>
          <w:rFonts w:ascii="宋体" w:hAnsi="宋体" w:cs="宋体"/>
          <w:b/>
          <w:lang/>
        </w:rPr>
        <w:t>。</w:t>
      </w:r>
      <w:r>
        <w:rPr>
          <w:lang/>
        </w:rPr>
        <w:tab/>
      </w:r>
      <w:r>
        <w:rPr>
          <w:lang/>
        </w:rPr>
        <w:fldChar w:fldCharType="begin"/>
      </w:r>
      <w:r>
        <w:rPr>
          <w:lang/>
        </w:rPr>
        <w:instrText xml:space="preserve"> PAGEREF _Toc163636291 \h </w:instrText>
      </w:r>
      <w:r>
        <w:rPr>
          <w:lang/>
        </w:rPr>
        <w:fldChar w:fldCharType="separate"/>
      </w:r>
      <w:r>
        <w:rPr>
          <w:lang/>
        </w:rPr>
        <w:t>29</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"_Toc163636292"</w:instrText>
      </w:r>
      <w:r>
        <w:rPr>
          <w:rStyle w:val="58"/>
          <w:lang/>
        </w:rPr>
        <w:instrText xml:space="preserve"> </w:instrText>
      </w:r>
      <w:r>
        <w:rPr>
          <w:rStyle w:val="58"/>
          <w:lang/>
        </w:rPr>
        <w:fldChar w:fldCharType="separate"/>
      </w:r>
      <w:r>
        <w:rPr>
          <w:rStyle w:val="58"/>
          <w:rFonts w:ascii="宋体" w:hAnsi="宋体" w:cs="宋体"/>
          <w:b/>
          <w:bCs/>
          <w:spacing w:val="-46"/>
          <w:lang/>
        </w:rPr>
        <w:t>1、</w:t>
      </w:r>
      <w:r>
        <w:rPr>
          <w:rStyle w:val="58"/>
          <w:rFonts w:ascii="宋体" w:hAnsi="宋体" w:cs="宋体"/>
          <w:spacing w:val="-1"/>
          <w:lang/>
        </w:rPr>
        <w:t>具有独立承担民事责任的能力的资格证明文件</w:t>
      </w:r>
      <w:r>
        <w:rPr>
          <w:lang/>
        </w:rPr>
        <w:tab/>
      </w:r>
      <w:r>
        <w:rPr>
          <w:lang/>
        </w:rPr>
        <w:fldChar w:fldCharType="begin"/>
      </w:r>
      <w:r>
        <w:rPr>
          <w:lang/>
        </w:rPr>
        <w:instrText xml:space="preserve"> PAGEREF _Toc163636292 \h </w:instrText>
      </w:r>
      <w:r>
        <w:rPr>
          <w:lang/>
        </w:rPr>
        <w:fldChar w:fldCharType="separate"/>
      </w:r>
      <w:r>
        <w:rPr>
          <w:lang/>
        </w:rPr>
        <w:t>29</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"_Toc163636293"</w:instrText>
      </w:r>
      <w:r>
        <w:rPr>
          <w:rStyle w:val="58"/>
          <w:lang/>
        </w:rPr>
        <w:instrText xml:space="preserve"> </w:instrText>
      </w:r>
      <w:r>
        <w:rPr>
          <w:rStyle w:val="58"/>
          <w:lang/>
        </w:rPr>
        <w:fldChar w:fldCharType="separate"/>
      </w:r>
      <w:r>
        <w:rPr>
          <w:rStyle w:val="58"/>
          <w:rFonts w:ascii="宋体" w:hAnsi="宋体" w:cs="宋体"/>
          <w:b/>
          <w:bCs/>
          <w:spacing w:val="-46"/>
          <w:lang/>
        </w:rPr>
        <w:t>2、</w:t>
      </w:r>
      <w:r>
        <w:rPr>
          <w:rStyle w:val="58"/>
          <w:rFonts w:ascii="宋体" w:hAnsi="宋体" w:cs="宋体"/>
          <w:spacing w:val="-1"/>
          <w:lang/>
        </w:rPr>
        <w:t>具有良好的商业信誉和健全的财务会计制度的证明文件</w:t>
      </w:r>
      <w:r>
        <w:rPr>
          <w:lang/>
        </w:rPr>
        <w:tab/>
      </w:r>
      <w:r>
        <w:rPr>
          <w:lang/>
        </w:rPr>
        <w:fldChar w:fldCharType="begin"/>
      </w:r>
      <w:r>
        <w:rPr>
          <w:lang/>
        </w:rPr>
        <w:instrText xml:space="preserve"> PAGEREF _Toc163636293 \h </w:instrText>
      </w:r>
      <w:r>
        <w:rPr>
          <w:lang/>
        </w:rPr>
        <w:fldChar w:fldCharType="separate"/>
      </w:r>
      <w:r>
        <w:rPr>
          <w:lang/>
        </w:rPr>
        <w:t>29</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"_Toc163636294"</w:instrText>
      </w:r>
      <w:r>
        <w:rPr>
          <w:rStyle w:val="58"/>
          <w:lang/>
        </w:rPr>
        <w:instrText xml:space="preserve"> </w:instrText>
      </w:r>
      <w:r>
        <w:rPr>
          <w:rStyle w:val="58"/>
          <w:lang/>
        </w:rPr>
        <w:fldChar w:fldCharType="separate"/>
      </w:r>
      <w:r>
        <w:rPr>
          <w:rStyle w:val="58"/>
          <w:rFonts w:ascii="宋体" w:hAnsi="宋体" w:cs="宋体"/>
          <w:lang/>
        </w:rPr>
        <w:t>3、具有履行合同所必需的设备和专业技术能力的证明</w:t>
      </w:r>
      <w:r>
        <w:rPr>
          <w:rStyle w:val="58"/>
          <w:rFonts w:ascii="宋体" w:hAnsi="宋体" w:cs="宋体"/>
          <w:spacing w:val="-1"/>
          <w:lang/>
        </w:rPr>
        <w:t>文件</w:t>
      </w:r>
      <w:r>
        <w:rPr>
          <w:lang/>
        </w:rPr>
        <w:tab/>
      </w:r>
      <w:r>
        <w:rPr>
          <w:lang/>
        </w:rPr>
        <w:fldChar w:fldCharType="begin"/>
      </w:r>
      <w:r>
        <w:rPr>
          <w:lang/>
        </w:rPr>
        <w:instrText xml:space="preserve"> PAGEREF _Toc163636294 \h </w:instrText>
      </w:r>
      <w:r>
        <w:rPr>
          <w:lang/>
        </w:rPr>
        <w:fldChar w:fldCharType="separate"/>
      </w:r>
      <w:r>
        <w:rPr>
          <w:lang/>
        </w:rPr>
        <w:t>29</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"_Toc163636295"</w:instrText>
      </w:r>
      <w:r>
        <w:rPr>
          <w:rStyle w:val="58"/>
          <w:lang/>
        </w:rPr>
        <w:instrText xml:space="preserve"> </w:instrText>
      </w:r>
      <w:r>
        <w:rPr>
          <w:rStyle w:val="58"/>
          <w:lang/>
        </w:rPr>
        <w:fldChar w:fldCharType="separate"/>
      </w:r>
      <w:r>
        <w:rPr>
          <w:rStyle w:val="58"/>
          <w:rFonts w:ascii="宋体" w:hAnsi="宋体" w:cs="宋体"/>
          <w:lang/>
        </w:rPr>
        <w:t>4、有依法缴纳税收和社会保障资金的良好记录的证明文件</w:t>
      </w:r>
      <w:r>
        <w:rPr>
          <w:lang/>
        </w:rPr>
        <w:tab/>
      </w:r>
      <w:r>
        <w:rPr>
          <w:lang/>
        </w:rPr>
        <w:fldChar w:fldCharType="begin"/>
      </w:r>
      <w:r>
        <w:rPr>
          <w:lang/>
        </w:rPr>
        <w:instrText xml:space="preserve"> PAGEREF _Toc163636295 \h </w:instrText>
      </w:r>
      <w:r>
        <w:rPr>
          <w:lang/>
        </w:rPr>
        <w:fldChar w:fldCharType="separate"/>
      </w:r>
      <w:r>
        <w:rPr>
          <w:lang/>
        </w:rPr>
        <w:t>29</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"_Toc163636296"</w:instrText>
      </w:r>
      <w:r>
        <w:rPr>
          <w:rStyle w:val="58"/>
          <w:lang/>
        </w:rPr>
        <w:instrText xml:space="preserve"> </w:instrText>
      </w:r>
      <w:r>
        <w:rPr>
          <w:rStyle w:val="58"/>
          <w:lang/>
        </w:rPr>
        <w:fldChar w:fldCharType="separate"/>
      </w:r>
      <w:r>
        <w:rPr>
          <w:rStyle w:val="58"/>
          <w:rFonts w:ascii="宋体" w:hAnsi="宋体" w:cs="宋体"/>
          <w:lang/>
        </w:rPr>
        <w:t>5、参加政府采购前三年内，在经营活动中没有重大</w:t>
      </w:r>
      <w:r>
        <w:rPr>
          <w:rStyle w:val="58"/>
          <w:rFonts w:ascii="宋体" w:hAnsi="宋体" w:cs="宋体"/>
          <w:spacing w:val="-1"/>
          <w:lang/>
        </w:rPr>
        <w:t>违法记录的证明文件</w:t>
      </w:r>
      <w:r>
        <w:rPr>
          <w:lang/>
        </w:rPr>
        <w:tab/>
      </w:r>
      <w:r>
        <w:rPr>
          <w:lang/>
        </w:rPr>
        <w:fldChar w:fldCharType="begin"/>
      </w:r>
      <w:r>
        <w:rPr>
          <w:lang/>
        </w:rPr>
        <w:instrText xml:space="preserve"> PAGEREF _Toc163636296 \h </w:instrText>
      </w:r>
      <w:r>
        <w:rPr>
          <w:lang/>
        </w:rPr>
        <w:fldChar w:fldCharType="separate"/>
      </w:r>
      <w:r>
        <w:rPr>
          <w:lang/>
        </w:rPr>
        <w:t>29</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"_Toc163636297"</w:instrText>
      </w:r>
      <w:r>
        <w:rPr>
          <w:rStyle w:val="58"/>
          <w:lang/>
        </w:rPr>
        <w:instrText xml:space="preserve"> </w:instrText>
      </w:r>
      <w:r>
        <w:rPr>
          <w:rStyle w:val="58"/>
          <w:lang/>
        </w:rPr>
        <w:fldChar w:fldCharType="separate"/>
      </w:r>
      <w:r>
        <w:rPr>
          <w:rStyle w:val="58"/>
          <w:rFonts w:ascii="宋体" w:hAnsi="宋体" w:cs="宋体"/>
          <w:lang/>
        </w:rPr>
        <w:t>格式6-2. 法定代表人授权书</w:t>
      </w:r>
      <w:r>
        <w:rPr>
          <w:lang/>
        </w:rPr>
        <w:tab/>
      </w:r>
      <w:r>
        <w:rPr>
          <w:lang/>
        </w:rPr>
        <w:fldChar w:fldCharType="begin"/>
      </w:r>
      <w:r>
        <w:rPr>
          <w:lang/>
        </w:rPr>
        <w:instrText xml:space="preserve"> PAGEREF _Toc163636297 \h </w:instrText>
      </w:r>
      <w:r>
        <w:rPr>
          <w:lang/>
        </w:rPr>
        <w:fldChar w:fldCharType="separate"/>
      </w:r>
      <w:r>
        <w:rPr>
          <w:lang/>
        </w:rPr>
        <w:t>30</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"_Toc163636298"</w:instrText>
      </w:r>
      <w:r>
        <w:rPr>
          <w:rStyle w:val="58"/>
          <w:lang/>
        </w:rPr>
        <w:instrText xml:space="preserve"> </w:instrText>
      </w:r>
      <w:r>
        <w:rPr>
          <w:rStyle w:val="58"/>
          <w:lang/>
        </w:rPr>
        <w:fldChar w:fldCharType="separate"/>
      </w:r>
      <w:r>
        <w:rPr>
          <w:rStyle w:val="58"/>
          <w:rFonts w:ascii="宋体" w:hAnsi="宋体" w:cs="宋体"/>
          <w:lang/>
        </w:rPr>
        <w:t>格式6-3．投标人的资格声明</w:t>
      </w:r>
      <w:r>
        <w:rPr>
          <w:lang/>
        </w:rPr>
        <w:tab/>
      </w:r>
      <w:r>
        <w:rPr>
          <w:lang/>
        </w:rPr>
        <w:fldChar w:fldCharType="begin"/>
      </w:r>
      <w:r>
        <w:rPr>
          <w:lang/>
        </w:rPr>
        <w:instrText xml:space="preserve"> PAGEREF _Toc163636298 \h </w:instrText>
      </w:r>
      <w:r>
        <w:rPr>
          <w:lang/>
        </w:rPr>
        <w:fldChar w:fldCharType="separate"/>
      </w:r>
      <w:r>
        <w:rPr>
          <w:lang/>
        </w:rPr>
        <w:t>31</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"_Toc163636299"</w:instrText>
      </w:r>
      <w:r>
        <w:rPr>
          <w:rStyle w:val="58"/>
          <w:lang/>
        </w:rPr>
        <w:instrText xml:space="preserve"> </w:instrText>
      </w:r>
      <w:r>
        <w:rPr>
          <w:rStyle w:val="58"/>
          <w:lang/>
        </w:rPr>
        <w:fldChar w:fldCharType="separate"/>
      </w:r>
      <w:r>
        <w:rPr>
          <w:rStyle w:val="58"/>
          <w:rFonts w:ascii="宋体" w:hAnsi="宋体" w:cs="宋体"/>
          <w:lang/>
        </w:rPr>
        <w:t>格式6-4　交纳投标保证金的银行凭证</w:t>
      </w:r>
      <w:r>
        <w:rPr>
          <w:lang/>
        </w:rPr>
        <w:tab/>
      </w:r>
      <w:r>
        <w:rPr>
          <w:lang/>
        </w:rPr>
        <w:fldChar w:fldCharType="begin"/>
      </w:r>
      <w:r>
        <w:rPr>
          <w:lang/>
        </w:rPr>
        <w:instrText xml:space="preserve"> PAGEREF _Toc163636299 \h </w:instrText>
      </w:r>
      <w:r>
        <w:rPr>
          <w:lang/>
        </w:rPr>
        <w:fldChar w:fldCharType="separate"/>
      </w:r>
      <w:r>
        <w:rPr>
          <w:lang/>
        </w:rPr>
        <w:t>32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"_Toc163636300"</w:instrText>
      </w:r>
      <w:r>
        <w:rPr>
          <w:rStyle w:val="58"/>
          <w:lang/>
        </w:rPr>
        <w:instrText xml:space="preserve"> </w:instrText>
      </w:r>
      <w:r>
        <w:rPr>
          <w:rStyle w:val="58"/>
          <w:lang/>
        </w:rPr>
        <w:fldChar w:fldCharType="separate"/>
      </w:r>
      <w:r>
        <w:rPr>
          <w:rStyle w:val="58"/>
          <w:rFonts w:ascii="宋体" w:hAnsi="宋体" w:cs="宋体"/>
          <w:lang/>
        </w:rPr>
        <w:t>格式6-5其他资格证明文件</w:t>
      </w:r>
      <w:r>
        <w:rPr>
          <w:lang/>
        </w:rPr>
        <w:tab/>
      </w:r>
      <w:r>
        <w:rPr>
          <w:lang/>
        </w:rPr>
        <w:fldChar w:fldCharType="begin"/>
      </w:r>
      <w:r>
        <w:rPr>
          <w:lang/>
        </w:rPr>
        <w:instrText xml:space="preserve"> PAGEREF _Toc163636300 \h </w:instrText>
      </w:r>
      <w:r>
        <w:rPr>
          <w:lang/>
        </w:rPr>
        <w:fldChar w:fldCharType="separate"/>
      </w:r>
      <w:r>
        <w:rPr>
          <w:lang/>
        </w:rPr>
        <w:t>32</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"_Toc163636301"</w:instrText>
      </w:r>
      <w:r>
        <w:rPr>
          <w:rStyle w:val="58"/>
          <w:lang/>
        </w:rPr>
        <w:instrText xml:space="preserve"> </w:instrText>
      </w:r>
      <w:r>
        <w:rPr>
          <w:rStyle w:val="58"/>
          <w:lang/>
        </w:rPr>
        <w:fldChar w:fldCharType="separate"/>
      </w:r>
      <w:r>
        <w:rPr>
          <w:rStyle w:val="58"/>
          <w:rFonts w:ascii="宋体" w:hAnsi="宋体" w:cs="宋体"/>
          <w:lang/>
        </w:rPr>
        <w:t>7、为落实政府采购政策投标人须提供的证明材料</w:t>
      </w:r>
      <w:r>
        <w:rPr>
          <w:lang/>
        </w:rPr>
        <w:tab/>
      </w:r>
      <w:r>
        <w:rPr>
          <w:lang/>
        </w:rPr>
        <w:fldChar w:fldCharType="begin"/>
      </w:r>
      <w:r>
        <w:rPr>
          <w:lang/>
        </w:rPr>
        <w:instrText xml:space="preserve"> PAGEREF _Toc163636301 \h </w:instrText>
      </w:r>
      <w:r>
        <w:rPr>
          <w:lang/>
        </w:rPr>
        <w:fldChar w:fldCharType="separate"/>
      </w:r>
      <w:r>
        <w:rPr>
          <w:lang/>
        </w:rPr>
        <w:t>33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"_Toc163636302"</w:instrText>
      </w:r>
      <w:r>
        <w:rPr>
          <w:rStyle w:val="58"/>
          <w:lang/>
        </w:rPr>
        <w:instrText xml:space="preserve"> </w:instrText>
      </w:r>
      <w:r>
        <w:rPr>
          <w:rStyle w:val="58"/>
          <w:lang/>
        </w:rPr>
        <w:fldChar w:fldCharType="separate"/>
      </w:r>
      <w:r>
        <w:rPr>
          <w:rStyle w:val="58"/>
          <w:rFonts w:ascii="宋体" w:hAnsi="宋体" w:cs="宋体"/>
          <w:lang/>
        </w:rPr>
        <w:t>格式7-1.中小企业声明函</w:t>
      </w:r>
      <w:r>
        <w:rPr>
          <w:lang/>
        </w:rPr>
        <w:tab/>
      </w:r>
      <w:r>
        <w:rPr>
          <w:lang/>
        </w:rPr>
        <w:fldChar w:fldCharType="begin"/>
      </w:r>
      <w:r>
        <w:rPr>
          <w:lang/>
        </w:rPr>
        <w:instrText xml:space="preserve"> PAGEREF _Toc163636302 \h </w:instrText>
      </w:r>
      <w:r>
        <w:rPr>
          <w:lang/>
        </w:rPr>
        <w:fldChar w:fldCharType="separate"/>
      </w:r>
      <w:r>
        <w:rPr>
          <w:lang/>
        </w:rPr>
        <w:t>33</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"_Toc163636303"</w:instrText>
      </w:r>
      <w:r>
        <w:rPr>
          <w:rStyle w:val="58"/>
          <w:lang/>
        </w:rPr>
        <w:instrText xml:space="preserve"> </w:instrText>
      </w:r>
      <w:r>
        <w:rPr>
          <w:rStyle w:val="58"/>
          <w:lang/>
        </w:rPr>
        <w:fldChar w:fldCharType="separate"/>
      </w:r>
      <w:r>
        <w:rPr>
          <w:rStyle w:val="58"/>
          <w:rFonts w:ascii="宋体" w:hAnsi="宋体" w:cs="宋体"/>
          <w:lang/>
        </w:rPr>
        <w:t>格式8-2.省级以上监狱管理局、戒毒管理局（含新疆生产建设兵团）出具的属于监狱企业证明文件</w:t>
      </w:r>
      <w:r>
        <w:rPr>
          <w:lang/>
        </w:rPr>
        <w:tab/>
      </w:r>
      <w:r>
        <w:rPr>
          <w:lang/>
        </w:rPr>
        <w:fldChar w:fldCharType="begin"/>
      </w:r>
      <w:r>
        <w:rPr>
          <w:lang/>
        </w:rPr>
        <w:instrText xml:space="preserve"> PAGEREF _Toc163636303 \h </w:instrText>
      </w:r>
      <w:r>
        <w:rPr>
          <w:lang/>
        </w:rPr>
        <w:fldChar w:fldCharType="separate"/>
      </w:r>
      <w:r>
        <w:rPr>
          <w:lang/>
        </w:rPr>
        <w:t>34</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"_Toc163636304"</w:instrText>
      </w:r>
      <w:r>
        <w:rPr>
          <w:rStyle w:val="58"/>
          <w:lang/>
        </w:rPr>
        <w:instrText xml:space="preserve"> </w:instrText>
      </w:r>
      <w:r>
        <w:rPr>
          <w:rStyle w:val="58"/>
          <w:lang/>
        </w:rPr>
        <w:fldChar w:fldCharType="separate"/>
      </w:r>
      <w:r>
        <w:rPr>
          <w:rStyle w:val="58"/>
          <w:rFonts w:ascii="宋体" w:hAnsi="宋体" w:cs="宋体"/>
          <w:lang/>
        </w:rPr>
        <w:t>格式7-3.残疾人福利性单位声明函</w:t>
      </w:r>
      <w:r>
        <w:rPr>
          <w:lang/>
        </w:rPr>
        <w:tab/>
      </w:r>
      <w:r>
        <w:rPr>
          <w:lang/>
        </w:rPr>
        <w:fldChar w:fldCharType="begin"/>
      </w:r>
      <w:r>
        <w:rPr>
          <w:lang/>
        </w:rPr>
        <w:instrText xml:space="preserve"> PAGEREF _Toc163636304 \h </w:instrText>
      </w:r>
      <w:r>
        <w:rPr>
          <w:lang/>
        </w:rPr>
        <w:fldChar w:fldCharType="separate"/>
      </w:r>
      <w:r>
        <w:rPr>
          <w:lang/>
        </w:rPr>
        <w:t>35</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"_Toc163636305"</w:instrText>
      </w:r>
      <w:r>
        <w:rPr>
          <w:rStyle w:val="58"/>
          <w:lang/>
        </w:rPr>
        <w:instrText xml:space="preserve"> </w:instrText>
      </w:r>
      <w:r>
        <w:rPr>
          <w:rStyle w:val="58"/>
          <w:lang/>
        </w:rPr>
        <w:fldChar w:fldCharType="separate"/>
      </w:r>
      <w:r>
        <w:rPr>
          <w:rStyle w:val="58"/>
          <w:rFonts w:ascii="宋体" w:hAnsi="宋体" w:cs="宋体"/>
          <w:lang/>
        </w:rPr>
        <w:t>格式8-1. 投标企业情况一览表</w:t>
      </w:r>
      <w:r>
        <w:rPr>
          <w:lang/>
        </w:rPr>
        <w:tab/>
      </w:r>
      <w:r>
        <w:rPr>
          <w:lang/>
        </w:rPr>
        <w:fldChar w:fldCharType="begin"/>
      </w:r>
      <w:r>
        <w:rPr>
          <w:lang/>
        </w:rPr>
        <w:instrText xml:space="preserve"> PAGEREF _Toc163636305 \h </w:instrText>
      </w:r>
      <w:r>
        <w:rPr>
          <w:lang/>
        </w:rPr>
        <w:fldChar w:fldCharType="separate"/>
      </w:r>
      <w:r>
        <w:rPr>
          <w:lang/>
        </w:rPr>
        <w:t>36</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"_Toc163636306"</w:instrText>
      </w:r>
      <w:r>
        <w:rPr>
          <w:rStyle w:val="58"/>
          <w:lang/>
        </w:rPr>
        <w:instrText xml:space="preserve"> </w:instrText>
      </w:r>
      <w:r>
        <w:rPr>
          <w:rStyle w:val="58"/>
          <w:lang/>
        </w:rPr>
        <w:fldChar w:fldCharType="separate"/>
      </w:r>
      <w:r>
        <w:rPr>
          <w:rStyle w:val="58"/>
          <w:rFonts w:hAnsi="宋体" w:cs="宋体"/>
          <w:b/>
          <w:lang/>
        </w:rPr>
        <w:t>第五章　采购需求</w:t>
      </w:r>
      <w:r>
        <w:rPr>
          <w:lang/>
        </w:rPr>
        <w:tab/>
      </w:r>
      <w:r>
        <w:rPr>
          <w:lang/>
        </w:rPr>
        <w:fldChar w:fldCharType="begin"/>
      </w:r>
      <w:r>
        <w:rPr>
          <w:lang/>
        </w:rPr>
        <w:instrText xml:space="preserve"> PAGEREF _Toc163636306 \h </w:instrText>
      </w:r>
      <w:r>
        <w:rPr>
          <w:lang/>
        </w:rPr>
        <w:fldChar w:fldCharType="separate"/>
      </w:r>
      <w:r>
        <w:rPr>
          <w:lang/>
        </w:rPr>
        <w:t>38</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"_Toc163636307"</w:instrText>
      </w:r>
      <w:r>
        <w:rPr>
          <w:rStyle w:val="58"/>
          <w:lang/>
        </w:rPr>
        <w:instrText xml:space="preserve"> </w:instrText>
      </w:r>
      <w:r>
        <w:rPr>
          <w:rStyle w:val="58"/>
          <w:lang/>
        </w:rPr>
        <w:fldChar w:fldCharType="separate"/>
      </w:r>
      <w:r>
        <w:rPr>
          <w:rStyle w:val="58"/>
          <w:rFonts w:ascii="仿宋" w:hAnsi="仿宋" w:eastAsia="仿宋"/>
          <w:lang/>
        </w:rPr>
        <w:t>二、商务要求</w:t>
      </w:r>
      <w:r>
        <w:rPr>
          <w:lang/>
        </w:rPr>
        <w:tab/>
      </w:r>
      <w:r>
        <w:rPr>
          <w:lang/>
        </w:rPr>
        <w:fldChar w:fldCharType="begin"/>
      </w:r>
      <w:r>
        <w:rPr>
          <w:lang/>
        </w:rPr>
        <w:instrText xml:space="preserve"> PAGEREF _Toc163636307 \h </w:instrText>
      </w:r>
      <w:r>
        <w:rPr>
          <w:lang/>
        </w:rPr>
        <w:fldChar w:fldCharType="separate"/>
      </w:r>
      <w:r>
        <w:rPr>
          <w:lang/>
        </w:rPr>
        <w:t>53</w:t>
      </w:r>
      <w:r>
        <w:rPr>
          <w:lang/>
        </w:rPr>
        <w:fldChar w:fldCharType="end"/>
      </w:r>
      <w:r>
        <w:rPr>
          <w:rStyle w:val="58"/>
          <w:lang/>
        </w:rPr>
        <w:fldChar w:fldCharType="end"/>
      </w:r>
    </w:p>
    <w:p>
      <w:pPr>
        <w:pStyle w:val="33"/>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"_Toc163636308"</w:instrText>
      </w:r>
      <w:r>
        <w:rPr>
          <w:rStyle w:val="58"/>
          <w:lang/>
        </w:rPr>
        <w:instrText xml:space="preserve"> </w:instrText>
      </w:r>
      <w:r>
        <w:rPr>
          <w:rStyle w:val="58"/>
          <w:lang/>
        </w:rPr>
        <w:fldChar w:fldCharType="separate"/>
      </w:r>
      <w:r>
        <w:rPr>
          <w:rStyle w:val="58"/>
          <w:rFonts w:hAnsi="宋体" w:cs="宋体"/>
          <w:b/>
          <w:lang/>
        </w:rPr>
        <w:t>第六章</w:t>
      </w:r>
      <w:r>
        <w:rPr>
          <w:rFonts w:ascii="等线" w:hAnsi="等线" w:eastAsia="等线"/>
          <w:szCs w:val="22"/>
          <w:lang w:val="en-US" w:eastAsia="zh-CN"/>
        </w:rPr>
        <w:tab/>
      </w:r>
      <w:r>
        <w:rPr>
          <w:rStyle w:val="58"/>
          <w:rFonts w:hAnsi="宋体" w:cs="宋体"/>
          <w:b/>
          <w:lang/>
        </w:rPr>
        <w:t>评标标准</w:t>
      </w:r>
      <w:r>
        <w:rPr>
          <w:lang/>
        </w:rPr>
        <w:tab/>
      </w:r>
      <w:r>
        <w:rPr>
          <w:lang/>
        </w:rPr>
        <w:fldChar w:fldCharType="begin"/>
      </w:r>
      <w:r>
        <w:rPr>
          <w:lang/>
        </w:rPr>
        <w:instrText xml:space="preserve"> PAGEREF _Toc163636308 \h </w:instrText>
      </w:r>
      <w:r>
        <w:rPr>
          <w:lang/>
        </w:rPr>
        <w:fldChar w:fldCharType="separate"/>
      </w:r>
      <w:r>
        <w:rPr>
          <w:lang/>
        </w:rPr>
        <w:t>55</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"_Toc163636309"</w:instrText>
      </w:r>
      <w:r>
        <w:rPr>
          <w:rStyle w:val="58"/>
          <w:lang/>
        </w:rPr>
        <w:instrText xml:space="preserve"> </w:instrText>
      </w:r>
      <w:r>
        <w:rPr>
          <w:rStyle w:val="58"/>
          <w:lang/>
        </w:rPr>
        <w:fldChar w:fldCharType="separate"/>
      </w:r>
      <w:r>
        <w:rPr>
          <w:rStyle w:val="58"/>
          <w:rFonts w:ascii="宋体" w:hAnsi="宋体" w:cs="宋体"/>
          <w:lang/>
        </w:rPr>
        <w:t>评标委员会应当按照招标文件中规定的评标方法和标准，对符合性审查合格的投标文件进行商务和技术评估，综合比较与评价。</w:t>
      </w:r>
      <w:r>
        <w:rPr>
          <w:lang/>
        </w:rPr>
        <w:tab/>
      </w:r>
      <w:r>
        <w:rPr>
          <w:lang/>
        </w:rPr>
        <w:fldChar w:fldCharType="begin"/>
      </w:r>
      <w:r>
        <w:rPr>
          <w:lang/>
        </w:rPr>
        <w:instrText xml:space="preserve"> PAGEREF _Toc163636309 \h </w:instrText>
      </w:r>
      <w:r>
        <w:rPr>
          <w:lang/>
        </w:rPr>
        <w:fldChar w:fldCharType="separate"/>
      </w:r>
      <w:r>
        <w:rPr>
          <w:lang/>
        </w:rPr>
        <w:t>56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"_Toc163636310"</w:instrText>
      </w:r>
      <w:r>
        <w:rPr>
          <w:rStyle w:val="58"/>
          <w:lang/>
        </w:rPr>
        <w:instrText xml:space="preserve"> </w:instrText>
      </w:r>
      <w:r>
        <w:rPr>
          <w:rStyle w:val="58"/>
          <w:lang/>
        </w:rPr>
        <w:fldChar w:fldCharType="separate"/>
      </w:r>
      <w:r>
        <w:rPr>
          <w:rStyle w:val="58"/>
          <w:lang/>
        </w:rPr>
        <w:t>一、价格评分（30分）</w:t>
      </w:r>
      <w:r>
        <w:rPr>
          <w:lang/>
        </w:rPr>
        <w:tab/>
      </w:r>
      <w:r>
        <w:rPr>
          <w:lang/>
        </w:rPr>
        <w:fldChar w:fldCharType="begin"/>
      </w:r>
      <w:r>
        <w:rPr>
          <w:lang/>
        </w:rPr>
        <w:instrText xml:space="preserve"> PAGEREF _Toc163636310 \h </w:instrText>
      </w:r>
      <w:r>
        <w:rPr>
          <w:lang/>
        </w:rPr>
        <w:fldChar w:fldCharType="separate"/>
      </w:r>
      <w:r>
        <w:rPr>
          <w:lang/>
        </w:rPr>
        <w:t>56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"_Toc163636311"</w:instrText>
      </w:r>
      <w:r>
        <w:rPr>
          <w:rStyle w:val="58"/>
          <w:lang/>
        </w:rPr>
        <w:instrText xml:space="preserve"> </w:instrText>
      </w:r>
      <w:r>
        <w:rPr>
          <w:rStyle w:val="58"/>
          <w:lang/>
        </w:rPr>
        <w:fldChar w:fldCharType="separate"/>
      </w:r>
      <w:r>
        <w:rPr>
          <w:rStyle w:val="58"/>
          <w:lang/>
        </w:rPr>
        <w:t>二、技术评分（44分）</w:t>
      </w:r>
      <w:r>
        <w:rPr>
          <w:lang/>
        </w:rPr>
        <w:tab/>
      </w:r>
      <w:r>
        <w:rPr>
          <w:lang/>
        </w:rPr>
        <w:fldChar w:fldCharType="begin"/>
      </w:r>
      <w:r>
        <w:rPr>
          <w:lang/>
        </w:rPr>
        <w:instrText xml:space="preserve"> PAGEREF _Toc163636311 \h </w:instrText>
      </w:r>
      <w:r>
        <w:rPr>
          <w:lang/>
        </w:rPr>
        <w:fldChar w:fldCharType="separate"/>
      </w:r>
      <w:r>
        <w:rPr>
          <w:lang/>
        </w:rPr>
        <w:t>56</w:t>
      </w:r>
      <w:r>
        <w:rPr>
          <w:lang/>
        </w:rPr>
        <w:fldChar w:fldCharType="end"/>
      </w:r>
      <w:r>
        <w:rPr>
          <w:rStyle w:val="58"/>
          <w:lang/>
        </w:rPr>
        <w:fldChar w:fldCharType="end"/>
      </w:r>
    </w:p>
    <w:p>
      <w:pPr>
        <w:pStyle w:val="40"/>
        <w:rPr>
          <w:rFonts w:ascii="等线" w:hAnsi="等线" w:eastAsia="等线"/>
          <w:szCs w:val="22"/>
          <w:lang w:val="en-US" w:eastAsia="zh-CN"/>
        </w:rPr>
      </w:pPr>
      <w:r>
        <w:rPr>
          <w:rStyle w:val="58"/>
          <w:lang/>
        </w:rPr>
        <w:fldChar w:fldCharType="begin"/>
      </w:r>
      <w:r>
        <w:rPr>
          <w:rStyle w:val="58"/>
          <w:lang/>
        </w:rPr>
        <w:instrText xml:space="preserve"> </w:instrText>
      </w:r>
      <w:r>
        <w:rPr>
          <w:lang/>
        </w:rPr>
        <w:instrText xml:space="preserve">HYPERLINK \l "_Toc163636312"</w:instrText>
      </w:r>
      <w:r>
        <w:rPr>
          <w:rStyle w:val="58"/>
          <w:lang/>
        </w:rPr>
        <w:instrText xml:space="preserve"> </w:instrText>
      </w:r>
      <w:r>
        <w:rPr>
          <w:rStyle w:val="58"/>
          <w:lang/>
        </w:rPr>
        <w:fldChar w:fldCharType="separate"/>
      </w:r>
      <w:r>
        <w:rPr>
          <w:rStyle w:val="58"/>
          <w:rFonts w:cs="仿宋"/>
          <w:lang/>
        </w:rPr>
        <w:t>三、商务评分（26分）</w:t>
      </w:r>
      <w:r>
        <w:rPr>
          <w:lang/>
        </w:rPr>
        <w:tab/>
      </w:r>
      <w:r>
        <w:rPr>
          <w:lang/>
        </w:rPr>
        <w:fldChar w:fldCharType="begin"/>
      </w:r>
      <w:r>
        <w:rPr>
          <w:lang/>
        </w:rPr>
        <w:instrText xml:space="preserve"> PAGEREF _Toc163636312 \h </w:instrText>
      </w:r>
      <w:r>
        <w:rPr>
          <w:lang/>
        </w:rPr>
        <w:fldChar w:fldCharType="separate"/>
      </w:r>
      <w:r>
        <w:rPr>
          <w:lang/>
        </w:rPr>
        <w:t>59</w:t>
      </w:r>
      <w:r>
        <w:rPr>
          <w:lang/>
        </w:rPr>
        <w:fldChar w:fldCharType="end"/>
      </w:r>
      <w:r>
        <w:rPr>
          <w:rStyle w:val="58"/>
          <w:lang/>
        </w:rPr>
        <w:fldChar w:fldCharType="end"/>
      </w:r>
    </w:p>
    <w:p>
      <w:pPr>
        <w:pStyle w:val="40"/>
        <w:spacing w:line="360" w:lineRule="exact"/>
        <w:rPr>
          <w:rStyle w:val="58"/>
          <w:rFonts w:hint="eastAsia" w:ascii="宋体" w:hAnsi="宋体" w:cs="宋体"/>
          <w:color w:val="auto"/>
        </w:rPr>
      </w:pPr>
      <w:r>
        <w:rPr>
          <w:rFonts w:hint="eastAsia" w:ascii="宋体" w:hAnsi="宋体" w:cs="宋体"/>
        </w:rPr>
        <w:fldChar w:fldCharType="end"/>
      </w:r>
    </w:p>
    <w:p>
      <w:pPr>
        <w:adjustRightInd w:val="0"/>
        <w:snapToGrid w:val="0"/>
        <w:spacing w:line="460" w:lineRule="exact"/>
        <w:ind w:left="-2" w:firstLine="538"/>
        <w:jc w:val="center"/>
        <w:rPr>
          <w:rFonts w:hint="eastAsia" w:ascii="宋体" w:hAnsi="宋体" w:cs="宋体"/>
          <w:bCs/>
          <w:sz w:val="52"/>
        </w:rPr>
        <w:sectPr>
          <w:pgSz w:w="11906" w:h="16838"/>
          <w:pgMar w:top="1247" w:right="1417" w:bottom="1702" w:left="1417" w:header="851" w:footer="992" w:gutter="0"/>
          <w:pgNumType w:fmt="upperRoman" w:start="1"/>
          <w:cols w:space="720" w:num="1"/>
          <w:docGrid w:linePitch="312" w:charSpace="0"/>
        </w:sectPr>
      </w:pPr>
    </w:p>
    <w:p>
      <w:pPr>
        <w:pStyle w:val="2"/>
        <w:jc w:val="center"/>
        <w:rPr>
          <w:rFonts w:hint="eastAsia" w:hAnsi="宋体" w:cs="宋体"/>
          <w:b/>
          <w:sz w:val="32"/>
          <w:szCs w:val="32"/>
        </w:rPr>
      </w:pPr>
      <w:bookmarkStart w:id="1" w:name="_Toc377117004"/>
      <w:bookmarkStart w:id="2" w:name="_Toc163636232"/>
      <w:bookmarkStart w:id="3" w:name="_Toc281381122"/>
      <w:r>
        <w:rPr>
          <w:rFonts w:hint="eastAsia" w:hAnsi="宋体" w:cs="宋体"/>
          <w:b/>
          <w:sz w:val="32"/>
          <w:szCs w:val="32"/>
        </w:rPr>
        <w:t>第一章　投标邀请</w:t>
      </w:r>
      <w:bookmarkEnd w:id="1"/>
      <w:bookmarkEnd w:id="2"/>
    </w:p>
    <w:p>
      <w:pPr>
        <w:spacing w:line="400" w:lineRule="exact"/>
        <w:ind w:firstLine="480" w:firstLineChars="200"/>
        <w:rPr>
          <w:rFonts w:hint="eastAsia" w:ascii="宋体" w:hAnsi="宋体" w:cs="宋体"/>
          <w:sz w:val="24"/>
          <w:szCs w:val="24"/>
        </w:rPr>
      </w:pPr>
    </w:p>
    <w:p>
      <w:pPr>
        <w:spacing w:line="400" w:lineRule="exact"/>
        <w:ind w:firstLine="480" w:firstLineChars="200"/>
        <w:rPr>
          <w:rFonts w:hint="eastAsia" w:ascii="宋体" w:hAnsi="宋体" w:cs="宋体"/>
          <w:sz w:val="24"/>
          <w:szCs w:val="24"/>
        </w:rPr>
      </w:pPr>
      <w:r>
        <w:rPr>
          <w:rFonts w:hint="eastAsia" w:ascii="宋体" w:hAnsi="宋体" w:cs="宋体"/>
          <w:sz w:val="24"/>
          <w:szCs w:val="24"/>
        </w:rPr>
        <w:t>江西中铖工程管理有限公司受抚州市东乡区工业与科技创新投资集团有限公司的委托，</w:t>
      </w:r>
      <w:r>
        <w:rPr>
          <w:rFonts w:hint="eastAsia" w:ascii="宋体" w:hAnsi="宋体" w:cs="宋体"/>
          <w:b/>
          <w:bCs/>
          <w:sz w:val="24"/>
          <w:szCs w:val="24"/>
        </w:rPr>
        <w:t>参照《中华人民共和国政府采购法》等有关规定</w:t>
      </w:r>
      <w:r>
        <w:rPr>
          <w:rFonts w:hint="eastAsia" w:ascii="宋体" w:hAnsi="宋体" w:cs="宋体"/>
          <w:sz w:val="24"/>
          <w:szCs w:val="24"/>
        </w:rPr>
        <w:t>，现对东乡经济开发区化工集中区安全智能管控平台建设项目(三期)项目采购进行公开招标，欢迎合格的投标人参加投标。</w:t>
      </w:r>
    </w:p>
    <w:p>
      <w:pPr>
        <w:pStyle w:val="3"/>
        <w:keepNext w:val="0"/>
        <w:keepLines w:val="0"/>
        <w:spacing w:line="400" w:lineRule="exact"/>
        <w:rPr>
          <w:rFonts w:hint="eastAsia" w:ascii="宋体" w:hAnsi="宋体" w:eastAsia="宋体" w:cs="宋体"/>
          <w:sz w:val="24"/>
          <w:szCs w:val="24"/>
        </w:rPr>
      </w:pPr>
      <w:bookmarkStart w:id="4" w:name="_Toc28359002"/>
      <w:bookmarkStart w:id="5" w:name="_Toc35393621"/>
      <w:bookmarkStart w:id="6" w:name="_Toc28359079"/>
      <w:bookmarkStart w:id="7" w:name="_Toc27129"/>
      <w:bookmarkStart w:id="8" w:name="_Toc163636233"/>
      <w:bookmarkStart w:id="9" w:name="_Toc35393790"/>
      <w:bookmarkStart w:id="10" w:name="_Hlk24379207"/>
      <w:r>
        <w:rPr>
          <w:rFonts w:hint="eastAsia" w:ascii="宋体" w:hAnsi="宋体" w:eastAsia="宋体" w:cs="宋体"/>
          <w:sz w:val="24"/>
          <w:szCs w:val="24"/>
        </w:rPr>
        <w:t>一、项目基本情况</w:t>
      </w:r>
      <w:bookmarkEnd w:id="4"/>
      <w:bookmarkEnd w:id="5"/>
      <w:bookmarkEnd w:id="6"/>
      <w:bookmarkEnd w:id="7"/>
      <w:bookmarkEnd w:id="8"/>
      <w:bookmarkEnd w:id="9"/>
    </w:p>
    <w:bookmarkEnd w:id="10"/>
    <w:p>
      <w:pPr>
        <w:spacing w:line="400" w:lineRule="exact"/>
        <w:ind w:firstLine="480" w:firstLineChars="200"/>
        <w:rPr>
          <w:rFonts w:hint="eastAsia" w:ascii="宋体" w:hAnsi="宋体" w:cs="宋体"/>
          <w:sz w:val="24"/>
          <w:szCs w:val="24"/>
        </w:rPr>
      </w:pPr>
      <w:r>
        <w:rPr>
          <w:rFonts w:hint="eastAsia" w:ascii="宋体" w:hAnsi="宋体" w:cs="宋体"/>
          <w:sz w:val="24"/>
          <w:szCs w:val="24"/>
        </w:rPr>
        <w:t>1、项目编号：JXZS2024005</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2、项目名称：东乡经济开发区化工集中区安全智能管控平台建设项目(三期)项目采购</w:t>
      </w:r>
    </w:p>
    <w:p>
      <w:pPr>
        <w:spacing w:line="400" w:lineRule="exact"/>
        <w:ind w:firstLine="480" w:firstLineChars="200"/>
        <w:rPr>
          <w:rFonts w:ascii="宋体" w:hAnsi="宋体" w:cs="宋体"/>
          <w:sz w:val="24"/>
          <w:szCs w:val="24"/>
        </w:rPr>
      </w:pPr>
      <w:r>
        <w:rPr>
          <w:rFonts w:hint="eastAsia" w:ascii="宋体" w:hAnsi="宋体" w:cs="宋体"/>
          <w:sz w:val="24"/>
          <w:szCs w:val="24"/>
        </w:rPr>
        <w:t>3、预算金额：</w:t>
      </w:r>
      <w:r>
        <w:rPr>
          <w:rFonts w:ascii="宋体" w:hAnsi="宋体" w:cs="宋体"/>
          <w:sz w:val="24"/>
          <w:szCs w:val="24"/>
        </w:rPr>
        <w:t>4337086</w:t>
      </w: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0元</w:t>
      </w:r>
    </w:p>
    <w:p>
      <w:pPr>
        <w:spacing w:line="400" w:lineRule="exact"/>
        <w:ind w:firstLine="480" w:firstLineChars="200"/>
        <w:rPr>
          <w:rFonts w:ascii="宋体" w:hAnsi="宋体" w:cs="宋体"/>
          <w:sz w:val="24"/>
          <w:szCs w:val="24"/>
        </w:rPr>
      </w:pPr>
      <w:r>
        <w:rPr>
          <w:rFonts w:hint="eastAsia" w:ascii="宋体" w:hAnsi="宋体" w:cs="宋体"/>
          <w:sz w:val="24"/>
          <w:szCs w:val="24"/>
        </w:rPr>
        <w:t>4、最高限价：</w:t>
      </w:r>
      <w:r>
        <w:rPr>
          <w:rFonts w:ascii="宋体" w:hAnsi="宋体" w:cs="宋体"/>
          <w:sz w:val="24"/>
          <w:szCs w:val="24"/>
        </w:rPr>
        <w:t>4337086</w:t>
      </w: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0元</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5、采购需求：</w:t>
      </w:r>
    </w:p>
    <w:tbl>
      <w:tblPr>
        <w:tblStyle w:val="51"/>
        <w:tblW w:w="802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164"/>
        <w:gridCol w:w="1701"/>
        <w:gridCol w:w="992"/>
        <w:gridCol w:w="21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690" w:hRule="atLeast"/>
          <w:jc w:val="center"/>
        </w:trPr>
        <w:tc>
          <w:tcPr>
            <w:tcW w:w="3164" w:type="dxa"/>
            <w:noWrap w:val="0"/>
            <w:vAlign w:val="center"/>
          </w:tcPr>
          <w:p>
            <w:pPr>
              <w:spacing w:line="400" w:lineRule="exact"/>
              <w:jc w:val="center"/>
              <w:rPr>
                <w:rFonts w:hint="eastAsia" w:ascii="宋体" w:hAnsi="宋体" w:cs="宋体"/>
                <w:kern w:val="0"/>
                <w:szCs w:val="21"/>
                <w:lang w:bidi="ar"/>
              </w:rPr>
            </w:pPr>
            <w:bookmarkStart w:id="11" w:name="_Toc35393791"/>
            <w:bookmarkStart w:id="12" w:name="_Toc26529"/>
            <w:bookmarkStart w:id="13" w:name="_Toc28359003"/>
            <w:bookmarkStart w:id="14" w:name="_Toc28359080"/>
            <w:bookmarkStart w:id="15" w:name="_Toc35393622"/>
            <w:r>
              <w:rPr>
                <w:rFonts w:hint="eastAsia" w:ascii="宋体" w:hAnsi="宋体" w:cs="宋体"/>
                <w:kern w:val="0"/>
                <w:szCs w:val="21"/>
                <w:lang w:bidi="ar"/>
              </w:rPr>
              <w:t>采购条目名称</w:t>
            </w:r>
          </w:p>
        </w:tc>
        <w:tc>
          <w:tcPr>
            <w:tcW w:w="1701"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数量</w:t>
            </w:r>
          </w:p>
        </w:tc>
        <w:tc>
          <w:tcPr>
            <w:tcW w:w="992"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单位</w:t>
            </w:r>
          </w:p>
        </w:tc>
        <w:tc>
          <w:tcPr>
            <w:tcW w:w="2170" w:type="dxa"/>
            <w:tcBorders>
              <w:right w:val="single" w:color="auto" w:sz="4" w:space="0"/>
            </w:tcBorders>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主要服务要求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795" w:hRule="atLeast"/>
          <w:jc w:val="center"/>
        </w:trPr>
        <w:tc>
          <w:tcPr>
            <w:tcW w:w="3164"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东乡经济开发区化工集中区安全智能管控平台建设项目(三期)项目采购</w:t>
            </w:r>
          </w:p>
        </w:tc>
        <w:tc>
          <w:tcPr>
            <w:tcW w:w="1701"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1</w:t>
            </w:r>
          </w:p>
        </w:tc>
        <w:tc>
          <w:tcPr>
            <w:tcW w:w="992"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项</w:t>
            </w:r>
          </w:p>
        </w:tc>
        <w:tc>
          <w:tcPr>
            <w:tcW w:w="2170" w:type="dxa"/>
            <w:tcBorders>
              <w:right w:val="single" w:color="auto" w:sz="4" w:space="0"/>
            </w:tcBorders>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详见“采购项目需求”</w:t>
            </w:r>
          </w:p>
        </w:tc>
      </w:tr>
    </w:tbl>
    <w:p>
      <w:pPr>
        <w:spacing w:line="400" w:lineRule="exact"/>
        <w:ind w:firstLine="480" w:firstLineChars="200"/>
        <w:rPr>
          <w:rFonts w:ascii="宋体" w:hAnsi="宋体" w:cs="宋体"/>
          <w:sz w:val="24"/>
          <w:szCs w:val="24"/>
        </w:rPr>
      </w:pPr>
      <w:r>
        <w:rPr>
          <w:rFonts w:hint="eastAsia" w:ascii="宋体" w:hAnsi="宋体" w:cs="宋体"/>
          <w:sz w:val="24"/>
          <w:szCs w:val="24"/>
        </w:rPr>
        <w:t>注：</w:t>
      </w:r>
      <w:r>
        <w:rPr>
          <w:rFonts w:ascii="宋体" w:hAnsi="宋体" w:cs="宋体"/>
          <w:sz w:val="24"/>
          <w:szCs w:val="24"/>
        </w:rPr>
        <w:t>投标报价不得高于本项目最高限价，否则以废标处理。</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6、合同履行期限：</w:t>
      </w:r>
      <w:r>
        <w:rPr>
          <w:rFonts w:ascii="宋体" w:hAnsi="宋体" w:cs="宋体"/>
          <w:sz w:val="24"/>
          <w:szCs w:val="24"/>
        </w:rPr>
        <w:t xml:space="preserve">签订合同后的 </w:t>
      </w:r>
      <w:r>
        <w:rPr>
          <w:rFonts w:hint="eastAsia" w:ascii="宋体" w:hAnsi="宋体" w:cs="宋体"/>
          <w:sz w:val="24"/>
          <w:szCs w:val="24"/>
        </w:rPr>
        <w:t>120</w:t>
      </w:r>
      <w:r>
        <w:rPr>
          <w:rFonts w:ascii="宋体" w:hAnsi="宋体" w:cs="宋体"/>
          <w:sz w:val="24"/>
          <w:szCs w:val="24"/>
        </w:rPr>
        <w:t>日历天内完成交货、安装、调试等项目全部内容。</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7、</w:t>
      </w:r>
      <w:r>
        <w:rPr>
          <w:rFonts w:ascii="宋体" w:hAnsi="宋体" w:cs="宋体"/>
          <w:sz w:val="24"/>
          <w:szCs w:val="24"/>
        </w:rPr>
        <w:t>本项目不接受进口产品，</w:t>
      </w:r>
      <w:r>
        <w:rPr>
          <w:rFonts w:hint="eastAsia" w:ascii="宋体" w:hAnsi="宋体" w:cs="宋体"/>
          <w:sz w:val="24"/>
          <w:szCs w:val="24"/>
        </w:rPr>
        <w:t>不</w:t>
      </w:r>
      <w:r>
        <w:rPr>
          <w:rFonts w:ascii="宋体" w:hAnsi="宋体" w:cs="宋体"/>
          <w:sz w:val="24"/>
          <w:szCs w:val="24"/>
        </w:rPr>
        <w:t>接受联合体投标，</w:t>
      </w:r>
      <w:r>
        <w:rPr>
          <w:rFonts w:hint="eastAsia" w:ascii="宋体" w:hAnsi="宋体" w:cs="宋体"/>
          <w:sz w:val="24"/>
          <w:szCs w:val="24"/>
        </w:rPr>
        <w:t>不</w:t>
      </w:r>
      <w:r>
        <w:rPr>
          <w:rFonts w:ascii="宋体" w:hAnsi="宋体" w:cs="宋体"/>
          <w:sz w:val="24"/>
          <w:szCs w:val="24"/>
        </w:rPr>
        <w:t>允许分包。</w:t>
      </w:r>
    </w:p>
    <w:p>
      <w:pPr>
        <w:pStyle w:val="3"/>
        <w:keepNext w:val="0"/>
        <w:keepLines w:val="0"/>
        <w:spacing w:line="400" w:lineRule="exact"/>
        <w:rPr>
          <w:rFonts w:hint="eastAsia" w:ascii="宋体" w:hAnsi="宋体" w:eastAsia="宋体" w:cs="宋体"/>
          <w:sz w:val="24"/>
          <w:szCs w:val="24"/>
        </w:rPr>
      </w:pPr>
      <w:bookmarkStart w:id="16" w:name="_Toc163636234"/>
      <w:r>
        <w:rPr>
          <w:rFonts w:hint="eastAsia" w:ascii="宋体" w:hAnsi="宋体" w:eastAsia="宋体" w:cs="宋体"/>
          <w:sz w:val="24"/>
          <w:szCs w:val="24"/>
        </w:rPr>
        <w:t>二、申请人的资格要求</w:t>
      </w:r>
      <w:bookmarkEnd w:id="11"/>
      <w:bookmarkEnd w:id="12"/>
      <w:bookmarkEnd w:id="13"/>
      <w:bookmarkEnd w:id="14"/>
      <w:bookmarkEnd w:id="15"/>
      <w:bookmarkEnd w:id="16"/>
    </w:p>
    <w:p>
      <w:pPr>
        <w:spacing w:line="400" w:lineRule="exact"/>
        <w:rPr>
          <w:rFonts w:hint="eastAsia" w:ascii="宋体" w:hAnsi="宋体" w:cs="宋体"/>
          <w:sz w:val="24"/>
          <w:szCs w:val="24"/>
        </w:rPr>
      </w:pPr>
      <w:r>
        <w:rPr>
          <w:rFonts w:hint="eastAsia" w:ascii="宋体" w:hAnsi="宋体" w:cs="宋体"/>
          <w:sz w:val="24"/>
          <w:szCs w:val="24"/>
        </w:rPr>
        <w:t>1.满足《中华人民共和国政府采购法》第二十二条规定；</w:t>
      </w:r>
    </w:p>
    <w:p>
      <w:pPr>
        <w:spacing w:line="400" w:lineRule="exact"/>
        <w:rPr>
          <w:rFonts w:hint="eastAsia" w:ascii="宋体" w:hAnsi="宋体" w:cs="宋体"/>
          <w:sz w:val="24"/>
          <w:szCs w:val="24"/>
        </w:rPr>
      </w:pPr>
      <w:r>
        <w:rPr>
          <w:rFonts w:hint="eastAsia" w:ascii="宋体" w:hAnsi="宋体" w:cs="宋体"/>
          <w:sz w:val="24"/>
          <w:szCs w:val="24"/>
        </w:rPr>
        <w:t>（1）具有独立承担民事责任的能力</w:t>
      </w:r>
    </w:p>
    <w:p>
      <w:pPr>
        <w:spacing w:line="400" w:lineRule="exact"/>
        <w:rPr>
          <w:rFonts w:hint="eastAsia" w:ascii="宋体" w:hAnsi="宋体" w:cs="宋体"/>
          <w:sz w:val="24"/>
          <w:szCs w:val="24"/>
        </w:rPr>
      </w:pPr>
      <w:r>
        <w:rPr>
          <w:rFonts w:hint="eastAsia" w:ascii="宋体" w:hAnsi="宋体" w:cs="宋体"/>
          <w:sz w:val="24"/>
          <w:szCs w:val="24"/>
        </w:rPr>
        <w:t xml:space="preserve">（2）具有良好的商业信誉和健全的财务会计制度 </w:t>
      </w:r>
    </w:p>
    <w:p>
      <w:pPr>
        <w:spacing w:line="400" w:lineRule="exact"/>
        <w:rPr>
          <w:rFonts w:hint="eastAsia" w:ascii="宋体" w:hAnsi="宋体" w:cs="宋体"/>
          <w:sz w:val="24"/>
          <w:szCs w:val="24"/>
        </w:rPr>
      </w:pPr>
      <w:r>
        <w:rPr>
          <w:rFonts w:hint="eastAsia" w:ascii="宋体" w:hAnsi="宋体" w:cs="宋体"/>
          <w:sz w:val="24"/>
          <w:szCs w:val="24"/>
        </w:rPr>
        <w:t xml:space="preserve">（3）具有履行合同所必需的设备和专业技术能力 </w:t>
      </w:r>
    </w:p>
    <w:p>
      <w:pPr>
        <w:spacing w:line="400" w:lineRule="exact"/>
        <w:rPr>
          <w:rFonts w:hint="eastAsia" w:ascii="宋体" w:hAnsi="宋体" w:cs="宋体"/>
          <w:sz w:val="24"/>
          <w:szCs w:val="24"/>
        </w:rPr>
      </w:pPr>
      <w:r>
        <w:rPr>
          <w:rFonts w:hint="eastAsia" w:ascii="宋体" w:hAnsi="宋体" w:cs="宋体"/>
          <w:sz w:val="24"/>
          <w:szCs w:val="24"/>
        </w:rPr>
        <w:t>（4）有依法缴纳税收和社会保障资金的良好记录</w:t>
      </w:r>
    </w:p>
    <w:p>
      <w:pPr>
        <w:spacing w:line="400" w:lineRule="exact"/>
        <w:rPr>
          <w:rFonts w:hint="eastAsia" w:ascii="宋体" w:hAnsi="宋体" w:cs="宋体"/>
          <w:sz w:val="24"/>
          <w:szCs w:val="24"/>
        </w:rPr>
      </w:pPr>
      <w:r>
        <w:rPr>
          <w:rFonts w:hint="eastAsia" w:ascii="宋体" w:hAnsi="宋体" w:cs="宋体"/>
          <w:sz w:val="24"/>
          <w:szCs w:val="24"/>
        </w:rPr>
        <w:t>（5）参加政府采购活动前三年内,在经营活动中没有重大违法记录</w:t>
      </w:r>
    </w:p>
    <w:p>
      <w:pPr>
        <w:spacing w:line="400" w:lineRule="exact"/>
        <w:jc w:val="left"/>
        <w:rPr>
          <w:rFonts w:ascii="宋体" w:hAnsi="宋体" w:cs="宋体"/>
          <w:sz w:val="24"/>
          <w:szCs w:val="24"/>
        </w:rPr>
      </w:pPr>
      <w:bookmarkStart w:id="17" w:name="_Toc28359081"/>
      <w:bookmarkStart w:id="18" w:name="_Toc35393623"/>
      <w:bookmarkStart w:id="19" w:name="_Toc35393792"/>
      <w:bookmarkStart w:id="20" w:name="_Toc28359004"/>
      <w:r>
        <w:rPr>
          <w:rFonts w:hint="eastAsia" w:ascii="宋体" w:hAnsi="宋体" w:cs="宋体"/>
          <w:sz w:val="24"/>
          <w:szCs w:val="24"/>
        </w:rPr>
        <w:t>（6）法律、行政法规规定的其他条件。</w:t>
      </w:r>
    </w:p>
    <w:p>
      <w:pPr>
        <w:spacing w:line="400" w:lineRule="exact"/>
        <w:rPr>
          <w:rFonts w:hint="eastAsia" w:ascii="宋体" w:hAnsi="宋体" w:cs="宋体"/>
          <w:sz w:val="24"/>
          <w:szCs w:val="24"/>
        </w:rPr>
      </w:pPr>
      <w:r>
        <w:rPr>
          <w:rFonts w:hint="eastAsia" w:ascii="宋体" w:hAnsi="宋体" w:cs="宋体"/>
          <w:sz w:val="24"/>
          <w:szCs w:val="24"/>
        </w:rPr>
        <w:t>2.落实政府采购需满足的资格要求：</w:t>
      </w:r>
    </w:p>
    <w:p>
      <w:pPr>
        <w:spacing w:line="400" w:lineRule="exact"/>
        <w:ind w:firstLine="240" w:firstLineChars="100"/>
        <w:rPr>
          <w:rFonts w:ascii="宋体" w:hAnsi="宋体" w:cs="宋体"/>
          <w:sz w:val="24"/>
          <w:szCs w:val="24"/>
        </w:rPr>
      </w:pPr>
      <w:r>
        <w:rPr>
          <w:rFonts w:hint="eastAsia" w:ascii="宋体" w:hAnsi="宋体" w:cs="宋体"/>
          <w:sz w:val="24"/>
          <w:szCs w:val="24"/>
        </w:rPr>
        <w:t>2.1单位负责人为同一人或者存在直接控股、管理关系的不同投标人，不得参加同一合同项下的采购活动。</w:t>
      </w:r>
    </w:p>
    <w:p>
      <w:pPr>
        <w:spacing w:line="400" w:lineRule="exact"/>
        <w:ind w:firstLine="240" w:firstLineChars="100"/>
        <w:rPr>
          <w:rFonts w:hint="eastAsia" w:ascii="宋体" w:hAnsi="宋体" w:cs="宋体"/>
          <w:sz w:val="24"/>
          <w:szCs w:val="24"/>
        </w:rPr>
      </w:pPr>
      <w:r>
        <w:rPr>
          <w:rFonts w:hint="eastAsia" w:ascii="宋体" w:hAnsi="宋体" w:cs="宋体"/>
          <w:sz w:val="24"/>
          <w:szCs w:val="24"/>
        </w:rPr>
        <w:t>2．2为采购项目提供整体设计、规范编制或者项目管理、监理、检测等服务的供应商不得参加该采购项目的采购活动。</w:t>
      </w:r>
    </w:p>
    <w:p>
      <w:pPr>
        <w:spacing w:line="400" w:lineRule="exact"/>
        <w:ind w:firstLine="240" w:firstLineChars="100"/>
        <w:rPr>
          <w:rFonts w:ascii="宋体" w:hAnsi="宋体" w:cs="宋体"/>
          <w:sz w:val="24"/>
          <w:szCs w:val="24"/>
        </w:rPr>
      </w:pPr>
      <w:r>
        <w:rPr>
          <w:rFonts w:hint="eastAsia" w:ascii="宋体" w:hAnsi="宋体" w:cs="宋体"/>
          <w:sz w:val="24"/>
          <w:szCs w:val="24"/>
        </w:rPr>
        <w:t>2.3投标人被“信用中国”列入失信被执行人和重大税收违法案件当事人名单的、被“中国政府采购网”网站列入政府采购严重违法失信行为记录名单（处罚期限尚未届满的），不得参与本项目的政府采购活动。</w:t>
      </w:r>
    </w:p>
    <w:p>
      <w:pPr>
        <w:spacing w:line="400" w:lineRule="exact"/>
        <w:ind w:firstLine="240" w:firstLineChars="100"/>
        <w:rPr>
          <w:rFonts w:ascii="宋体" w:hAnsi="宋体" w:cs="宋体"/>
          <w:sz w:val="24"/>
          <w:szCs w:val="24"/>
        </w:rPr>
      </w:pPr>
      <w:r>
        <w:rPr>
          <w:rFonts w:hint="eastAsia" w:ascii="宋体" w:hAnsi="宋体" w:cs="宋体"/>
          <w:sz w:val="24"/>
          <w:szCs w:val="24"/>
        </w:rPr>
        <w:t>2．4</w:t>
      </w:r>
      <w:r>
        <w:rPr>
          <w:rFonts w:ascii="宋体" w:hAnsi="宋体" w:cs="宋体"/>
          <w:sz w:val="24"/>
          <w:szCs w:val="24"/>
        </w:rPr>
        <w:t>投标产品属于政府强制采购节能产品、环境标志产品的，投标人必须提供政府强制节能产品、环境标志产品的品目清单范围截图，并提供由国家确定的认证机构出具的处 于有效期之内的节能产品、环境标志产品的认证证书。</w:t>
      </w:r>
    </w:p>
    <w:p>
      <w:pPr>
        <w:spacing w:line="400" w:lineRule="exact"/>
        <w:ind w:firstLine="240" w:firstLineChars="100"/>
        <w:rPr>
          <w:rFonts w:hint="eastAsia" w:ascii="宋体" w:hAnsi="宋体" w:cs="宋体"/>
          <w:sz w:val="24"/>
          <w:szCs w:val="24"/>
        </w:rPr>
      </w:pPr>
      <w:r>
        <w:rPr>
          <w:rFonts w:hint="eastAsia" w:ascii="宋体" w:hAnsi="宋体" w:cs="宋体"/>
          <w:sz w:val="24"/>
          <w:szCs w:val="24"/>
        </w:rPr>
        <w:t>2．5</w:t>
      </w:r>
      <w:r>
        <w:rPr>
          <w:rFonts w:ascii="宋体" w:hAnsi="宋体" w:cs="宋体"/>
          <w:sz w:val="24"/>
          <w:szCs w:val="24"/>
        </w:rPr>
        <w:t>落实政府采购政策需满足的资格要求：促进中小企业发展政策、监狱企业扶持政策、残疾人企业扶持政策、政府采购节约能源政策、政府采购环境保护政策等。具体详见招标文件。</w:t>
      </w:r>
    </w:p>
    <w:p>
      <w:pPr>
        <w:spacing w:line="400" w:lineRule="exact"/>
        <w:rPr>
          <w:rFonts w:hint="eastAsia" w:ascii="宋体" w:hAnsi="宋体" w:cs="宋体"/>
          <w:sz w:val="24"/>
          <w:szCs w:val="24"/>
        </w:rPr>
      </w:pPr>
      <w:r>
        <w:rPr>
          <w:rFonts w:hint="eastAsia" w:ascii="宋体" w:hAnsi="宋体" w:cs="宋体"/>
          <w:sz w:val="24"/>
          <w:szCs w:val="24"/>
        </w:rPr>
        <w:t>3.本项目的特定资格要求：/</w:t>
      </w:r>
    </w:p>
    <w:p>
      <w:pPr>
        <w:pStyle w:val="3"/>
        <w:keepNext w:val="0"/>
        <w:keepLines w:val="0"/>
        <w:spacing w:line="400" w:lineRule="exact"/>
        <w:rPr>
          <w:rFonts w:hint="eastAsia" w:ascii="宋体" w:hAnsi="宋体" w:eastAsia="宋体" w:cs="宋体"/>
          <w:sz w:val="24"/>
          <w:szCs w:val="24"/>
        </w:rPr>
      </w:pPr>
      <w:bookmarkStart w:id="21" w:name="_Toc163636235"/>
      <w:r>
        <w:rPr>
          <w:rFonts w:hint="eastAsia" w:ascii="宋体" w:hAnsi="宋体" w:eastAsia="宋体" w:cs="宋体"/>
          <w:sz w:val="24"/>
          <w:szCs w:val="24"/>
        </w:rPr>
        <w:t>三、获取招标文件</w:t>
      </w:r>
      <w:bookmarkEnd w:id="17"/>
      <w:bookmarkEnd w:id="18"/>
      <w:bookmarkEnd w:id="19"/>
      <w:bookmarkEnd w:id="20"/>
      <w:bookmarkEnd w:id="21"/>
    </w:p>
    <w:p>
      <w:pPr>
        <w:spacing w:line="400" w:lineRule="exact"/>
        <w:ind w:left="1279" w:leftChars="266" w:hanging="720" w:hangingChars="300"/>
        <w:rPr>
          <w:rFonts w:hint="eastAsia" w:ascii="宋体" w:hAnsi="宋体" w:cs="宋体"/>
          <w:sz w:val="24"/>
          <w:szCs w:val="24"/>
        </w:rPr>
      </w:pPr>
      <w:bookmarkStart w:id="22" w:name="_Toc28359005"/>
      <w:bookmarkStart w:id="23" w:name="_Toc28359082"/>
      <w:bookmarkStart w:id="24" w:name="_Toc20720"/>
      <w:bookmarkStart w:id="25" w:name="_Toc35393793"/>
      <w:bookmarkStart w:id="26" w:name="_Toc35393624"/>
      <w:r>
        <w:rPr>
          <w:rFonts w:hint="eastAsia" w:ascii="宋体" w:hAnsi="宋体" w:cs="宋体"/>
          <w:sz w:val="24"/>
          <w:szCs w:val="24"/>
        </w:rPr>
        <w:t>时间：2024年4月10日至2024年4月30日（提供期限自本公告发布之日起不得少于5个工作日）</w:t>
      </w:r>
    </w:p>
    <w:p>
      <w:pPr>
        <w:spacing w:line="400" w:lineRule="exact"/>
        <w:ind w:left="1279" w:leftChars="266" w:hanging="720" w:hangingChars="300"/>
        <w:rPr>
          <w:rFonts w:hint="eastAsia" w:ascii="宋体" w:hAnsi="宋体" w:cs="宋体"/>
          <w:sz w:val="24"/>
          <w:szCs w:val="24"/>
        </w:rPr>
      </w:pPr>
      <w:r>
        <w:rPr>
          <w:rFonts w:hint="eastAsia" w:ascii="宋体" w:hAnsi="宋体" w:cs="宋体"/>
          <w:sz w:val="24"/>
          <w:szCs w:val="24"/>
        </w:rPr>
        <w:t>地点：</w:t>
      </w:r>
      <w:r>
        <w:rPr>
          <w:rFonts w:hint="eastAsia" w:ascii="宋体" w:hAnsi="宋体" w:cs="宋体"/>
          <w:bCs/>
          <w:sz w:val="24"/>
          <w:szCs w:val="24"/>
        </w:rPr>
        <w:t>东乡区人民政府</w:t>
      </w:r>
      <w:r>
        <w:rPr>
          <w:rFonts w:hint="eastAsia" w:ascii="宋体" w:hAnsi="宋体" w:cs="宋体"/>
          <w:sz w:val="24"/>
          <w:szCs w:val="24"/>
        </w:rPr>
        <w:t>网、</w:t>
      </w:r>
      <w:r>
        <w:rPr>
          <w:rFonts w:ascii="宋体" w:hAnsi="宋体" w:cs="宋体"/>
          <w:sz w:val="24"/>
          <w:szCs w:val="24"/>
        </w:rPr>
        <w:t>抚州市东乡区工业与科技创新投资集团有限公司</w:t>
      </w:r>
      <w:r>
        <w:rPr>
          <w:rFonts w:hint="eastAsia" w:ascii="宋体" w:hAnsi="宋体" w:cs="宋体"/>
          <w:sz w:val="24"/>
          <w:szCs w:val="24"/>
        </w:rPr>
        <w:t>官网</w:t>
      </w:r>
    </w:p>
    <w:p>
      <w:pPr>
        <w:spacing w:line="400" w:lineRule="exact"/>
        <w:ind w:left="1279" w:leftChars="266" w:hanging="720" w:hangingChars="300"/>
        <w:rPr>
          <w:rFonts w:hint="eastAsia" w:ascii="宋体" w:hAnsi="宋体" w:cs="宋体"/>
          <w:sz w:val="24"/>
          <w:szCs w:val="24"/>
        </w:rPr>
      </w:pPr>
      <w:r>
        <w:rPr>
          <w:rFonts w:hint="eastAsia" w:ascii="宋体" w:hAnsi="宋体" w:cs="宋体"/>
          <w:sz w:val="24"/>
          <w:szCs w:val="24"/>
        </w:rPr>
        <w:t>方式：网上下载。</w:t>
      </w:r>
    </w:p>
    <w:p>
      <w:pPr>
        <w:spacing w:line="400" w:lineRule="exact"/>
        <w:ind w:firstLine="540"/>
        <w:rPr>
          <w:rFonts w:hint="eastAsia" w:ascii="宋体" w:hAnsi="宋体" w:cs="宋体"/>
          <w:sz w:val="24"/>
          <w:szCs w:val="24"/>
        </w:rPr>
      </w:pPr>
      <w:r>
        <w:rPr>
          <w:rFonts w:hint="eastAsia" w:ascii="宋体" w:hAnsi="宋体" w:cs="宋体"/>
          <w:sz w:val="24"/>
          <w:szCs w:val="24"/>
        </w:rPr>
        <w:t>售价：0.00元</w:t>
      </w:r>
    </w:p>
    <w:p>
      <w:pPr>
        <w:pStyle w:val="3"/>
        <w:keepNext w:val="0"/>
        <w:keepLines w:val="0"/>
        <w:spacing w:line="400" w:lineRule="exact"/>
        <w:rPr>
          <w:rFonts w:hint="eastAsia" w:ascii="宋体" w:hAnsi="宋体" w:eastAsia="宋体" w:cs="宋体"/>
          <w:sz w:val="24"/>
          <w:szCs w:val="24"/>
        </w:rPr>
      </w:pPr>
      <w:bookmarkStart w:id="27" w:name="_Toc163636236"/>
      <w:r>
        <w:rPr>
          <w:rFonts w:hint="eastAsia" w:ascii="宋体" w:hAnsi="宋体" w:eastAsia="宋体" w:cs="宋体"/>
          <w:sz w:val="24"/>
          <w:szCs w:val="24"/>
        </w:rPr>
        <w:t>四、提交投标文件</w:t>
      </w:r>
      <w:bookmarkEnd w:id="22"/>
      <w:bookmarkEnd w:id="23"/>
      <w:r>
        <w:rPr>
          <w:rFonts w:hint="eastAsia" w:ascii="宋体" w:hAnsi="宋体" w:eastAsia="宋体" w:cs="宋体"/>
          <w:sz w:val="24"/>
          <w:szCs w:val="24"/>
        </w:rPr>
        <w:t>截止时间、开标时间和地点</w:t>
      </w:r>
      <w:bookmarkEnd w:id="24"/>
      <w:bookmarkEnd w:id="25"/>
      <w:bookmarkEnd w:id="26"/>
      <w:bookmarkEnd w:id="27"/>
    </w:p>
    <w:p>
      <w:pPr>
        <w:spacing w:line="400" w:lineRule="exact"/>
        <w:ind w:firstLine="480" w:firstLineChars="200"/>
        <w:rPr>
          <w:rFonts w:hint="eastAsia" w:ascii="宋体" w:hAnsi="宋体" w:cs="宋体"/>
          <w:sz w:val="24"/>
          <w:szCs w:val="24"/>
        </w:rPr>
      </w:pPr>
      <w:bookmarkStart w:id="28" w:name="_Toc12960"/>
      <w:bookmarkStart w:id="29" w:name="_Toc28359007"/>
      <w:bookmarkStart w:id="30" w:name="_Toc35393625"/>
      <w:bookmarkStart w:id="31" w:name="_Toc28359084"/>
      <w:bookmarkStart w:id="32" w:name="_Toc35393794"/>
      <w:r>
        <w:rPr>
          <w:rFonts w:hint="eastAsia" w:ascii="宋体" w:hAnsi="宋体" w:cs="宋体"/>
          <w:sz w:val="24"/>
          <w:szCs w:val="24"/>
        </w:rPr>
        <w:t>截止时间、开标时间：</w:t>
      </w:r>
      <w:r>
        <w:rPr>
          <w:rFonts w:hint="eastAsia" w:ascii="宋体" w:hAnsi="宋体" w:cs="宋体"/>
          <w:b/>
          <w:bCs/>
          <w:sz w:val="24"/>
          <w:szCs w:val="24"/>
        </w:rPr>
        <w:t>2024年4月30日10点00分</w:t>
      </w:r>
      <w:r>
        <w:rPr>
          <w:rFonts w:hint="eastAsia" w:ascii="宋体" w:hAnsi="宋体" w:cs="宋体"/>
          <w:sz w:val="24"/>
          <w:szCs w:val="24"/>
        </w:rPr>
        <w:t>（北京时间）（自招标文件开始发出之日起至投标人提交投标文件截止之日止，不得少于20日），</w:t>
      </w:r>
      <w:r>
        <w:rPr>
          <w:rFonts w:ascii="宋体" w:hAnsi="宋体" w:cs="宋体"/>
          <w:sz w:val="24"/>
          <w:szCs w:val="24"/>
        </w:rPr>
        <w:t>供应商必须提供纸质</w:t>
      </w:r>
      <w:r>
        <w:rPr>
          <w:rFonts w:hint="eastAsia" w:ascii="宋体" w:hAnsi="宋体" w:cs="宋体"/>
          <w:sz w:val="24"/>
          <w:szCs w:val="24"/>
        </w:rPr>
        <w:t>投标</w:t>
      </w:r>
      <w:r>
        <w:rPr>
          <w:rFonts w:ascii="宋体" w:hAnsi="宋体" w:cs="宋体"/>
          <w:sz w:val="24"/>
          <w:szCs w:val="24"/>
        </w:rPr>
        <w:t>文件一正</w:t>
      </w:r>
      <w:r>
        <w:rPr>
          <w:rFonts w:hint="eastAsia" w:ascii="宋体" w:hAnsi="宋体" w:cs="宋体"/>
          <w:sz w:val="24"/>
          <w:szCs w:val="24"/>
        </w:rPr>
        <w:t>四</w:t>
      </w:r>
      <w:r>
        <w:rPr>
          <w:rFonts w:ascii="宋体" w:hAnsi="宋体" w:cs="宋体"/>
          <w:sz w:val="24"/>
          <w:szCs w:val="24"/>
        </w:rPr>
        <w:t>副在投标截止时间之前递交到开标地点，并派代表出席开标仪式。</w:t>
      </w:r>
    </w:p>
    <w:p>
      <w:pPr>
        <w:spacing w:line="400" w:lineRule="exact"/>
        <w:ind w:firstLine="480" w:firstLineChars="200"/>
        <w:rPr>
          <w:rFonts w:ascii="宋体" w:hAnsi="宋体" w:cs="宋体"/>
          <w:sz w:val="24"/>
          <w:szCs w:val="24"/>
        </w:rPr>
      </w:pPr>
      <w:r>
        <w:rPr>
          <w:rFonts w:hint="eastAsia" w:ascii="宋体" w:hAnsi="宋体" w:cs="宋体"/>
          <w:sz w:val="24"/>
          <w:szCs w:val="24"/>
        </w:rPr>
        <w:t>地点：抚州市公共资源交易中心东乡区分中心</w:t>
      </w:r>
    </w:p>
    <w:p>
      <w:pPr>
        <w:pStyle w:val="3"/>
        <w:keepNext w:val="0"/>
        <w:keepLines w:val="0"/>
        <w:spacing w:line="400" w:lineRule="exact"/>
        <w:rPr>
          <w:rFonts w:hint="eastAsia" w:ascii="宋体" w:hAnsi="宋体" w:eastAsia="宋体" w:cs="宋体"/>
          <w:sz w:val="24"/>
          <w:szCs w:val="24"/>
        </w:rPr>
      </w:pPr>
      <w:bookmarkStart w:id="33" w:name="_Toc163636237"/>
      <w:r>
        <w:rPr>
          <w:rFonts w:hint="eastAsia" w:ascii="宋体" w:hAnsi="宋体" w:eastAsia="宋体" w:cs="宋体"/>
          <w:sz w:val="24"/>
          <w:szCs w:val="24"/>
        </w:rPr>
        <w:t>五、公告期限</w:t>
      </w:r>
      <w:bookmarkEnd w:id="28"/>
      <w:bookmarkEnd w:id="29"/>
      <w:bookmarkEnd w:id="30"/>
      <w:bookmarkEnd w:id="31"/>
      <w:bookmarkEnd w:id="32"/>
      <w:bookmarkEnd w:id="33"/>
    </w:p>
    <w:p>
      <w:pPr>
        <w:spacing w:line="400" w:lineRule="exact"/>
        <w:ind w:firstLine="480" w:firstLineChars="200"/>
        <w:rPr>
          <w:rFonts w:hint="eastAsia" w:ascii="宋体" w:hAnsi="宋体" w:cs="宋体"/>
          <w:sz w:val="24"/>
          <w:szCs w:val="24"/>
        </w:rPr>
      </w:pPr>
      <w:r>
        <w:rPr>
          <w:rFonts w:hint="eastAsia" w:ascii="宋体" w:hAnsi="宋体" w:cs="宋体"/>
          <w:sz w:val="24"/>
          <w:szCs w:val="24"/>
        </w:rPr>
        <w:t>自本公告发布之日起5个工作日。</w:t>
      </w:r>
    </w:p>
    <w:p>
      <w:pPr>
        <w:pStyle w:val="3"/>
        <w:keepNext w:val="0"/>
        <w:keepLines w:val="0"/>
        <w:spacing w:line="400" w:lineRule="exact"/>
        <w:rPr>
          <w:rFonts w:hint="eastAsia" w:ascii="宋体" w:hAnsi="宋体" w:eastAsia="宋体" w:cs="宋体"/>
          <w:sz w:val="24"/>
          <w:szCs w:val="24"/>
        </w:rPr>
      </w:pPr>
      <w:bookmarkStart w:id="34" w:name="_Toc35393795"/>
      <w:bookmarkStart w:id="35" w:name="_Toc35393626"/>
      <w:bookmarkStart w:id="36" w:name="_Toc163636238"/>
      <w:bookmarkStart w:id="37" w:name="_Toc10090"/>
      <w:r>
        <w:rPr>
          <w:rFonts w:hint="eastAsia" w:ascii="宋体" w:hAnsi="宋体" w:eastAsia="宋体" w:cs="宋体"/>
          <w:sz w:val="24"/>
          <w:szCs w:val="24"/>
        </w:rPr>
        <w:t>六、其他补充事宜</w:t>
      </w:r>
      <w:bookmarkEnd w:id="34"/>
      <w:bookmarkEnd w:id="35"/>
      <w:bookmarkEnd w:id="36"/>
      <w:bookmarkEnd w:id="37"/>
    </w:p>
    <w:p>
      <w:pPr>
        <w:spacing w:line="400" w:lineRule="exact"/>
        <w:ind w:firstLine="480" w:firstLineChars="200"/>
        <w:rPr>
          <w:rFonts w:ascii="宋体" w:hAnsi="宋体" w:cs="宋体"/>
          <w:sz w:val="24"/>
          <w:szCs w:val="24"/>
        </w:rPr>
      </w:pPr>
      <w:bookmarkStart w:id="38" w:name="_Toc28359085"/>
      <w:bookmarkStart w:id="39" w:name="_Toc25456"/>
      <w:bookmarkStart w:id="40" w:name="_Toc35393796"/>
      <w:bookmarkStart w:id="41" w:name="_Toc28359008"/>
      <w:bookmarkStart w:id="42" w:name="_Toc35393627"/>
      <w:r>
        <w:rPr>
          <w:rFonts w:hint="eastAsia" w:ascii="宋体" w:hAnsi="宋体" w:cs="宋体"/>
          <w:sz w:val="24"/>
          <w:szCs w:val="24"/>
        </w:rPr>
        <w:t>本项目采购信息澄清、变更、修改、补充等事宜均在抚州市东乡区人民政府网、</w:t>
      </w:r>
      <w:r>
        <w:rPr>
          <w:rFonts w:ascii="宋体" w:hAnsi="宋体" w:cs="宋体"/>
          <w:sz w:val="24"/>
          <w:szCs w:val="24"/>
        </w:rPr>
        <w:fldChar w:fldCharType="begin"/>
      </w:r>
      <w:r>
        <w:rPr>
          <w:rFonts w:ascii="宋体" w:hAnsi="宋体" w:cs="宋体"/>
          <w:sz w:val="24"/>
          <w:szCs w:val="24"/>
        </w:rPr>
        <w:instrText xml:space="preserve">HYPERLINK "http://抚州市东乡区工业与科技创新投资集团有限公司</w:instrText>
      </w:r>
      <w:r>
        <w:rPr>
          <w:rFonts w:hint="eastAsia" w:ascii="宋体" w:hAnsi="宋体" w:cs="宋体"/>
          <w:sz w:val="24"/>
          <w:szCs w:val="24"/>
        </w:rPr>
        <w:instrText xml:space="preserve">官网</w:instrText>
      </w:r>
      <w:r>
        <w:rPr>
          <w:rFonts w:ascii="宋体" w:hAnsi="宋体" w:cs="宋体"/>
          <w:sz w:val="24"/>
          <w:szCs w:val="24"/>
        </w:rPr>
        <w:instrText xml:space="preserve"> www.dxgctjt.com)"</w:instrText>
      </w:r>
      <w:r>
        <w:rPr>
          <w:rFonts w:ascii="宋体" w:hAnsi="宋体" w:cs="宋体"/>
          <w:sz w:val="24"/>
          <w:szCs w:val="24"/>
        </w:rPr>
        <w:fldChar w:fldCharType="separate"/>
      </w:r>
      <w:r>
        <w:rPr>
          <w:rStyle w:val="58"/>
          <w:rFonts w:ascii="宋体" w:hAnsi="宋体" w:cs="宋体"/>
          <w:color w:val="auto"/>
          <w:sz w:val="24"/>
          <w:szCs w:val="24"/>
        </w:rPr>
        <w:t>抚州市东乡区工业与科技创新投资集团有限公司</w:t>
      </w:r>
      <w:r>
        <w:rPr>
          <w:rStyle w:val="58"/>
          <w:rFonts w:hint="eastAsia" w:ascii="宋体" w:hAnsi="宋体" w:cs="宋体"/>
          <w:color w:val="auto"/>
          <w:sz w:val="24"/>
          <w:szCs w:val="24"/>
        </w:rPr>
        <w:t>官网</w:t>
      </w:r>
      <w:r>
        <w:rPr>
          <w:rFonts w:ascii="宋体" w:hAnsi="宋体" w:cs="宋体"/>
          <w:sz w:val="24"/>
          <w:szCs w:val="24"/>
        </w:rPr>
        <w:fldChar w:fldCharType="end"/>
      </w:r>
      <w:r>
        <w:rPr>
          <w:rFonts w:hint="eastAsia" w:ascii="宋体" w:hAnsi="宋体" w:cs="宋体"/>
          <w:sz w:val="24"/>
          <w:szCs w:val="24"/>
        </w:rPr>
        <w:t>发布，以最后一次发布的信息为准，请各投标人密切关注，不再另行通知；</w:t>
      </w:r>
    </w:p>
    <w:p>
      <w:pPr>
        <w:pStyle w:val="3"/>
        <w:keepNext w:val="0"/>
        <w:keepLines w:val="0"/>
        <w:spacing w:line="400" w:lineRule="exact"/>
        <w:rPr>
          <w:rFonts w:hint="eastAsia" w:ascii="宋体" w:hAnsi="宋体" w:eastAsia="宋体" w:cs="宋体"/>
          <w:sz w:val="24"/>
          <w:szCs w:val="24"/>
        </w:rPr>
      </w:pPr>
      <w:bookmarkStart w:id="43" w:name="_Toc163636239"/>
      <w:r>
        <w:rPr>
          <w:rFonts w:hint="eastAsia" w:ascii="宋体" w:hAnsi="宋体" w:eastAsia="宋体" w:cs="宋体"/>
          <w:sz w:val="24"/>
          <w:szCs w:val="24"/>
        </w:rPr>
        <w:t>七、对本次招标提出询问，请按以下方式联系。</w:t>
      </w:r>
      <w:bookmarkEnd w:id="38"/>
      <w:bookmarkEnd w:id="39"/>
      <w:bookmarkEnd w:id="40"/>
      <w:bookmarkEnd w:id="41"/>
      <w:bookmarkEnd w:id="42"/>
      <w:bookmarkEnd w:id="43"/>
    </w:p>
    <w:bookmarkEnd w:id="3"/>
    <w:p>
      <w:pPr>
        <w:spacing w:line="400" w:lineRule="exact"/>
        <w:rPr>
          <w:rFonts w:hint="eastAsia" w:ascii="宋体" w:hAnsi="宋体" w:cs="宋体"/>
          <w:sz w:val="24"/>
          <w:szCs w:val="24"/>
        </w:rPr>
      </w:pPr>
      <w:bookmarkStart w:id="44" w:name="_Toc281381163"/>
      <w:r>
        <w:rPr>
          <w:rFonts w:hint="eastAsia" w:ascii="宋体" w:hAnsi="宋体" w:cs="宋体"/>
          <w:sz w:val="24"/>
          <w:szCs w:val="24"/>
        </w:rPr>
        <w:t>1.采购人信息</w:t>
      </w:r>
    </w:p>
    <w:p>
      <w:pPr>
        <w:spacing w:line="400" w:lineRule="exact"/>
        <w:rPr>
          <w:rFonts w:hint="eastAsia" w:ascii="宋体" w:hAnsi="宋体" w:cs="宋体"/>
          <w:sz w:val="24"/>
          <w:szCs w:val="24"/>
        </w:rPr>
      </w:pPr>
      <w:r>
        <w:rPr>
          <w:rFonts w:hint="eastAsia" w:ascii="宋体" w:hAnsi="宋体" w:cs="宋体"/>
          <w:sz w:val="24"/>
          <w:szCs w:val="24"/>
        </w:rPr>
        <w:t>名    称：抚州市东乡区工业与科技创新投资集团有限公司</w:t>
      </w:r>
    </w:p>
    <w:p>
      <w:pPr>
        <w:spacing w:line="400" w:lineRule="exact"/>
        <w:rPr>
          <w:rFonts w:hint="eastAsia" w:ascii="宋体" w:hAnsi="宋体" w:cs="宋体"/>
          <w:sz w:val="24"/>
          <w:szCs w:val="24"/>
        </w:rPr>
      </w:pPr>
      <w:r>
        <w:rPr>
          <w:rFonts w:hint="eastAsia" w:ascii="宋体" w:hAnsi="宋体" w:cs="宋体"/>
          <w:sz w:val="24"/>
          <w:szCs w:val="24"/>
        </w:rPr>
        <w:t>地    址：抚州市东乡区</w:t>
      </w:r>
    </w:p>
    <w:p>
      <w:pPr>
        <w:spacing w:line="400" w:lineRule="exact"/>
        <w:rPr>
          <w:rFonts w:hint="eastAsia" w:ascii="宋体" w:hAnsi="宋体" w:cs="宋体"/>
          <w:sz w:val="24"/>
          <w:szCs w:val="24"/>
        </w:rPr>
      </w:pPr>
      <w:r>
        <w:rPr>
          <w:rFonts w:hint="eastAsia" w:ascii="宋体" w:hAnsi="宋体" w:cs="宋体"/>
          <w:sz w:val="24"/>
          <w:szCs w:val="24"/>
        </w:rPr>
        <w:t>联系方式：</w:t>
      </w:r>
      <w:bookmarkStart w:id="45" w:name="_Toc28359086"/>
      <w:bookmarkStart w:id="46" w:name="_Toc28359009"/>
      <w:r>
        <w:rPr>
          <w:rFonts w:hint="eastAsia" w:ascii="宋体" w:hAnsi="宋体" w:cs="宋体"/>
          <w:sz w:val="24"/>
          <w:szCs w:val="24"/>
        </w:rPr>
        <w:t>乐先生07944226816</w:t>
      </w:r>
    </w:p>
    <w:p>
      <w:pPr>
        <w:spacing w:line="400" w:lineRule="exact"/>
        <w:rPr>
          <w:rFonts w:hint="eastAsia" w:ascii="宋体" w:hAnsi="宋体" w:cs="宋体"/>
          <w:sz w:val="24"/>
          <w:szCs w:val="24"/>
        </w:rPr>
      </w:pPr>
      <w:r>
        <w:rPr>
          <w:rFonts w:hint="eastAsia" w:ascii="宋体" w:hAnsi="宋体" w:cs="宋体"/>
          <w:sz w:val="24"/>
          <w:szCs w:val="24"/>
        </w:rPr>
        <w:t>2.采购代理机构信息</w:t>
      </w:r>
      <w:bookmarkEnd w:id="45"/>
      <w:bookmarkEnd w:id="46"/>
    </w:p>
    <w:p>
      <w:pPr>
        <w:spacing w:line="400" w:lineRule="exact"/>
        <w:rPr>
          <w:rFonts w:hint="eastAsia" w:ascii="宋体" w:hAnsi="宋体" w:cs="宋体"/>
          <w:sz w:val="24"/>
          <w:szCs w:val="24"/>
        </w:rPr>
      </w:pPr>
      <w:r>
        <w:rPr>
          <w:rFonts w:hint="eastAsia" w:ascii="宋体" w:hAnsi="宋体" w:cs="宋体"/>
          <w:sz w:val="24"/>
          <w:szCs w:val="24"/>
        </w:rPr>
        <w:t>名    称：江西中铖工程管理有限公司</w:t>
      </w:r>
    </w:p>
    <w:p>
      <w:pPr>
        <w:spacing w:line="400" w:lineRule="exact"/>
        <w:rPr>
          <w:rFonts w:hint="eastAsia" w:ascii="宋体" w:hAnsi="宋体" w:cs="宋体"/>
          <w:sz w:val="24"/>
          <w:szCs w:val="24"/>
        </w:rPr>
      </w:pPr>
      <w:r>
        <w:rPr>
          <w:rFonts w:hint="eastAsia" w:ascii="宋体" w:hAnsi="宋体" w:cs="宋体"/>
          <w:sz w:val="24"/>
          <w:szCs w:val="24"/>
        </w:rPr>
        <w:t>地    址：江西省南昌市红谷滩区红谷中大道1568号红谷凯旋8栋</w:t>
      </w:r>
    </w:p>
    <w:p>
      <w:pPr>
        <w:spacing w:line="400" w:lineRule="exact"/>
        <w:rPr>
          <w:rFonts w:hint="eastAsia" w:ascii="宋体" w:hAnsi="宋体" w:cs="宋体"/>
          <w:sz w:val="24"/>
          <w:szCs w:val="24"/>
        </w:rPr>
      </w:pPr>
      <w:bookmarkStart w:id="47" w:name="_Toc28359010"/>
      <w:bookmarkStart w:id="48" w:name="_Toc28359087"/>
      <w:r>
        <w:rPr>
          <w:rFonts w:hint="eastAsia" w:ascii="宋体" w:hAnsi="宋体" w:cs="宋体"/>
          <w:sz w:val="24"/>
          <w:szCs w:val="24"/>
        </w:rPr>
        <w:t>电子函件：</w:t>
      </w:r>
      <w:r>
        <w:rPr>
          <w:rFonts w:ascii="宋体" w:hAnsi="宋体" w:cs="宋体"/>
          <w:sz w:val="24"/>
          <w:szCs w:val="24"/>
        </w:rPr>
        <w:t xml:space="preserve"> </w:t>
      </w:r>
      <w:r>
        <w:rPr>
          <w:rFonts w:hint="eastAsia" w:ascii="宋体" w:hAnsi="宋体" w:cs="宋体"/>
          <w:sz w:val="24"/>
          <w:szCs w:val="24"/>
        </w:rPr>
        <w:t>35532518</w:t>
      </w:r>
      <w:r>
        <w:rPr>
          <w:rFonts w:ascii="宋体" w:hAnsi="宋体" w:cs="宋体"/>
          <w:sz w:val="24"/>
          <w:szCs w:val="24"/>
        </w:rPr>
        <w:t>@qq.com</w:t>
      </w:r>
    </w:p>
    <w:p>
      <w:pPr>
        <w:spacing w:line="400" w:lineRule="exact"/>
        <w:rPr>
          <w:rFonts w:hint="eastAsia" w:ascii="宋体" w:hAnsi="宋体" w:cs="宋体"/>
          <w:sz w:val="24"/>
          <w:szCs w:val="24"/>
        </w:rPr>
      </w:pPr>
      <w:r>
        <w:rPr>
          <w:rFonts w:hint="eastAsia" w:ascii="宋体" w:hAnsi="宋体" w:cs="宋体"/>
          <w:sz w:val="24"/>
          <w:szCs w:val="24"/>
        </w:rPr>
        <w:t>3.项目联系方式</w:t>
      </w:r>
      <w:bookmarkEnd w:id="47"/>
      <w:bookmarkEnd w:id="48"/>
    </w:p>
    <w:p>
      <w:pPr>
        <w:spacing w:line="400" w:lineRule="exact"/>
        <w:rPr>
          <w:rFonts w:hint="eastAsia" w:ascii="宋体" w:hAnsi="宋体" w:cs="宋体"/>
          <w:sz w:val="24"/>
          <w:szCs w:val="24"/>
        </w:rPr>
      </w:pPr>
      <w:r>
        <w:rPr>
          <w:rFonts w:hint="eastAsia" w:ascii="宋体" w:hAnsi="宋体" w:cs="宋体"/>
          <w:sz w:val="24"/>
          <w:szCs w:val="24"/>
        </w:rPr>
        <w:t>项目联系人：</w:t>
      </w:r>
      <w:r>
        <w:rPr>
          <w:rFonts w:hint="eastAsia" w:ascii="宋体" w:cs="Arial"/>
          <w:sz w:val="24"/>
          <w:szCs w:val="24"/>
        </w:rPr>
        <w:t>邹女士</w:t>
      </w:r>
    </w:p>
    <w:p>
      <w:pPr>
        <w:spacing w:line="400" w:lineRule="exact"/>
        <w:rPr>
          <w:rFonts w:hint="eastAsia" w:ascii="宋体" w:hAnsi="宋体" w:cs="宋体"/>
          <w:sz w:val="24"/>
          <w:szCs w:val="24"/>
        </w:rPr>
      </w:pPr>
      <w:r>
        <w:rPr>
          <w:rFonts w:hint="eastAsia" w:ascii="宋体" w:hAnsi="宋体" w:cs="宋体"/>
          <w:sz w:val="24"/>
          <w:szCs w:val="24"/>
        </w:rPr>
        <w:t>电    话：</w:t>
      </w:r>
      <w:r>
        <w:rPr>
          <w:rFonts w:ascii="宋体" w:hAnsi="宋体" w:cs="宋体"/>
          <w:sz w:val="24"/>
          <w:szCs w:val="24"/>
        </w:rPr>
        <w:t>19398627135</w:t>
      </w:r>
    </w:p>
    <w:p>
      <w:pPr>
        <w:rPr>
          <w:rFonts w:hint="eastAsia" w:ascii="宋体" w:hAnsi="宋体" w:cs="宋体"/>
        </w:rPr>
        <w:sectPr>
          <w:pgSz w:w="11906" w:h="16838"/>
          <w:pgMar w:top="1247" w:right="1417" w:bottom="1702" w:left="1417" w:header="851" w:footer="992" w:gutter="0"/>
          <w:pgNumType w:start="1"/>
          <w:cols w:space="720" w:num="1"/>
          <w:docGrid w:linePitch="312" w:charSpace="0"/>
        </w:sectPr>
      </w:pPr>
    </w:p>
    <w:p>
      <w:pPr>
        <w:pStyle w:val="2"/>
        <w:spacing w:line="340" w:lineRule="exact"/>
        <w:jc w:val="center"/>
        <w:rPr>
          <w:rFonts w:hint="eastAsia" w:hAnsi="宋体" w:cs="宋体"/>
          <w:b/>
          <w:bCs/>
          <w:sz w:val="32"/>
        </w:rPr>
      </w:pPr>
      <w:bookmarkStart w:id="49" w:name="_Toc163636240"/>
      <w:r>
        <w:rPr>
          <w:rFonts w:hint="eastAsia" w:hAnsi="宋体" w:cs="宋体"/>
          <w:b/>
          <w:bCs/>
          <w:sz w:val="32"/>
        </w:rPr>
        <w:t>第二章　投标人须知</w:t>
      </w:r>
      <w:bookmarkEnd w:id="49"/>
      <w:r>
        <w:rPr>
          <w:rFonts w:hint="eastAsia" w:hAnsi="宋体" w:cs="宋体"/>
          <w:b/>
          <w:bCs/>
          <w:sz w:val="32"/>
        </w:rPr>
        <w:t xml:space="preserve">  </w:t>
      </w:r>
    </w:p>
    <w:p>
      <w:pPr>
        <w:pStyle w:val="3"/>
        <w:rPr>
          <w:rFonts w:hint="eastAsia" w:ascii="宋体" w:hAnsi="宋体" w:eastAsia="宋体" w:cs="宋体"/>
        </w:rPr>
      </w:pPr>
      <w:bookmarkStart w:id="50" w:name="_Toc163636241"/>
      <w:r>
        <w:rPr>
          <w:rFonts w:hint="eastAsia" w:ascii="宋体" w:hAnsi="宋体" w:eastAsia="宋体" w:cs="宋体"/>
        </w:rPr>
        <w:t>一、投标人须知前附表</w:t>
      </w:r>
      <w:bookmarkEnd w:id="50"/>
    </w:p>
    <w:tbl>
      <w:tblPr>
        <w:tblStyle w:val="51"/>
        <w:tblW w:w="95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72"/>
        <w:gridCol w:w="7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00" w:hRule="atLeast"/>
        </w:trPr>
        <w:tc>
          <w:tcPr>
            <w:tcW w:w="846" w:type="dxa"/>
            <w:noWrap w:val="0"/>
            <w:vAlign w:val="top"/>
          </w:tcPr>
          <w:p>
            <w:pPr>
              <w:spacing w:line="420" w:lineRule="exact"/>
              <w:jc w:val="center"/>
              <w:rPr>
                <w:rFonts w:hint="eastAsia" w:ascii="宋体" w:hAnsi="宋体" w:cs="宋体"/>
                <w:b/>
                <w:bCs/>
                <w:sz w:val="24"/>
                <w:szCs w:val="24"/>
              </w:rPr>
            </w:pPr>
            <w:r>
              <w:rPr>
                <w:rFonts w:hint="eastAsia" w:ascii="宋体" w:hAnsi="宋体" w:cs="宋体"/>
                <w:b/>
                <w:bCs/>
                <w:sz w:val="24"/>
                <w:szCs w:val="24"/>
              </w:rPr>
              <w:t>序号</w:t>
            </w:r>
          </w:p>
        </w:tc>
        <w:tc>
          <w:tcPr>
            <w:tcW w:w="1472" w:type="dxa"/>
            <w:noWrap w:val="0"/>
            <w:vAlign w:val="top"/>
          </w:tcPr>
          <w:p>
            <w:pPr>
              <w:spacing w:line="420" w:lineRule="exact"/>
              <w:jc w:val="center"/>
              <w:rPr>
                <w:rFonts w:hint="eastAsia" w:ascii="宋体" w:hAnsi="宋体" w:cs="宋体"/>
                <w:b/>
                <w:bCs/>
                <w:sz w:val="24"/>
                <w:szCs w:val="24"/>
              </w:rPr>
            </w:pPr>
            <w:r>
              <w:rPr>
                <w:rFonts w:hint="eastAsia" w:ascii="宋体" w:hAnsi="宋体" w:cs="宋体"/>
                <w:b/>
                <w:bCs/>
                <w:sz w:val="24"/>
                <w:szCs w:val="24"/>
              </w:rPr>
              <w:t>条款号</w:t>
            </w:r>
          </w:p>
        </w:tc>
        <w:tc>
          <w:tcPr>
            <w:tcW w:w="7254" w:type="dxa"/>
            <w:noWrap w:val="0"/>
            <w:vAlign w:val="top"/>
          </w:tcPr>
          <w:p>
            <w:pPr>
              <w:spacing w:line="420" w:lineRule="exact"/>
              <w:jc w:val="center"/>
              <w:rPr>
                <w:rFonts w:hint="eastAsia" w:ascii="宋体" w:hAnsi="宋体" w:cs="宋体"/>
                <w:b/>
                <w:bCs/>
                <w:sz w:val="24"/>
                <w:szCs w:val="24"/>
              </w:rPr>
            </w:pPr>
            <w:r>
              <w:rPr>
                <w:rFonts w:hint="eastAsia" w:ascii="宋体" w:hAnsi="宋体" w:cs="宋体"/>
                <w:b/>
                <w:bCs/>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9"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1.1</w:t>
            </w:r>
          </w:p>
        </w:tc>
        <w:tc>
          <w:tcPr>
            <w:tcW w:w="7254" w:type="dxa"/>
            <w:noWrap w:val="0"/>
            <w:vAlign w:val="center"/>
          </w:tcPr>
          <w:p>
            <w:pPr>
              <w:spacing w:line="420" w:lineRule="exact"/>
              <w:ind w:left="180" w:hanging="180"/>
              <w:rPr>
                <w:rFonts w:hint="eastAsia" w:ascii="宋体" w:hAnsi="宋体" w:cs="宋体"/>
                <w:sz w:val="24"/>
                <w:szCs w:val="24"/>
              </w:rPr>
            </w:pPr>
            <w:r>
              <w:rPr>
                <w:rFonts w:hint="eastAsia" w:ascii="宋体" w:hAnsi="宋体" w:cs="宋体"/>
                <w:sz w:val="24"/>
                <w:szCs w:val="24"/>
              </w:rPr>
              <w:t>项目名称及招标编号：详见“第一章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8"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2.1</w:t>
            </w:r>
          </w:p>
        </w:tc>
        <w:tc>
          <w:tcPr>
            <w:tcW w:w="7254" w:type="dxa"/>
            <w:noWrap w:val="0"/>
            <w:vAlign w:val="center"/>
          </w:tcPr>
          <w:p>
            <w:pPr>
              <w:spacing w:line="420" w:lineRule="exact"/>
              <w:rPr>
                <w:rFonts w:hint="eastAsia" w:ascii="宋体" w:hAnsi="宋体" w:cs="宋体"/>
                <w:sz w:val="24"/>
                <w:szCs w:val="24"/>
              </w:rPr>
            </w:pPr>
            <w:r>
              <w:rPr>
                <w:rFonts w:hint="eastAsia" w:ascii="宋体" w:hAnsi="宋体" w:cs="宋体"/>
                <w:sz w:val="24"/>
                <w:szCs w:val="24"/>
              </w:rPr>
              <w:t>采购人名称：详见“第一章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42"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3</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2.2</w:t>
            </w:r>
          </w:p>
        </w:tc>
        <w:tc>
          <w:tcPr>
            <w:tcW w:w="7254" w:type="dxa"/>
            <w:noWrap w:val="0"/>
            <w:vAlign w:val="center"/>
          </w:tcPr>
          <w:p>
            <w:pPr>
              <w:spacing w:line="420" w:lineRule="exact"/>
              <w:rPr>
                <w:rFonts w:hint="eastAsia" w:ascii="宋体" w:hAnsi="宋体" w:cs="宋体"/>
                <w:sz w:val="24"/>
                <w:szCs w:val="24"/>
              </w:rPr>
            </w:pPr>
            <w:r>
              <w:rPr>
                <w:rFonts w:hint="eastAsia" w:ascii="宋体" w:hAnsi="宋体" w:cs="宋体"/>
                <w:sz w:val="24"/>
                <w:szCs w:val="24"/>
              </w:rPr>
              <w:t>采购代理机构：详见“第一章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02"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4</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3.2.1</w:t>
            </w:r>
          </w:p>
        </w:tc>
        <w:tc>
          <w:tcPr>
            <w:tcW w:w="7254" w:type="dxa"/>
            <w:noWrap w:val="0"/>
            <w:vAlign w:val="top"/>
          </w:tcPr>
          <w:p>
            <w:pPr>
              <w:spacing w:line="420" w:lineRule="exact"/>
              <w:rPr>
                <w:rFonts w:hint="eastAsia" w:ascii="宋体" w:hAnsi="宋体" w:cs="宋体"/>
                <w:sz w:val="24"/>
                <w:szCs w:val="24"/>
              </w:rPr>
            </w:pPr>
            <w:r>
              <w:rPr>
                <w:rFonts w:hint="eastAsia" w:ascii="宋体" w:hAnsi="宋体" w:cs="宋体"/>
                <w:sz w:val="24"/>
              </w:rPr>
              <w:t>本项目是否接受联合体投标：</w:t>
            </w:r>
            <w:r>
              <w:rPr>
                <w:rFonts w:hint="eastAsia" w:ascii="宋体" w:hAnsi="宋体" w:cs="宋体"/>
                <w:sz w:val="24"/>
                <w:szCs w:val="24"/>
              </w:rPr>
              <w:t>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3"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5</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7</w:t>
            </w: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投标人应当提交的资格、资信证明文件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vMerge w:val="restart"/>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6</w:t>
            </w:r>
          </w:p>
        </w:tc>
        <w:tc>
          <w:tcPr>
            <w:tcW w:w="1472" w:type="dxa"/>
            <w:vMerge w:val="restart"/>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9</w:t>
            </w: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本项目是否适宜由中小企业提供：</w:t>
            </w:r>
            <w:r>
              <w:rPr>
                <w:rFonts w:ascii="Segoe UI Symbol" w:hAnsi="Segoe UI Symbol" w:eastAsia="Segoe UI Emoji" w:cs="Segoe UI Symbol"/>
                <w:sz w:val="28"/>
                <w:szCs w:val="24"/>
              </w:rPr>
              <w:t>☑</w:t>
            </w:r>
            <w:r>
              <w:rPr>
                <w:rFonts w:hint="eastAsia" w:ascii="宋体" w:hAnsi="宋体" w:cs="宋体"/>
                <w:sz w:val="24"/>
              </w:rPr>
              <w:t xml:space="preserve">是    </w:t>
            </w:r>
            <w:r>
              <w:rPr>
                <w:rFonts w:hint="eastAsia" w:ascii="宋体" w:hAnsi="宋体" w:cs="宋体"/>
                <w:b/>
                <w:sz w:val="24"/>
                <w:szCs w:val="24"/>
              </w:rPr>
              <w:t>□</w:t>
            </w:r>
            <w:r>
              <w:rPr>
                <w:rFonts w:hint="eastAsia" w:ascii="宋体" w:hAnsi="宋体" w:cs="宋体"/>
                <w:sz w:val="24"/>
              </w:rPr>
              <w:t>否</w:t>
            </w:r>
          </w:p>
          <w:p>
            <w:pPr>
              <w:spacing w:line="420" w:lineRule="exact"/>
              <w:rPr>
                <w:rFonts w:ascii="宋体" w:hAnsi="宋体" w:cs="宋体"/>
                <w:sz w:val="24"/>
              </w:rPr>
            </w:pPr>
            <w:r>
              <w:rPr>
                <w:rFonts w:hint="eastAsia" w:ascii="宋体" w:hAnsi="宋体" w:cs="宋体"/>
                <w:sz w:val="24"/>
              </w:rPr>
              <w:t>是否专门面向中小企业：</w:t>
            </w:r>
            <w:r>
              <w:rPr>
                <w:rFonts w:hint="eastAsia" w:ascii="宋体" w:hAnsi="宋体" w:cs="宋体"/>
                <w:b/>
                <w:sz w:val="24"/>
                <w:szCs w:val="24"/>
              </w:rPr>
              <w:t>□</w:t>
            </w:r>
            <w:r>
              <w:rPr>
                <w:rFonts w:hint="eastAsia" w:ascii="宋体" w:hAnsi="宋体" w:cs="宋体"/>
                <w:sz w:val="24"/>
              </w:rPr>
              <w:t xml:space="preserve">是 </w:t>
            </w:r>
            <w:r>
              <w:rPr>
                <w:rFonts w:ascii="宋体" w:hAnsi="宋体" w:cs="宋体"/>
                <w:sz w:val="24"/>
              </w:rPr>
              <w:t xml:space="preserve">   </w:t>
            </w:r>
            <w:r>
              <w:rPr>
                <w:rFonts w:ascii="Segoe UI Symbol" w:hAnsi="Segoe UI Symbol" w:eastAsia="Segoe UI Emoji" w:cs="Segoe UI Symbol"/>
                <w:sz w:val="28"/>
                <w:szCs w:val="24"/>
              </w:rPr>
              <w:t>☑</w:t>
            </w:r>
            <w:r>
              <w:rPr>
                <w:rFonts w:hint="eastAsia" w:ascii="宋体" w:hAnsi="宋体" w:cs="宋体"/>
                <w:sz w:val="24"/>
              </w:rPr>
              <w:t>否</w:t>
            </w:r>
          </w:p>
          <w:p>
            <w:pPr>
              <w:spacing w:line="420" w:lineRule="exact"/>
              <w:rPr>
                <w:rFonts w:ascii="宋体" w:hAnsi="宋体" w:cs="宋体"/>
                <w:sz w:val="24"/>
                <w:szCs w:val="24"/>
                <w:u w:val="single"/>
              </w:rPr>
            </w:pPr>
            <w:r>
              <w:rPr>
                <w:rFonts w:hint="eastAsia" w:ascii="宋体" w:hAnsi="宋体" w:cs="宋体"/>
                <w:sz w:val="24"/>
              </w:rPr>
              <w:t>预留方式及比例：</w:t>
            </w:r>
            <w:r>
              <w:rPr>
                <w:rFonts w:hint="eastAsia" w:ascii="宋体" w:hAnsi="宋体" w:cs="宋体"/>
                <w:sz w:val="24"/>
                <w:szCs w:val="24"/>
                <w:u w:val="single"/>
              </w:rPr>
              <w:t>预留本项目采购总额的40%以上专门面向中小企业采购(其中小微企业承接的比例为60%)。</w:t>
            </w:r>
          </w:p>
          <w:p>
            <w:pPr>
              <w:spacing w:line="420" w:lineRule="exact"/>
              <w:rPr>
                <w:rFonts w:ascii="宋体" w:hAnsi="宋体" w:cs="宋体"/>
                <w:sz w:val="24"/>
                <w:szCs w:val="24"/>
                <w:u w:val="single"/>
              </w:rPr>
            </w:pPr>
            <w:r>
              <w:rPr>
                <w:rFonts w:hint="eastAsia" w:ascii="宋体" w:hAnsi="宋体" w:cs="宋体"/>
                <w:sz w:val="24"/>
                <w:szCs w:val="24"/>
                <w:u w:val="single"/>
              </w:rPr>
              <w:t>(1)如投标人所提供的货物为中小微企业制造的或相关服务为中小微企业提供的，只需提供中小企业声明函扫描件加盖公章。</w:t>
            </w:r>
          </w:p>
          <w:p>
            <w:pPr>
              <w:spacing w:line="420" w:lineRule="exact"/>
              <w:rPr>
                <w:rFonts w:ascii="宋体" w:hAnsi="宋体" w:cs="宋体"/>
                <w:sz w:val="24"/>
                <w:szCs w:val="24"/>
                <w:u w:val="single"/>
              </w:rPr>
            </w:pPr>
            <w:r>
              <w:rPr>
                <w:rFonts w:hint="eastAsia" w:ascii="宋体" w:hAnsi="宋体" w:cs="宋体"/>
                <w:sz w:val="24"/>
                <w:szCs w:val="24"/>
                <w:u w:val="single"/>
              </w:rPr>
              <w:t>(2)如大中型企业向一家或者多家小微企业分包的，须在分包协议中明确合同比例，并由投标人提供中小企业声明函，提供协议和中小企业声明函扫描件加盖公章。</w:t>
            </w:r>
          </w:p>
          <w:p>
            <w:pPr>
              <w:spacing w:line="420" w:lineRule="exact"/>
              <w:rPr>
                <w:rFonts w:hint="eastAsia" w:ascii="宋体" w:hAnsi="宋体" w:cs="宋体"/>
                <w:sz w:val="24"/>
                <w:szCs w:val="24"/>
                <w:u w:val="single"/>
              </w:rPr>
            </w:pPr>
            <w:r>
              <w:rPr>
                <w:rFonts w:hint="eastAsia" w:ascii="宋体" w:hAnsi="宋体" w:cs="宋体"/>
                <w:sz w:val="24"/>
                <w:szCs w:val="24"/>
                <w:u w:val="single"/>
              </w:rPr>
              <w:t>备注:</w:t>
            </w:r>
          </w:p>
          <w:p>
            <w:pPr>
              <w:spacing w:line="420" w:lineRule="exact"/>
              <w:rPr>
                <w:rFonts w:hint="eastAsia" w:ascii="宋体" w:hAnsi="宋体" w:cs="宋体"/>
                <w:sz w:val="24"/>
              </w:rPr>
            </w:pPr>
            <w:r>
              <w:rPr>
                <w:rFonts w:hint="eastAsia" w:ascii="宋体" w:hAnsi="宋体" w:cs="宋体"/>
                <w:sz w:val="24"/>
                <w:szCs w:val="24"/>
                <w:u w:val="single"/>
              </w:rPr>
              <w:t>(1)接受分包的小微企业与其他分包企业之间不得存在直接控股、管理关系,(2)依据规定享受扶持政策获得政府采购合同的，小微企业不得将合同分包给大中型企业，中型企业不得将合同分包给大型企业。</w:t>
            </w:r>
          </w:p>
          <w:p>
            <w:pPr>
              <w:spacing w:line="420" w:lineRule="exact"/>
              <w:rPr>
                <w:rFonts w:hint="eastAsia" w:ascii="宋体" w:hAnsi="宋体" w:cs="宋体"/>
                <w:sz w:val="24"/>
              </w:rPr>
            </w:pPr>
            <w:r>
              <w:rPr>
                <w:rFonts w:hint="eastAsia" w:ascii="宋体" w:hAnsi="宋体" w:cs="宋体"/>
                <w:sz w:val="24"/>
              </w:rPr>
              <w:t>是否专门面向小微企业：</w:t>
            </w:r>
            <w:r>
              <w:rPr>
                <w:rFonts w:hint="eastAsia" w:ascii="宋体" w:hAnsi="宋体" w:cs="宋体"/>
                <w:b/>
                <w:sz w:val="24"/>
                <w:szCs w:val="24"/>
              </w:rPr>
              <w:t>□</w:t>
            </w:r>
            <w:r>
              <w:rPr>
                <w:rFonts w:hint="eastAsia" w:ascii="宋体" w:hAnsi="宋体" w:cs="宋体"/>
                <w:sz w:val="24"/>
              </w:rPr>
              <w:t xml:space="preserve">是    </w:t>
            </w:r>
            <w:r>
              <w:rPr>
                <w:rFonts w:ascii="Segoe UI Symbol" w:hAnsi="Segoe UI Symbol" w:eastAsia="Segoe UI Emoji" w:cs="Segoe UI Symbol"/>
                <w:sz w:val="28"/>
                <w:szCs w:val="24"/>
              </w:rPr>
              <w:t>☑</w:t>
            </w:r>
            <w:r>
              <w:rPr>
                <w:rFonts w:hint="eastAsia" w:ascii="宋体" w:hAnsi="宋体" w:cs="宋体"/>
                <w:sz w:val="24"/>
              </w:rPr>
              <w:t>否</w:t>
            </w:r>
          </w:p>
          <w:p>
            <w:pPr>
              <w:spacing w:line="420" w:lineRule="exact"/>
              <w:rPr>
                <w:rFonts w:hint="eastAsia" w:ascii="宋体" w:hAnsi="宋体" w:cs="宋体"/>
                <w:sz w:val="24"/>
              </w:rPr>
            </w:pPr>
            <w:r>
              <w:rPr>
                <w:rFonts w:hint="eastAsia" w:ascii="宋体" w:hAnsi="宋体" w:cs="宋体"/>
                <w:sz w:val="24"/>
              </w:rPr>
              <w:t>所属行业：工业（制造业）</w:t>
            </w:r>
          </w:p>
          <w:p>
            <w:pPr>
              <w:spacing w:line="420" w:lineRule="exact"/>
              <w:rPr>
                <w:rFonts w:hint="eastAsia" w:ascii="宋体" w:hAnsi="宋体" w:cs="宋体"/>
                <w:sz w:val="24"/>
              </w:rPr>
            </w:pPr>
            <w:r>
              <w:rPr>
                <w:rFonts w:hint="eastAsia" w:ascii="宋体" w:hAnsi="宋体" w:cs="宋体"/>
                <w:sz w:val="24"/>
              </w:rPr>
              <w:t>价格评审优惠政策执行以下，第【2】项。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vMerge w:val="continue"/>
            <w:noWrap w:val="0"/>
            <w:vAlign w:val="center"/>
          </w:tcPr>
          <w:p>
            <w:pPr>
              <w:spacing w:line="420" w:lineRule="exact"/>
              <w:jc w:val="center"/>
              <w:rPr>
                <w:rFonts w:hint="eastAsia" w:ascii="宋体" w:hAnsi="宋体" w:cs="宋体"/>
                <w:sz w:val="24"/>
                <w:szCs w:val="24"/>
              </w:rPr>
            </w:pPr>
          </w:p>
        </w:tc>
        <w:tc>
          <w:tcPr>
            <w:tcW w:w="1472" w:type="dxa"/>
            <w:vMerge w:val="continue"/>
            <w:noWrap w:val="0"/>
            <w:vAlign w:val="center"/>
          </w:tcPr>
          <w:p>
            <w:pPr>
              <w:spacing w:line="420" w:lineRule="exact"/>
              <w:jc w:val="center"/>
              <w:rPr>
                <w:rFonts w:hint="eastAsia" w:ascii="宋体" w:hAnsi="宋体" w:cs="宋体"/>
                <w:sz w:val="24"/>
                <w:szCs w:val="24"/>
              </w:rPr>
            </w:pP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【1】专门面向中小企业采购，不再执行价格评审优惠的扶持政策。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vMerge w:val="continue"/>
            <w:noWrap w:val="0"/>
            <w:vAlign w:val="center"/>
          </w:tcPr>
          <w:p>
            <w:pPr>
              <w:spacing w:line="420" w:lineRule="exact"/>
              <w:jc w:val="center"/>
              <w:rPr>
                <w:rFonts w:hint="eastAsia" w:ascii="宋体" w:hAnsi="宋体" w:cs="宋体"/>
                <w:sz w:val="24"/>
                <w:szCs w:val="24"/>
              </w:rPr>
            </w:pPr>
          </w:p>
        </w:tc>
        <w:tc>
          <w:tcPr>
            <w:tcW w:w="1472" w:type="dxa"/>
            <w:vMerge w:val="continue"/>
            <w:noWrap w:val="0"/>
            <w:vAlign w:val="center"/>
          </w:tcPr>
          <w:p>
            <w:pPr>
              <w:spacing w:line="420" w:lineRule="exact"/>
              <w:jc w:val="center"/>
              <w:rPr>
                <w:rFonts w:hint="eastAsia" w:ascii="宋体" w:hAnsi="宋体" w:cs="宋体"/>
                <w:sz w:val="24"/>
                <w:szCs w:val="24"/>
              </w:rPr>
            </w:pP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【2】不专门面向中小企业采购，享受价格评审优惠的扶持政策：</w:t>
            </w:r>
          </w:p>
          <w:p>
            <w:pPr>
              <w:spacing w:line="420" w:lineRule="exact"/>
              <w:rPr>
                <w:rFonts w:hint="eastAsia" w:ascii="宋体" w:hAnsi="宋体" w:cs="宋体"/>
                <w:sz w:val="24"/>
              </w:rPr>
            </w:pPr>
            <w:r>
              <w:rPr>
                <w:rFonts w:hint="eastAsia" w:ascii="宋体" w:hAnsi="宋体" w:cs="宋体"/>
                <w:sz w:val="24"/>
              </w:rPr>
              <w:t>9. 对小型和微型企业、监狱企业、残疾人福利性单位参加投标享受的政策：</w:t>
            </w:r>
          </w:p>
          <w:p>
            <w:pPr>
              <w:spacing w:line="420" w:lineRule="exact"/>
              <w:rPr>
                <w:rFonts w:hint="eastAsia" w:ascii="宋体" w:hAnsi="宋体" w:cs="宋体"/>
                <w:sz w:val="24"/>
              </w:rPr>
            </w:pPr>
            <w:r>
              <w:rPr>
                <w:rFonts w:hint="eastAsia" w:ascii="宋体" w:hAnsi="宋体" w:cs="宋体"/>
                <w:sz w:val="24"/>
              </w:rPr>
              <w:t>9.1 对小型和微型企业的价格给予10%的扣除，用扣除后的价格参与评审。</w:t>
            </w:r>
          </w:p>
          <w:p>
            <w:pPr>
              <w:spacing w:line="420" w:lineRule="exact"/>
              <w:rPr>
                <w:rFonts w:ascii="宋体" w:hAnsi="宋体" w:cs="宋体"/>
                <w:sz w:val="24"/>
              </w:rPr>
            </w:pPr>
            <w:r>
              <w:rPr>
                <w:rFonts w:hint="eastAsia" w:ascii="宋体" w:hAnsi="宋体" w:cs="宋体"/>
                <w:sz w:val="24"/>
              </w:rPr>
              <w:t>9.2 监狱企业视同小型、微型企业，享受评审中价格扣除等政府促进中小企业发展的政府采购政策。</w:t>
            </w:r>
          </w:p>
          <w:p>
            <w:pPr>
              <w:spacing w:line="420" w:lineRule="exact"/>
              <w:rPr>
                <w:rFonts w:hint="eastAsia" w:ascii="宋体" w:hAnsi="宋体" w:cs="宋体"/>
                <w:sz w:val="24"/>
              </w:rPr>
            </w:pPr>
            <w:r>
              <w:rPr>
                <w:rFonts w:hint="eastAsia" w:ascii="宋体" w:hAnsi="宋体" w:cs="宋体"/>
                <w:sz w:val="24"/>
              </w:rPr>
              <w:t>9.3 残疾人福利性单位视同小型、微型企业，享受评审中价格扣除等政府促进中小企业发展的政府采购政策；福利性单位属于小型、微型企业的，不重复享受政策。</w:t>
            </w:r>
          </w:p>
          <w:p>
            <w:pPr>
              <w:spacing w:line="420" w:lineRule="exact"/>
              <w:rPr>
                <w:rFonts w:ascii="宋体" w:hAnsi="宋体" w:cs="宋体"/>
                <w:sz w:val="24"/>
              </w:rPr>
            </w:pPr>
            <w:r>
              <w:rPr>
                <w:rFonts w:hint="eastAsia" w:ascii="宋体" w:hAnsi="宋体" w:cs="宋体"/>
                <w:sz w:val="24"/>
              </w:rPr>
              <w:t>9.4 鼓励大中型企业和其他自然人、法人或者其他组织与小型、微型企业组成联合体共同参加非专门面向中小企业的政府采购活动。联合协议中约定，小型、微型企业的协议合同金额占到联合体协议合同总金额 40%以上的，可给予联合体4%的价格扣除。 (适用于联合体投标)</w:t>
            </w:r>
          </w:p>
          <w:p>
            <w:pPr>
              <w:spacing w:line="420" w:lineRule="exact"/>
              <w:rPr>
                <w:rFonts w:ascii="宋体" w:hAnsi="宋体" w:cs="宋体"/>
                <w:sz w:val="24"/>
              </w:rPr>
            </w:pPr>
            <w:r>
              <w:rPr>
                <w:rFonts w:hint="eastAsia" w:ascii="宋体" w:hAnsi="宋体" w:cs="宋体"/>
                <w:sz w:val="24"/>
              </w:rPr>
              <w:t>联合体各方均为小型、微型企业的，联合体视同为小型、微型企业。 (适用于联合体投标)</w:t>
            </w:r>
          </w:p>
          <w:p>
            <w:pPr>
              <w:spacing w:line="420" w:lineRule="exact"/>
              <w:rPr>
                <w:rFonts w:hint="eastAsia" w:ascii="宋体" w:hAnsi="宋体" w:cs="宋体"/>
                <w:sz w:val="24"/>
              </w:rPr>
            </w:pPr>
            <w:r>
              <w:rPr>
                <w:rFonts w:hint="eastAsia" w:ascii="宋体" w:hAnsi="宋体" w:cs="宋体"/>
                <w:sz w:val="24"/>
              </w:rPr>
              <w:t>组成联合体的大中型企业和其他自然人、法人或者其他组织，与小型、微型企业之间不得存在投资关系。(适用于联合体投标)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7</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15.1</w:t>
            </w:r>
          </w:p>
        </w:tc>
        <w:tc>
          <w:tcPr>
            <w:tcW w:w="7254" w:type="dxa"/>
            <w:noWrap w:val="0"/>
            <w:vAlign w:val="center"/>
          </w:tcPr>
          <w:p>
            <w:pPr>
              <w:spacing w:line="420" w:lineRule="exact"/>
              <w:rPr>
                <w:rFonts w:ascii="宋体" w:hAnsi="宋体" w:cs="宋体"/>
                <w:b/>
                <w:bCs/>
                <w:sz w:val="24"/>
              </w:rPr>
            </w:pPr>
            <w:r>
              <w:rPr>
                <w:rFonts w:hint="eastAsia" w:ascii="宋体" w:hAnsi="宋体" w:cs="宋体"/>
                <w:b/>
                <w:bCs/>
                <w:sz w:val="24"/>
              </w:rPr>
              <w:t>投标保证金：捌万元整（80000</w:t>
            </w:r>
            <w:r>
              <w:rPr>
                <w:rFonts w:ascii="宋体" w:hAnsi="宋体" w:cs="宋体"/>
                <w:b/>
                <w:bCs/>
                <w:sz w:val="24"/>
              </w:rPr>
              <w:t>.00</w:t>
            </w:r>
            <w:r>
              <w:rPr>
                <w:rFonts w:hint="eastAsia" w:ascii="宋体" w:hAnsi="宋体" w:cs="宋体"/>
                <w:b/>
                <w:bCs/>
                <w:sz w:val="24"/>
              </w:rPr>
              <w:t>元）；</w:t>
            </w:r>
          </w:p>
          <w:p>
            <w:pPr>
              <w:spacing w:line="420" w:lineRule="exact"/>
              <w:rPr>
                <w:rFonts w:ascii="宋体" w:hAnsi="宋体" w:cs="宋体"/>
                <w:sz w:val="24"/>
              </w:rPr>
            </w:pPr>
            <w:r>
              <w:rPr>
                <w:rFonts w:hint="eastAsia" w:ascii="宋体" w:hAnsi="宋体" w:cs="宋体"/>
                <w:sz w:val="24"/>
              </w:rPr>
              <w:t>投标</w:t>
            </w:r>
            <w:r>
              <w:rPr>
                <w:rFonts w:ascii="宋体" w:hAnsi="宋体" w:cs="宋体"/>
                <w:sz w:val="24"/>
              </w:rPr>
              <w:t>保证金</w:t>
            </w:r>
            <w:r>
              <w:rPr>
                <w:rFonts w:hint="eastAsia" w:ascii="宋体" w:hAnsi="宋体" w:cs="宋体"/>
                <w:sz w:val="24"/>
              </w:rPr>
              <w:t>只接受以下</w:t>
            </w:r>
            <w:r>
              <w:rPr>
                <w:rFonts w:ascii="宋体" w:hAnsi="宋体" w:cs="宋体"/>
                <w:sz w:val="24"/>
              </w:rPr>
              <w:t>形式：银行转账；</w:t>
            </w:r>
          </w:p>
          <w:p>
            <w:pPr>
              <w:spacing w:line="420" w:lineRule="exact"/>
              <w:ind w:firstLine="480" w:firstLineChars="200"/>
              <w:rPr>
                <w:rFonts w:ascii="宋体" w:hAnsi="宋体" w:cs="宋体"/>
                <w:sz w:val="24"/>
              </w:rPr>
            </w:pPr>
            <w:r>
              <w:rPr>
                <w:rFonts w:hint="eastAsia" w:ascii="宋体" w:hAnsi="宋体" w:cs="宋体"/>
                <w:sz w:val="24"/>
              </w:rPr>
              <w:t xml:space="preserve">应在投标截止时间前一个工作日17：00时前汇入抚州市公共资源交易中心东乡分中心账户（以到账时间为准，在此之前保证金未按要求到指定账户的，或交费人名称与参加投标的供应商方名称不一致的，其投标资格取消），并在参加投标时提供汇款凭证。且必须从投标供应商营业执照注册所在地的本单位基本账户（不含企业的分公司或办事处的账户）转入以下任一账户，并取得投标保证金交款凭证，作为其响应文件的一部分。以下账户任选其中一个：     </w:t>
            </w:r>
          </w:p>
          <w:p>
            <w:pPr>
              <w:pStyle w:val="45"/>
              <w:shd w:val="clear" w:color="auto" w:fill="FFFFFF"/>
              <w:spacing w:before="0" w:beforeAutospacing="0" w:after="0" w:afterAutospacing="0" w:line="420" w:lineRule="exact"/>
              <w:jc w:val="both"/>
              <w:rPr>
                <w:rFonts w:hint="eastAsia"/>
                <w:kern w:val="2"/>
                <w:szCs w:val="20"/>
              </w:rPr>
            </w:pPr>
            <w:r>
              <w:rPr>
                <w:rFonts w:hint="eastAsia"/>
                <w:kern w:val="2"/>
                <w:szCs w:val="20"/>
              </w:rPr>
              <w:t>开户名：抚州市公共资源交易中心东乡分中心</w:t>
            </w:r>
          </w:p>
          <w:p>
            <w:pPr>
              <w:pStyle w:val="45"/>
              <w:shd w:val="clear" w:color="auto" w:fill="FFFFFF"/>
              <w:spacing w:before="0" w:beforeAutospacing="0" w:after="0" w:afterAutospacing="0" w:line="420" w:lineRule="exact"/>
              <w:ind w:firstLine="240" w:firstLineChars="100"/>
              <w:jc w:val="both"/>
              <w:rPr>
                <w:rFonts w:hint="eastAsia"/>
                <w:kern w:val="2"/>
                <w:szCs w:val="20"/>
              </w:rPr>
            </w:pPr>
            <w:r>
              <w:rPr>
                <w:rFonts w:hint="eastAsia"/>
                <w:kern w:val="2"/>
                <w:szCs w:val="20"/>
              </w:rPr>
              <w:t>账户一：中国银行东乡支行； 帐号：194717127051</w:t>
            </w:r>
          </w:p>
          <w:p>
            <w:pPr>
              <w:pStyle w:val="45"/>
              <w:shd w:val="clear" w:color="auto" w:fill="FFFFFF"/>
              <w:spacing w:before="0" w:beforeAutospacing="0" w:after="0" w:afterAutospacing="0" w:line="420" w:lineRule="exact"/>
              <w:ind w:firstLine="240" w:firstLineChars="100"/>
              <w:jc w:val="both"/>
              <w:rPr>
                <w:rFonts w:hint="eastAsia"/>
                <w:kern w:val="2"/>
                <w:szCs w:val="20"/>
              </w:rPr>
            </w:pPr>
            <w:r>
              <w:rPr>
                <w:rFonts w:hint="eastAsia"/>
                <w:kern w:val="2"/>
                <w:szCs w:val="20"/>
              </w:rPr>
              <w:t>账户二：工商银行东乡支行； 帐号：1511207029200052687；</w:t>
            </w:r>
          </w:p>
          <w:p>
            <w:pPr>
              <w:pStyle w:val="45"/>
              <w:shd w:val="clear" w:color="auto" w:fill="FFFFFF"/>
              <w:spacing w:before="0" w:beforeAutospacing="0" w:after="0" w:afterAutospacing="0" w:line="420" w:lineRule="exact"/>
              <w:ind w:firstLine="240" w:firstLineChars="100"/>
              <w:jc w:val="both"/>
              <w:rPr>
                <w:rFonts w:hint="eastAsia"/>
                <w:kern w:val="2"/>
                <w:szCs w:val="20"/>
              </w:rPr>
            </w:pPr>
            <w:r>
              <w:rPr>
                <w:rFonts w:hint="eastAsia"/>
                <w:kern w:val="2"/>
                <w:szCs w:val="20"/>
              </w:rPr>
              <w:t>账户三：建设银行东乡支行； 帐号：36001551210052503110；</w:t>
            </w:r>
          </w:p>
          <w:p>
            <w:pPr>
              <w:pStyle w:val="45"/>
              <w:spacing w:before="0" w:beforeAutospacing="0" w:after="0" w:afterAutospacing="0" w:line="420" w:lineRule="exact"/>
              <w:ind w:firstLine="240" w:firstLineChars="100"/>
              <w:jc w:val="both"/>
              <w:rPr>
                <w:rFonts w:hint="eastAsia"/>
                <w:kern w:val="2"/>
                <w:szCs w:val="20"/>
              </w:rPr>
            </w:pPr>
            <w:r>
              <w:rPr>
                <w:rFonts w:hint="eastAsia"/>
                <w:kern w:val="2"/>
                <w:szCs w:val="20"/>
              </w:rPr>
              <w:t>账户四：江西东乡农村商业银行股份有限公司；帐号：195039224000019949</w:t>
            </w:r>
          </w:p>
          <w:p>
            <w:pPr>
              <w:widowControl/>
              <w:spacing w:line="420" w:lineRule="exact"/>
              <w:rPr>
                <w:rFonts w:hint="eastAsia" w:ascii="宋体" w:hAnsi="宋体" w:cs="宋体"/>
                <w:sz w:val="24"/>
              </w:rPr>
            </w:pPr>
            <w:r>
              <w:rPr>
                <w:rFonts w:hint="eastAsia" w:ascii="宋体" w:hAnsi="宋体" w:cs="宋体"/>
                <w:sz w:val="24"/>
              </w:rPr>
              <w:t>注：投标保证金进帐凭证应注明投标保证金（用途）、投标项目名称（东乡经济开发区化工集中区安全智能管控平台建设项目(三期)项目采购）或项目编号、联系人，以便查对核实。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84"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8</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16.1</w:t>
            </w:r>
          </w:p>
        </w:tc>
        <w:tc>
          <w:tcPr>
            <w:tcW w:w="7254" w:type="dxa"/>
            <w:noWrap w:val="0"/>
            <w:vAlign w:val="center"/>
          </w:tcPr>
          <w:p>
            <w:pPr>
              <w:spacing w:line="420" w:lineRule="exact"/>
              <w:ind w:left="567" w:hanging="567"/>
              <w:rPr>
                <w:rFonts w:hint="eastAsia" w:ascii="宋体" w:hAnsi="宋体" w:cs="宋体"/>
                <w:b/>
                <w:sz w:val="24"/>
                <w:szCs w:val="24"/>
              </w:rPr>
            </w:pPr>
            <w:r>
              <w:rPr>
                <w:rFonts w:hint="eastAsia" w:ascii="宋体" w:hAnsi="宋体" w:cs="宋体"/>
                <w:sz w:val="24"/>
                <w:szCs w:val="24"/>
              </w:rPr>
              <w:t>投标有效期：从提交投标文件的截止之日起90天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75"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9</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17.1</w:t>
            </w:r>
          </w:p>
        </w:tc>
        <w:tc>
          <w:tcPr>
            <w:tcW w:w="7254" w:type="dxa"/>
            <w:noWrap w:val="0"/>
            <w:vAlign w:val="center"/>
          </w:tcPr>
          <w:p>
            <w:pPr>
              <w:spacing w:line="420" w:lineRule="exact"/>
              <w:jc w:val="left"/>
              <w:rPr>
                <w:rFonts w:hint="eastAsia" w:ascii="宋体" w:hAnsi="宋体" w:cs="宋体"/>
                <w:sz w:val="24"/>
                <w:szCs w:val="24"/>
              </w:rPr>
            </w:pPr>
            <w:r>
              <w:rPr>
                <w:rFonts w:hint="eastAsia" w:ascii="宋体" w:hAnsi="宋体" w:cs="宋体"/>
                <w:sz w:val="24"/>
                <w:szCs w:val="24"/>
              </w:rPr>
              <w:t>投标截止时间：详见第一章“投标邀请”</w:t>
            </w:r>
          </w:p>
          <w:p>
            <w:pPr>
              <w:spacing w:line="420" w:lineRule="exact"/>
              <w:jc w:val="left"/>
              <w:rPr>
                <w:rFonts w:hint="eastAsia"/>
              </w:rPr>
            </w:pPr>
            <w:r>
              <w:rPr>
                <w:rFonts w:hint="eastAsia" w:ascii="宋体" w:hAnsi="宋体" w:cs="宋体"/>
                <w:sz w:val="24"/>
                <w:szCs w:val="24"/>
              </w:rPr>
              <w:t>投标人必须在开标截止时间前现场签到并递交纸质投标文件</w:t>
            </w:r>
            <w:r>
              <w:rPr>
                <w:rFonts w:ascii="宋体" w:hAnsi="宋体" w:cs="宋体"/>
                <w:sz w:val="24"/>
                <w:szCs w:val="24"/>
              </w:rPr>
              <w:t>一正</w:t>
            </w:r>
            <w:r>
              <w:rPr>
                <w:rFonts w:hint="eastAsia" w:ascii="宋体" w:hAnsi="宋体" w:cs="宋体"/>
                <w:sz w:val="24"/>
                <w:szCs w:val="24"/>
              </w:rPr>
              <w:t>四</w:t>
            </w:r>
            <w:r>
              <w:rPr>
                <w:rFonts w:ascii="宋体" w:hAnsi="宋体" w:cs="宋体"/>
                <w:sz w:val="24"/>
                <w:szCs w:val="24"/>
              </w:rPr>
              <w:t>副</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69"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10</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18.1</w:t>
            </w:r>
          </w:p>
        </w:tc>
        <w:tc>
          <w:tcPr>
            <w:tcW w:w="7254" w:type="dxa"/>
            <w:noWrap w:val="0"/>
            <w:vAlign w:val="center"/>
          </w:tcPr>
          <w:p>
            <w:pPr>
              <w:spacing w:line="420" w:lineRule="exact"/>
              <w:rPr>
                <w:rFonts w:hint="eastAsia" w:ascii="宋体" w:hAnsi="宋体" w:cs="宋体"/>
                <w:sz w:val="24"/>
                <w:szCs w:val="24"/>
              </w:rPr>
            </w:pPr>
            <w:r>
              <w:rPr>
                <w:rFonts w:hint="eastAsia" w:ascii="宋体" w:hAnsi="宋体" w:cs="宋体"/>
                <w:sz w:val="24"/>
                <w:szCs w:val="24"/>
              </w:rPr>
              <w:t>本项目不允许分包或转包。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11</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20.1</w:t>
            </w:r>
          </w:p>
        </w:tc>
        <w:tc>
          <w:tcPr>
            <w:tcW w:w="7254" w:type="dxa"/>
            <w:noWrap w:val="0"/>
            <w:vAlign w:val="top"/>
          </w:tcPr>
          <w:p>
            <w:pPr>
              <w:spacing w:line="420" w:lineRule="exact"/>
              <w:jc w:val="left"/>
              <w:rPr>
                <w:rFonts w:ascii="宋体" w:hAnsi="宋体" w:cs="宋体"/>
                <w:sz w:val="24"/>
                <w:szCs w:val="24"/>
              </w:rPr>
            </w:pPr>
            <w:r>
              <w:rPr>
                <w:rFonts w:hint="eastAsia" w:ascii="宋体" w:hAnsi="宋体" w:cs="宋体"/>
                <w:sz w:val="24"/>
                <w:szCs w:val="24"/>
              </w:rPr>
              <w:t>开标时间：详见“第一章 投标邀请 ”</w:t>
            </w:r>
          </w:p>
          <w:p>
            <w:pPr>
              <w:spacing w:line="420" w:lineRule="exact"/>
              <w:jc w:val="left"/>
              <w:rPr>
                <w:rFonts w:hint="eastAsia" w:ascii="宋体" w:hAnsi="宋体" w:cs="宋体"/>
                <w:sz w:val="24"/>
                <w:szCs w:val="24"/>
              </w:rPr>
            </w:pPr>
            <w:r>
              <w:rPr>
                <w:rFonts w:hint="eastAsia" w:ascii="宋体" w:hAnsi="宋体" w:cs="宋体"/>
                <w:sz w:val="24"/>
                <w:szCs w:val="24"/>
              </w:rPr>
              <w:t>开标地点：详见“第一章 投标邀请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12</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22.1</w:t>
            </w:r>
          </w:p>
        </w:tc>
        <w:tc>
          <w:tcPr>
            <w:tcW w:w="7254" w:type="dxa"/>
            <w:noWrap w:val="0"/>
            <w:vAlign w:val="top"/>
          </w:tcPr>
          <w:p>
            <w:pPr>
              <w:pStyle w:val="28"/>
              <w:spacing w:line="420" w:lineRule="exact"/>
              <w:rPr>
                <w:rFonts w:hint="eastAsia" w:ascii="宋体" w:hAnsi="宋体" w:cs="宋体"/>
                <w:sz w:val="24"/>
                <w:szCs w:val="24"/>
              </w:rPr>
            </w:pPr>
            <w:r>
              <w:rPr>
                <w:rFonts w:hint="eastAsia" w:ascii="宋体" w:hAnsi="宋体" w:cs="宋体"/>
                <w:sz w:val="24"/>
                <w:szCs w:val="24"/>
              </w:rPr>
              <w:t>评标方法：综合评分法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13</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22.2</w:t>
            </w:r>
          </w:p>
        </w:tc>
        <w:tc>
          <w:tcPr>
            <w:tcW w:w="7254" w:type="dxa"/>
            <w:noWrap w:val="0"/>
            <w:vAlign w:val="top"/>
          </w:tcPr>
          <w:p>
            <w:pPr>
              <w:pStyle w:val="28"/>
              <w:spacing w:line="420" w:lineRule="exact"/>
              <w:rPr>
                <w:rFonts w:hint="eastAsia" w:ascii="宋体" w:hAnsi="宋体" w:cs="宋体"/>
                <w:sz w:val="24"/>
                <w:szCs w:val="24"/>
              </w:rPr>
            </w:pPr>
            <w:r>
              <w:rPr>
                <w:rFonts w:hint="eastAsia" w:ascii="宋体" w:hAnsi="宋体" w:cs="宋体"/>
                <w:sz w:val="24"/>
                <w:szCs w:val="24"/>
              </w:rPr>
              <w:t>评标标准（详见“第六章 评标标准”）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14</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27</w:t>
            </w:r>
          </w:p>
        </w:tc>
        <w:tc>
          <w:tcPr>
            <w:tcW w:w="7254" w:type="dxa"/>
            <w:noWrap w:val="0"/>
            <w:vAlign w:val="top"/>
          </w:tcPr>
          <w:p>
            <w:pPr>
              <w:spacing w:line="420" w:lineRule="exact"/>
              <w:rPr>
                <w:rFonts w:hint="eastAsia" w:ascii="宋体" w:hAnsi="宋体" w:cs="宋体"/>
                <w:sz w:val="24"/>
                <w:szCs w:val="24"/>
              </w:rPr>
            </w:pPr>
            <w:r>
              <w:rPr>
                <w:rFonts w:hint="eastAsia" w:ascii="宋体" w:hAnsi="宋体" w:cs="宋体"/>
                <w:sz w:val="24"/>
                <w:szCs w:val="24"/>
              </w:rPr>
              <w:t>□不要求提供</w:t>
            </w:r>
          </w:p>
          <w:p>
            <w:pPr>
              <w:spacing w:line="420" w:lineRule="exact"/>
              <w:rPr>
                <w:rFonts w:hint="eastAsia" w:ascii="宋体" w:hAnsi="宋体" w:cs="宋体"/>
                <w:sz w:val="24"/>
                <w:szCs w:val="24"/>
              </w:rPr>
            </w:pPr>
            <w:r>
              <w:rPr>
                <w:rFonts w:ascii="Segoe UI Symbol" w:hAnsi="Segoe UI Symbol" w:eastAsia="Segoe UI Emoji" w:cs="Segoe UI Symbol"/>
                <w:sz w:val="28"/>
                <w:szCs w:val="24"/>
              </w:rPr>
              <w:t>☑</w:t>
            </w:r>
            <w:r>
              <w:rPr>
                <w:rFonts w:hint="eastAsia" w:ascii="宋体" w:hAnsi="宋体" w:cs="宋体"/>
                <w:sz w:val="24"/>
                <w:szCs w:val="24"/>
              </w:rPr>
              <w:t>要求提供，本采购项目履约保证金为合同金额的10%，提交方式应当采用支票、汇票、本票、网上银行支付或者金融机构、担保机构出具的保函等非现金形式交纳。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15</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31</w:t>
            </w:r>
          </w:p>
        </w:tc>
        <w:tc>
          <w:tcPr>
            <w:tcW w:w="7254" w:type="dxa"/>
            <w:noWrap w:val="0"/>
            <w:vAlign w:val="top"/>
          </w:tcPr>
          <w:p>
            <w:pPr>
              <w:spacing w:line="420" w:lineRule="exact"/>
              <w:rPr>
                <w:rFonts w:hint="eastAsia" w:ascii="宋体" w:hAnsi="宋体" w:cs="宋体"/>
                <w:sz w:val="24"/>
                <w:szCs w:val="24"/>
              </w:rPr>
            </w:pPr>
            <w:r>
              <w:rPr>
                <w:rFonts w:hint="eastAsia" w:ascii="宋体" w:hAnsi="宋体" w:cs="宋体"/>
                <w:sz w:val="24"/>
                <w:szCs w:val="24"/>
              </w:rPr>
              <w:t>本项目招标代理服务费参照《东乡区政府投资建设重点项目管理办法（试行）》（东办发［2021］18号），由中标单位—次性向招标代理机构支付招标代理服务费。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w:t>
            </w:r>
            <w:r>
              <w:rPr>
                <w:rFonts w:ascii="宋体" w:hAnsi="宋体" w:cs="宋体"/>
                <w:sz w:val="24"/>
                <w:szCs w:val="24"/>
              </w:rPr>
              <w:t>6</w:t>
            </w:r>
          </w:p>
        </w:tc>
        <w:tc>
          <w:tcPr>
            <w:tcW w:w="8726" w:type="dxa"/>
            <w:gridSpan w:val="2"/>
            <w:noWrap w:val="0"/>
            <w:vAlign w:val="center"/>
          </w:tcPr>
          <w:p>
            <w:pPr>
              <w:spacing w:line="460" w:lineRule="exact"/>
              <w:rPr>
                <w:rFonts w:hint="eastAsia" w:ascii="宋体" w:hAnsi="宋体" w:cs="宋体"/>
                <w:b/>
                <w:bCs/>
                <w:sz w:val="24"/>
                <w:szCs w:val="24"/>
              </w:rPr>
            </w:pPr>
            <w:r>
              <w:rPr>
                <w:rFonts w:hint="eastAsia" w:ascii="宋体" w:hAnsi="宋体"/>
                <w:bCs/>
                <w:sz w:val="24"/>
                <w:szCs w:val="24"/>
              </w:rPr>
              <w:t>投标单位如有提供虚假材料、恶意竞争，经查实，采购人将取消其投标资格，并保留追究法律责任的权利。中标单位未在规定的时间内与采购人签订合同等行为，采购人将取消其中标资格，并保留追究法律责任的权利。</w:t>
            </w:r>
          </w:p>
        </w:tc>
      </w:tr>
    </w:tbl>
    <w:p>
      <w:pPr>
        <w:pStyle w:val="31"/>
        <w:jc w:val="center"/>
        <w:rPr>
          <w:rFonts w:hint="eastAsia" w:ascii="宋体" w:hAnsi="宋体" w:cs="宋体"/>
          <w:sz w:val="30"/>
          <w:szCs w:val="30"/>
        </w:rPr>
      </w:pPr>
      <w:r>
        <w:br w:type="page"/>
      </w:r>
      <w:r>
        <w:rPr>
          <w:rFonts w:hint="eastAsia" w:ascii="宋体" w:hAnsi="宋体" w:cs="宋体"/>
          <w:sz w:val="30"/>
          <w:szCs w:val="30"/>
        </w:rPr>
        <w:t>二、招  标</w:t>
      </w:r>
    </w:p>
    <w:p>
      <w:pPr>
        <w:spacing w:line="420" w:lineRule="exact"/>
        <w:rPr>
          <w:rFonts w:hint="eastAsia" w:ascii="宋体" w:hAnsi="宋体" w:cs="宋体"/>
        </w:rPr>
      </w:pPr>
    </w:p>
    <w:p>
      <w:pPr>
        <w:pStyle w:val="3"/>
        <w:spacing w:before="0" w:after="0" w:line="420" w:lineRule="exact"/>
        <w:rPr>
          <w:rFonts w:hint="eastAsia" w:ascii="宋体" w:hAnsi="宋体" w:eastAsia="宋体" w:cs="宋体"/>
          <w:sz w:val="28"/>
          <w:szCs w:val="28"/>
        </w:rPr>
      </w:pPr>
      <w:bookmarkStart w:id="51" w:name="_Toc494292879"/>
      <w:bookmarkStart w:id="52" w:name="_Toc163636242"/>
      <w:bookmarkStart w:id="53" w:name="_Toc286758305"/>
      <w:bookmarkStart w:id="54" w:name="_Toc494138590"/>
      <w:r>
        <w:rPr>
          <w:rFonts w:hint="eastAsia" w:ascii="宋体" w:hAnsi="宋体" w:eastAsia="宋体" w:cs="宋体"/>
          <w:sz w:val="28"/>
          <w:szCs w:val="28"/>
        </w:rPr>
        <w:t>1. 适用范围</w:t>
      </w:r>
      <w:bookmarkEnd w:id="51"/>
      <w:bookmarkEnd w:id="52"/>
      <w:bookmarkEnd w:id="53"/>
      <w:bookmarkEnd w:id="54"/>
    </w:p>
    <w:p>
      <w:pPr>
        <w:spacing w:line="420" w:lineRule="exact"/>
        <w:rPr>
          <w:rFonts w:hint="eastAsia" w:ascii="宋体" w:hAnsi="宋体" w:cs="宋体"/>
          <w:sz w:val="24"/>
          <w:szCs w:val="24"/>
        </w:rPr>
      </w:pPr>
      <w:r>
        <w:rPr>
          <w:rFonts w:hint="eastAsia" w:ascii="宋体" w:hAnsi="宋体" w:cs="宋体"/>
          <w:sz w:val="24"/>
          <w:szCs w:val="24"/>
        </w:rPr>
        <w:t>1.1 本招标文件仅适用于本“投标邀请”中所述相关服务的采购。</w:t>
      </w:r>
    </w:p>
    <w:p>
      <w:pPr>
        <w:pStyle w:val="3"/>
        <w:spacing w:before="0" w:after="0" w:line="420" w:lineRule="exact"/>
        <w:rPr>
          <w:rFonts w:hint="eastAsia" w:ascii="宋体" w:hAnsi="宋体" w:eastAsia="宋体" w:cs="宋体"/>
          <w:sz w:val="28"/>
          <w:szCs w:val="28"/>
        </w:rPr>
      </w:pPr>
      <w:bookmarkStart w:id="55" w:name="_Toc286758306"/>
      <w:bookmarkStart w:id="56" w:name="_Toc494292880"/>
      <w:bookmarkStart w:id="57" w:name="_Toc494138591"/>
      <w:bookmarkStart w:id="58" w:name="_Toc163636243"/>
      <w:r>
        <w:rPr>
          <w:rFonts w:hint="eastAsia" w:ascii="宋体" w:hAnsi="宋体" w:eastAsia="宋体" w:cs="宋体"/>
          <w:sz w:val="28"/>
          <w:szCs w:val="28"/>
        </w:rPr>
        <w:t>2. 定义</w:t>
      </w:r>
      <w:bookmarkEnd w:id="55"/>
      <w:bookmarkEnd w:id="56"/>
      <w:bookmarkEnd w:id="57"/>
      <w:bookmarkEnd w:id="58"/>
    </w:p>
    <w:p>
      <w:pPr>
        <w:spacing w:line="420" w:lineRule="exact"/>
        <w:ind w:left="510" w:hanging="510"/>
        <w:rPr>
          <w:rFonts w:hint="eastAsia" w:ascii="宋体" w:hAnsi="宋体" w:cs="宋体"/>
          <w:sz w:val="24"/>
          <w:szCs w:val="24"/>
        </w:rPr>
      </w:pPr>
      <w:r>
        <w:rPr>
          <w:rFonts w:hint="eastAsia" w:ascii="宋体" w:hAnsi="宋体" w:cs="宋体"/>
          <w:sz w:val="24"/>
          <w:szCs w:val="24"/>
        </w:rPr>
        <w:t>2.1采购人： 详见“投标人须知前附表”</w:t>
      </w:r>
    </w:p>
    <w:p>
      <w:pPr>
        <w:spacing w:line="420" w:lineRule="exact"/>
        <w:ind w:left="510" w:hanging="510"/>
        <w:rPr>
          <w:rFonts w:hint="eastAsia" w:ascii="宋体" w:hAnsi="宋体" w:cs="宋体"/>
          <w:sz w:val="24"/>
          <w:szCs w:val="24"/>
        </w:rPr>
      </w:pPr>
      <w:r>
        <w:rPr>
          <w:rFonts w:hint="eastAsia" w:ascii="宋体" w:hAnsi="宋体" w:cs="宋体"/>
          <w:sz w:val="24"/>
          <w:szCs w:val="24"/>
        </w:rPr>
        <w:t>2.2采购代理机构：江西中铖工程管理有限公司</w:t>
      </w:r>
    </w:p>
    <w:p>
      <w:pPr>
        <w:spacing w:line="420" w:lineRule="exact"/>
        <w:ind w:left="510" w:hanging="510"/>
        <w:rPr>
          <w:rFonts w:hint="eastAsia" w:ascii="宋体" w:hAnsi="宋体" w:cs="宋体"/>
          <w:kern w:val="0"/>
          <w:sz w:val="32"/>
          <w:szCs w:val="32"/>
        </w:rPr>
      </w:pPr>
      <w:r>
        <w:rPr>
          <w:rFonts w:hint="eastAsia" w:ascii="宋体" w:hAnsi="宋体" w:cs="宋体"/>
          <w:sz w:val="24"/>
          <w:szCs w:val="24"/>
        </w:rPr>
        <w:t>2.3投标人：是指响应招标、参加投标竞争的法人、其他组织或者自然人。</w:t>
      </w:r>
    </w:p>
    <w:p>
      <w:pPr>
        <w:pStyle w:val="3"/>
        <w:spacing w:before="0" w:after="0" w:line="420" w:lineRule="exact"/>
        <w:rPr>
          <w:rFonts w:hint="eastAsia" w:ascii="宋体" w:hAnsi="宋体" w:eastAsia="宋体" w:cs="宋体"/>
          <w:sz w:val="28"/>
          <w:szCs w:val="28"/>
        </w:rPr>
      </w:pPr>
      <w:bookmarkStart w:id="59" w:name="_Toc494138592"/>
      <w:bookmarkStart w:id="60" w:name="_Toc494292881"/>
      <w:bookmarkStart w:id="61" w:name="_Toc286758307"/>
      <w:bookmarkStart w:id="62" w:name="_Toc163636244"/>
      <w:bookmarkStart w:id="63" w:name="_Toc286758308"/>
      <w:r>
        <w:rPr>
          <w:rFonts w:hint="eastAsia" w:ascii="宋体" w:hAnsi="宋体" w:eastAsia="宋体" w:cs="宋体"/>
          <w:sz w:val="28"/>
          <w:szCs w:val="28"/>
        </w:rPr>
        <w:t>3. 合格投标人</w:t>
      </w:r>
      <w:bookmarkEnd w:id="59"/>
      <w:bookmarkEnd w:id="60"/>
      <w:bookmarkEnd w:id="61"/>
      <w:bookmarkEnd w:id="62"/>
    </w:p>
    <w:p>
      <w:pPr>
        <w:spacing w:line="420" w:lineRule="exact"/>
        <w:rPr>
          <w:rFonts w:hint="eastAsia" w:ascii="宋体" w:hAnsi="宋体" w:cs="宋体"/>
          <w:sz w:val="24"/>
          <w:szCs w:val="24"/>
        </w:rPr>
      </w:pPr>
      <w:r>
        <w:rPr>
          <w:rFonts w:hint="eastAsia" w:ascii="宋体" w:hAnsi="宋体" w:cs="宋体"/>
          <w:sz w:val="24"/>
          <w:szCs w:val="24"/>
        </w:rPr>
        <w:t>3.1投标人的资格条件： 详见“投标邀请”</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3.2联合体投标</w:t>
      </w:r>
    </w:p>
    <w:p>
      <w:pPr>
        <w:spacing w:line="420" w:lineRule="exact"/>
        <w:rPr>
          <w:rFonts w:hint="eastAsia" w:ascii="宋体" w:hAnsi="宋体" w:cs="宋体"/>
          <w:sz w:val="24"/>
        </w:rPr>
      </w:pPr>
      <w:r>
        <w:rPr>
          <w:rFonts w:hint="eastAsia" w:ascii="宋体" w:hAnsi="宋体" w:cs="宋体"/>
          <w:sz w:val="24"/>
          <w:szCs w:val="24"/>
        </w:rPr>
        <w:t>3.2.1</w:t>
      </w:r>
      <w:r>
        <w:rPr>
          <w:rFonts w:hint="eastAsia" w:ascii="宋体" w:hAnsi="宋体" w:cs="宋体"/>
          <w:sz w:val="24"/>
        </w:rPr>
        <w:t>是否接受联合体投标：详见</w:t>
      </w:r>
      <w:r>
        <w:rPr>
          <w:rFonts w:hint="eastAsia" w:ascii="宋体" w:hAnsi="宋体" w:cs="宋体"/>
          <w:sz w:val="24"/>
          <w:szCs w:val="24"/>
        </w:rPr>
        <w:t>“投标人须知前附表”</w:t>
      </w:r>
    </w:p>
    <w:p>
      <w:pPr>
        <w:spacing w:line="420" w:lineRule="exact"/>
        <w:rPr>
          <w:rFonts w:hint="eastAsia" w:ascii="宋体" w:hAnsi="宋体" w:cs="宋体"/>
          <w:b/>
          <w:sz w:val="24"/>
        </w:rPr>
      </w:pPr>
      <w:r>
        <w:rPr>
          <w:rFonts w:hint="eastAsia" w:ascii="宋体" w:hAnsi="宋体" w:cs="宋体"/>
          <w:sz w:val="24"/>
        </w:rPr>
        <w:t>3.2.2两个以上的自然人、法人或者其他组织可以组成一个联合体，以一个投标人的身份共同参加采购。以联合体形式进行采购的，并应当提交联合协议，载明联合体各方承担的工作和义务。联合体各方应当共同与采购人签订采购合同，就采购合同约定的事项对采购人承担连带责任。否则，将导致其</w:t>
      </w:r>
      <w:r>
        <w:rPr>
          <w:rFonts w:hint="eastAsia" w:ascii="宋体" w:hAnsi="宋体" w:cs="宋体"/>
          <w:b/>
          <w:sz w:val="24"/>
        </w:rPr>
        <w:t>投标无效；</w:t>
      </w:r>
      <w:r>
        <w:rPr>
          <w:rFonts w:hint="eastAsia" w:ascii="宋体" w:hAnsi="宋体" w:cs="宋体"/>
          <w:b/>
          <w:i/>
          <w:sz w:val="24"/>
        </w:rPr>
        <w:t>（适用于联合体投标）</w:t>
      </w:r>
    </w:p>
    <w:p>
      <w:pPr>
        <w:spacing w:line="420" w:lineRule="exact"/>
        <w:rPr>
          <w:rFonts w:hint="eastAsia" w:ascii="宋体" w:hAnsi="宋体" w:cs="宋体"/>
          <w:b/>
          <w:sz w:val="24"/>
        </w:rPr>
      </w:pPr>
      <w:r>
        <w:rPr>
          <w:rFonts w:hint="eastAsia" w:ascii="宋体" w:hAnsi="宋体" w:cs="宋体"/>
          <w:sz w:val="24"/>
        </w:rPr>
        <w:t>3.2.3以联合体参加投标的，联合体中有同类资质的投标人按联合体分工承担相同工作的，应当按照资质等级较低的投标人确定资质等级；</w:t>
      </w:r>
      <w:r>
        <w:rPr>
          <w:rFonts w:hint="eastAsia" w:ascii="宋体" w:hAnsi="宋体" w:cs="宋体"/>
          <w:b/>
          <w:i/>
          <w:sz w:val="24"/>
        </w:rPr>
        <w:t>（适用于联合体投标）</w:t>
      </w:r>
    </w:p>
    <w:p>
      <w:pPr>
        <w:spacing w:line="420" w:lineRule="exact"/>
        <w:rPr>
          <w:rFonts w:hint="eastAsia" w:ascii="宋体" w:hAnsi="宋体" w:cs="宋体"/>
          <w:b/>
          <w:sz w:val="24"/>
        </w:rPr>
      </w:pPr>
      <w:r>
        <w:rPr>
          <w:rFonts w:hint="eastAsia" w:ascii="宋体" w:hAnsi="宋体" w:cs="宋体"/>
          <w:sz w:val="24"/>
        </w:rPr>
        <w:t>3.2.4联合体各方不得再单独参加或者与其他投标人另外组成联合体参加同一合同项下的采购活动。</w:t>
      </w:r>
      <w:r>
        <w:rPr>
          <w:rFonts w:hint="eastAsia" w:ascii="宋体" w:hAnsi="宋体" w:cs="宋体"/>
          <w:b/>
          <w:i/>
          <w:sz w:val="24"/>
        </w:rPr>
        <w:t>（适用于联合体投标）</w:t>
      </w:r>
    </w:p>
    <w:p>
      <w:pPr>
        <w:pStyle w:val="3"/>
        <w:spacing w:before="0" w:after="0" w:line="420" w:lineRule="exact"/>
        <w:rPr>
          <w:rFonts w:hint="eastAsia" w:ascii="宋体" w:hAnsi="宋体" w:eastAsia="宋体" w:cs="宋体"/>
          <w:sz w:val="28"/>
          <w:szCs w:val="28"/>
        </w:rPr>
      </w:pPr>
      <w:bookmarkStart w:id="64" w:name="_Toc494138593"/>
      <w:bookmarkStart w:id="65" w:name="_Toc494292882"/>
      <w:bookmarkStart w:id="66" w:name="_Toc163636245"/>
      <w:r>
        <w:rPr>
          <w:rFonts w:hint="eastAsia" w:ascii="宋体" w:hAnsi="宋体" w:eastAsia="宋体" w:cs="宋体"/>
          <w:sz w:val="28"/>
          <w:szCs w:val="28"/>
        </w:rPr>
        <w:t>4. 投标费用</w:t>
      </w:r>
      <w:bookmarkEnd w:id="63"/>
      <w:bookmarkEnd w:id="64"/>
      <w:bookmarkEnd w:id="65"/>
      <w:bookmarkEnd w:id="66"/>
    </w:p>
    <w:p>
      <w:pPr>
        <w:spacing w:line="420" w:lineRule="exact"/>
        <w:ind w:left="454" w:hanging="454"/>
        <w:rPr>
          <w:rFonts w:hint="eastAsia" w:ascii="宋体" w:hAnsi="宋体" w:cs="宋体"/>
          <w:sz w:val="24"/>
          <w:szCs w:val="24"/>
        </w:rPr>
      </w:pPr>
      <w:r>
        <w:rPr>
          <w:rFonts w:hint="eastAsia" w:ascii="宋体" w:hAnsi="宋体" w:cs="宋体"/>
          <w:sz w:val="24"/>
          <w:szCs w:val="24"/>
        </w:rPr>
        <w:t>4.1投标人应自行承担所有与准备和参加投标有关的全部费用。不论投标的结果如何，采购代理机构均无义务和责任承担这些费用。</w:t>
      </w:r>
    </w:p>
    <w:p>
      <w:pPr>
        <w:pStyle w:val="3"/>
        <w:spacing w:before="0" w:after="0" w:line="420" w:lineRule="exact"/>
        <w:rPr>
          <w:rFonts w:hint="eastAsia" w:ascii="宋体" w:hAnsi="宋体" w:eastAsia="宋体" w:cs="宋体"/>
          <w:sz w:val="28"/>
          <w:szCs w:val="28"/>
        </w:rPr>
      </w:pPr>
      <w:bookmarkStart w:id="67" w:name="_Toc286758309"/>
      <w:bookmarkStart w:id="68" w:name="_Toc494138594"/>
      <w:bookmarkStart w:id="69" w:name="_Toc163636246"/>
      <w:bookmarkStart w:id="70" w:name="_Toc494292883"/>
      <w:r>
        <w:rPr>
          <w:rFonts w:hint="eastAsia" w:ascii="宋体" w:hAnsi="宋体" w:eastAsia="宋体" w:cs="宋体"/>
          <w:sz w:val="28"/>
          <w:szCs w:val="28"/>
        </w:rPr>
        <w:t>5. 投标人代表</w:t>
      </w:r>
      <w:bookmarkEnd w:id="67"/>
      <w:bookmarkEnd w:id="68"/>
      <w:bookmarkEnd w:id="69"/>
      <w:bookmarkEnd w:id="70"/>
    </w:p>
    <w:p>
      <w:pPr>
        <w:spacing w:line="420" w:lineRule="exact"/>
        <w:ind w:left="454" w:hanging="454"/>
        <w:rPr>
          <w:rFonts w:hint="eastAsia" w:ascii="宋体" w:hAnsi="宋体" w:cs="宋体"/>
          <w:sz w:val="24"/>
          <w:szCs w:val="24"/>
        </w:rPr>
      </w:pPr>
      <w:r>
        <w:rPr>
          <w:rFonts w:hint="eastAsia" w:ascii="宋体" w:hAnsi="宋体" w:cs="宋体"/>
          <w:sz w:val="24"/>
          <w:szCs w:val="24"/>
        </w:rPr>
        <w:t>5.1指全权代表投标人参加投标活动并签署投标文件的人。如果投标人代表不是法定代表人，须持有《法定代表人授权书》。</w:t>
      </w:r>
    </w:p>
    <w:p>
      <w:pPr>
        <w:pStyle w:val="3"/>
        <w:spacing w:before="0" w:after="0" w:line="420" w:lineRule="exact"/>
        <w:rPr>
          <w:rFonts w:hint="eastAsia" w:ascii="宋体" w:hAnsi="宋体" w:eastAsia="宋体" w:cs="宋体"/>
          <w:sz w:val="28"/>
          <w:szCs w:val="28"/>
        </w:rPr>
      </w:pPr>
      <w:bookmarkStart w:id="71" w:name="_Toc494292884"/>
      <w:bookmarkStart w:id="72" w:name="_Toc494138595"/>
      <w:bookmarkStart w:id="73" w:name="_Toc163636247"/>
      <w:bookmarkStart w:id="74" w:name="_Toc286758311"/>
      <w:r>
        <w:rPr>
          <w:rFonts w:hint="eastAsia" w:ascii="宋体" w:hAnsi="宋体" w:eastAsia="宋体" w:cs="宋体"/>
          <w:sz w:val="28"/>
          <w:szCs w:val="28"/>
        </w:rPr>
        <w:t>6. 招标文件的构成</w:t>
      </w:r>
      <w:bookmarkEnd w:id="71"/>
      <w:bookmarkEnd w:id="72"/>
      <w:bookmarkEnd w:id="73"/>
      <w:bookmarkEnd w:id="74"/>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6.1 要求提供的相关服务、招标过程和合同条款在招标文件中均有说明。招标文件共六章，各章的内容如下：</w:t>
      </w:r>
    </w:p>
    <w:p>
      <w:pPr>
        <w:spacing w:line="420" w:lineRule="exact"/>
        <w:ind w:left="480"/>
        <w:rPr>
          <w:rFonts w:hint="eastAsia" w:ascii="宋体" w:hAnsi="宋体" w:cs="宋体"/>
          <w:sz w:val="24"/>
          <w:szCs w:val="24"/>
        </w:rPr>
      </w:pPr>
      <w:r>
        <w:rPr>
          <w:rFonts w:hint="eastAsia" w:ascii="宋体" w:hAnsi="宋体" w:cs="宋体"/>
          <w:sz w:val="24"/>
          <w:szCs w:val="24"/>
        </w:rPr>
        <w:t>第一章 投标邀请</w:t>
      </w:r>
    </w:p>
    <w:p>
      <w:pPr>
        <w:tabs>
          <w:tab w:val="left" w:pos="480"/>
          <w:tab w:val="left" w:pos="1380"/>
        </w:tabs>
        <w:spacing w:line="420" w:lineRule="exact"/>
        <w:ind w:left="480"/>
        <w:rPr>
          <w:rFonts w:hint="eastAsia" w:ascii="宋体" w:hAnsi="宋体" w:cs="宋体"/>
          <w:sz w:val="24"/>
          <w:szCs w:val="24"/>
        </w:rPr>
      </w:pPr>
      <w:r>
        <w:rPr>
          <w:rFonts w:hint="eastAsia" w:ascii="宋体" w:hAnsi="宋体" w:cs="宋体"/>
          <w:sz w:val="24"/>
          <w:szCs w:val="24"/>
        </w:rPr>
        <w:t>第二章 投标人须知</w:t>
      </w:r>
    </w:p>
    <w:p>
      <w:pPr>
        <w:tabs>
          <w:tab w:val="left" w:pos="480"/>
          <w:tab w:val="left" w:pos="1380"/>
        </w:tabs>
        <w:spacing w:line="420" w:lineRule="exact"/>
        <w:ind w:left="480"/>
        <w:rPr>
          <w:rFonts w:hint="eastAsia" w:ascii="宋体" w:hAnsi="宋体" w:cs="宋体"/>
          <w:sz w:val="24"/>
          <w:szCs w:val="24"/>
        </w:rPr>
      </w:pPr>
      <w:r>
        <w:rPr>
          <w:rFonts w:hint="eastAsia" w:ascii="宋体" w:hAnsi="宋体" w:cs="宋体"/>
          <w:sz w:val="24"/>
          <w:szCs w:val="24"/>
        </w:rPr>
        <w:t>第三章 拟签订的合同文本</w:t>
      </w:r>
    </w:p>
    <w:p>
      <w:pPr>
        <w:tabs>
          <w:tab w:val="left" w:pos="480"/>
          <w:tab w:val="left" w:pos="1380"/>
        </w:tabs>
        <w:spacing w:line="420" w:lineRule="exact"/>
        <w:ind w:left="480"/>
        <w:rPr>
          <w:rFonts w:hint="eastAsia" w:ascii="宋体" w:hAnsi="宋体" w:cs="宋体"/>
          <w:sz w:val="24"/>
          <w:szCs w:val="24"/>
        </w:rPr>
      </w:pPr>
      <w:r>
        <w:rPr>
          <w:rFonts w:hint="eastAsia" w:ascii="宋体" w:hAnsi="宋体" w:cs="宋体"/>
          <w:sz w:val="24"/>
          <w:szCs w:val="24"/>
        </w:rPr>
        <w:t>第四章 投标文件格式</w:t>
      </w:r>
    </w:p>
    <w:p>
      <w:pPr>
        <w:spacing w:line="420" w:lineRule="exact"/>
        <w:ind w:left="480"/>
        <w:rPr>
          <w:rFonts w:hint="eastAsia" w:ascii="宋体" w:hAnsi="宋体" w:cs="宋体"/>
          <w:sz w:val="24"/>
          <w:szCs w:val="24"/>
        </w:rPr>
      </w:pPr>
      <w:r>
        <w:rPr>
          <w:rFonts w:hint="eastAsia" w:ascii="宋体" w:hAnsi="宋体" w:cs="宋体"/>
          <w:sz w:val="24"/>
          <w:szCs w:val="24"/>
        </w:rPr>
        <w:t>第五章 采购需求表及采购要求</w:t>
      </w:r>
    </w:p>
    <w:p>
      <w:pPr>
        <w:spacing w:line="420" w:lineRule="exact"/>
        <w:ind w:left="480"/>
        <w:rPr>
          <w:rFonts w:hint="eastAsia" w:ascii="宋体" w:hAnsi="宋体" w:cs="宋体"/>
          <w:sz w:val="24"/>
          <w:szCs w:val="24"/>
        </w:rPr>
      </w:pPr>
      <w:r>
        <w:rPr>
          <w:rFonts w:hint="eastAsia" w:ascii="宋体" w:hAnsi="宋体" w:cs="宋体"/>
          <w:sz w:val="24"/>
          <w:szCs w:val="24"/>
        </w:rPr>
        <w:t>第六章 评标标准</w:t>
      </w:r>
    </w:p>
    <w:p>
      <w:pPr>
        <w:spacing w:line="420" w:lineRule="exact"/>
        <w:ind w:left="454" w:hanging="454"/>
        <w:rPr>
          <w:rFonts w:hint="eastAsia" w:ascii="宋体" w:hAnsi="宋体" w:cs="宋体"/>
          <w:sz w:val="24"/>
          <w:szCs w:val="24"/>
        </w:rPr>
      </w:pPr>
      <w:r>
        <w:rPr>
          <w:rFonts w:hint="eastAsia" w:ascii="宋体" w:hAnsi="宋体" w:cs="宋体"/>
          <w:sz w:val="24"/>
          <w:szCs w:val="24"/>
        </w:rPr>
        <w:t>6.2 除非有特殊要求，招标文件不单独提供招标所需服务使用地的自然环境、气候条件、公用设施等情况，投标人被视为熟悉上述与履行合同有关的一切情况。</w:t>
      </w:r>
    </w:p>
    <w:p>
      <w:pPr>
        <w:pStyle w:val="3"/>
        <w:spacing w:before="0" w:after="0" w:line="420" w:lineRule="exact"/>
        <w:rPr>
          <w:rFonts w:hint="eastAsia" w:ascii="宋体" w:hAnsi="宋体" w:eastAsia="宋体" w:cs="宋体"/>
        </w:rPr>
      </w:pPr>
      <w:bookmarkStart w:id="75" w:name="_Toc494138596"/>
      <w:bookmarkStart w:id="76" w:name="_Toc163636248"/>
      <w:bookmarkStart w:id="77" w:name="_Toc494292885"/>
      <w:r>
        <w:rPr>
          <w:rFonts w:hint="eastAsia" w:ascii="宋体" w:hAnsi="宋体" w:eastAsia="宋体" w:cs="宋体"/>
          <w:sz w:val="28"/>
          <w:szCs w:val="28"/>
        </w:rPr>
        <w:t>7、投标人应当提交的资格、资信证明文件</w:t>
      </w:r>
      <w:bookmarkEnd w:id="75"/>
      <w:bookmarkEnd w:id="76"/>
      <w:bookmarkEnd w:id="77"/>
    </w:p>
    <w:p>
      <w:pPr>
        <w:spacing w:line="420" w:lineRule="exact"/>
        <w:ind w:left="454" w:hanging="454"/>
        <w:rPr>
          <w:rFonts w:hint="eastAsia" w:ascii="宋体" w:hAnsi="宋体" w:cs="宋体"/>
          <w:sz w:val="24"/>
          <w:szCs w:val="24"/>
        </w:rPr>
      </w:pPr>
      <w:r>
        <w:rPr>
          <w:rFonts w:hint="eastAsia" w:ascii="宋体" w:hAnsi="宋体" w:cs="宋体"/>
          <w:sz w:val="24"/>
          <w:szCs w:val="24"/>
        </w:rPr>
        <w:t>7.1具有独立承担民事责任的能力的资格证明文件</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7.2具有良好的商业信誉和健全的财务会计制度的证明文件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7.3 具有履行合同所必需的设备和专业技术能力的证明文件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7.4 有依法缴纳税收和社会保障资金的良好记录的证明文件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7.5参加政府采购前三年内,在经营活动中没有重大违法记录的证明文件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7.6法定代表人授权书（格式详见“第四章投标文件格式7-6”）。 </w:t>
      </w:r>
    </w:p>
    <w:p>
      <w:pPr>
        <w:spacing w:line="420" w:lineRule="exact"/>
        <w:ind w:left="454" w:hanging="454"/>
        <w:rPr>
          <w:rFonts w:hint="eastAsia" w:ascii="宋体" w:hAnsi="宋体" w:cs="宋体"/>
          <w:sz w:val="24"/>
          <w:szCs w:val="24"/>
        </w:rPr>
      </w:pPr>
      <w:r>
        <w:rPr>
          <w:rFonts w:hint="eastAsia" w:ascii="宋体" w:hAnsi="宋体" w:cs="宋体"/>
          <w:sz w:val="24"/>
          <w:szCs w:val="24"/>
        </w:rPr>
        <w:t>7.7投标人的资格声明（格式详见“第四章投标文件格式7-7”）。</w:t>
      </w:r>
    </w:p>
    <w:p>
      <w:pPr>
        <w:spacing w:line="420" w:lineRule="exact"/>
        <w:ind w:left="454" w:hanging="454"/>
        <w:rPr>
          <w:rFonts w:hint="eastAsia" w:ascii="宋体" w:hAnsi="宋体" w:cs="宋体"/>
          <w:sz w:val="24"/>
          <w:szCs w:val="24"/>
        </w:rPr>
      </w:pPr>
      <w:r>
        <w:rPr>
          <w:rFonts w:hint="eastAsia" w:ascii="宋体" w:hAnsi="宋体" w:cs="宋体"/>
          <w:sz w:val="24"/>
          <w:szCs w:val="24"/>
        </w:rPr>
        <w:t>7.8投标保证金凭证（格式详见“第四章投标文件格式7-8”）。</w:t>
      </w:r>
    </w:p>
    <w:p>
      <w:pPr>
        <w:spacing w:line="420" w:lineRule="exact"/>
        <w:ind w:left="454" w:hanging="454"/>
        <w:rPr>
          <w:rFonts w:hint="eastAsia" w:ascii="宋体" w:hAnsi="宋体" w:cs="宋体"/>
          <w:sz w:val="24"/>
          <w:szCs w:val="24"/>
        </w:rPr>
      </w:pPr>
      <w:r>
        <w:rPr>
          <w:rFonts w:hint="eastAsia" w:ascii="宋体" w:hAnsi="宋体" w:cs="宋体"/>
          <w:sz w:val="24"/>
          <w:szCs w:val="24"/>
        </w:rPr>
        <w:t>7.9其他资格证明文件</w:t>
      </w:r>
    </w:p>
    <w:p>
      <w:pPr>
        <w:pStyle w:val="3"/>
        <w:spacing w:before="0" w:after="0" w:line="420" w:lineRule="exact"/>
        <w:ind w:left="422" w:hanging="422" w:hangingChars="150"/>
        <w:rPr>
          <w:rFonts w:hint="eastAsia" w:ascii="宋体" w:hAnsi="宋体" w:eastAsia="宋体" w:cs="宋体"/>
        </w:rPr>
      </w:pPr>
      <w:bookmarkStart w:id="78" w:name="_Toc494138597"/>
      <w:bookmarkStart w:id="79" w:name="_Toc163636249"/>
      <w:bookmarkStart w:id="80" w:name="_Toc494292886"/>
      <w:r>
        <w:rPr>
          <w:rFonts w:hint="eastAsia" w:ascii="宋体" w:hAnsi="宋体" w:eastAsia="宋体" w:cs="宋体"/>
          <w:sz w:val="28"/>
          <w:szCs w:val="28"/>
        </w:rPr>
        <w:t>8、为落实政府采购政策，采购标的需满足的要求，以及投标人须提供的证明材料</w:t>
      </w:r>
      <w:bookmarkEnd w:id="78"/>
      <w:bookmarkEnd w:id="79"/>
      <w:bookmarkEnd w:id="80"/>
    </w:p>
    <w:p>
      <w:pPr>
        <w:spacing w:line="420" w:lineRule="exact"/>
        <w:ind w:left="454" w:hanging="454"/>
        <w:rPr>
          <w:rFonts w:hint="eastAsia" w:ascii="宋体" w:hAnsi="宋体" w:cs="宋体"/>
          <w:b/>
          <w:sz w:val="24"/>
          <w:szCs w:val="24"/>
        </w:rPr>
      </w:pPr>
      <w:r>
        <w:rPr>
          <w:rFonts w:hint="eastAsia" w:ascii="宋体" w:hAnsi="宋体" w:cs="宋体"/>
          <w:b/>
          <w:sz w:val="24"/>
          <w:szCs w:val="24"/>
        </w:rPr>
        <w:t>8.1中小企业（含中型、小型、微型企业，下同）参加投标</w:t>
      </w:r>
    </w:p>
    <w:p>
      <w:pPr>
        <w:spacing w:line="460" w:lineRule="exact"/>
        <w:rPr>
          <w:rFonts w:hint="eastAsia" w:ascii="宋体" w:hAnsi="宋体" w:cs="宋体"/>
          <w:sz w:val="24"/>
          <w:szCs w:val="24"/>
        </w:rPr>
      </w:pPr>
      <w:r>
        <w:rPr>
          <w:rFonts w:hint="eastAsia" w:ascii="宋体" w:hAnsi="宋体" w:cs="宋体"/>
          <w:sz w:val="24"/>
          <w:szCs w:val="24"/>
        </w:rPr>
        <w:t>（1）符合国务院批准的中小企业划分标准（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pPr>
        <w:spacing w:line="460" w:lineRule="exact"/>
        <w:ind w:left="225" w:leftChars="10" w:hanging="204" w:hangingChars="85"/>
        <w:rPr>
          <w:rFonts w:hint="eastAsia" w:ascii="宋体" w:hAnsi="宋体" w:cs="宋体"/>
          <w:sz w:val="24"/>
          <w:szCs w:val="24"/>
        </w:rPr>
      </w:pPr>
      <w:r>
        <w:rPr>
          <w:rFonts w:hint="eastAsia" w:ascii="宋体" w:hAnsi="宋体" w:cs="宋体"/>
          <w:sz w:val="24"/>
          <w:szCs w:val="24"/>
        </w:rPr>
        <w:t>（2）货物由中小企业制造，即货物由中小企业生产且使用该中小企业商号或者注册商标；本项所称货物不包括使用大型企业注册商标的货物；</w:t>
      </w:r>
    </w:p>
    <w:p>
      <w:pPr>
        <w:spacing w:line="460" w:lineRule="exact"/>
        <w:rPr>
          <w:rFonts w:hint="eastAsia" w:ascii="宋体" w:hAnsi="宋体" w:cs="宋体"/>
          <w:sz w:val="24"/>
          <w:szCs w:val="24"/>
        </w:rPr>
      </w:pPr>
      <w:r>
        <w:rPr>
          <w:rFonts w:hint="eastAsia" w:ascii="宋体" w:hAnsi="宋体" w:cs="宋体"/>
          <w:sz w:val="24"/>
          <w:szCs w:val="24"/>
        </w:rPr>
        <w:t>（3）小型、微型企业提供中型企业制造的货物的，视同为中型企业。</w:t>
      </w:r>
    </w:p>
    <w:p>
      <w:pPr>
        <w:spacing w:line="460" w:lineRule="exact"/>
        <w:rPr>
          <w:rFonts w:hint="eastAsia" w:ascii="宋体" w:hAnsi="宋体" w:cs="宋体"/>
          <w:sz w:val="24"/>
          <w:szCs w:val="24"/>
        </w:rPr>
      </w:pPr>
      <w:r>
        <w:rPr>
          <w:rFonts w:hint="eastAsia" w:ascii="宋体" w:hAnsi="宋体" w:cs="宋体"/>
          <w:sz w:val="24"/>
          <w:szCs w:val="24"/>
        </w:rPr>
        <w:t>（4）在货物采购项目中，供应商提供的货物既有中小企业制造货物，也有大型企业制造货物的，不享受中小企业扶持政策。</w:t>
      </w:r>
    </w:p>
    <w:p>
      <w:pPr>
        <w:spacing w:line="460" w:lineRule="exact"/>
        <w:rPr>
          <w:rFonts w:hint="eastAsia" w:ascii="宋体" w:hAnsi="宋体" w:cs="宋体"/>
          <w:sz w:val="24"/>
          <w:szCs w:val="24"/>
        </w:rPr>
      </w:pPr>
      <w:r>
        <w:rPr>
          <w:rFonts w:hint="eastAsia" w:ascii="宋体" w:hAnsi="宋体" w:cs="宋体"/>
          <w:sz w:val="24"/>
          <w:szCs w:val="24"/>
        </w:rPr>
        <w:t>（5）在工程采购项目中，工程由中小企业承建，即工程施工单位为中小企业；</w:t>
      </w:r>
    </w:p>
    <w:p>
      <w:pPr>
        <w:spacing w:line="460" w:lineRule="exact"/>
        <w:rPr>
          <w:rFonts w:hint="eastAsia" w:ascii="宋体" w:hAnsi="宋体" w:cs="宋体"/>
          <w:sz w:val="24"/>
          <w:szCs w:val="24"/>
        </w:rPr>
      </w:pPr>
      <w:r>
        <w:rPr>
          <w:rFonts w:hint="eastAsia" w:ascii="宋体" w:hAnsi="宋体" w:cs="宋体"/>
          <w:sz w:val="24"/>
          <w:szCs w:val="24"/>
        </w:rPr>
        <w:t>（6）在服务采购项目中，服务由中小企业承接，即提供服务的人员为中小企业依照《中华人民共和国劳动合同法》订立劳动合同的从业人员。</w:t>
      </w:r>
    </w:p>
    <w:p>
      <w:pPr>
        <w:spacing w:line="460" w:lineRule="exact"/>
        <w:rPr>
          <w:rFonts w:hint="eastAsia" w:ascii="宋体" w:hAnsi="宋体" w:cs="宋体"/>
          <w:sz w:val="24"/>
          <w:szCs w:val="24"/>
        </w:rPr>
      </w:pPr>
      <w:r>
        <w:rPr>
          <w:rFonts w:hint="eastAsia" w:ascii="宋体" w:hAnsi="宋体" w:cs="宋体"/>
          <w:sz w:val="24"/>
          <w:szCs w:val="24"/>
        </w:rPr>
        <w:t>（7）以联合体形式参加采购活动，联合体各方均为中小企业的，联合体视同中小企业。其中，联合体各方均为小微企业的，联合体视同小微企业。（适用于联合体投标）</w:t>
      </w:r>
    </w:p>
    <w:p>
      <w:pPr>
        <w:spacing w:line="460" w:lineRule="exact"/>
        <w:rPr>
          <w:rFonts w:hint="eastAsia" w:ascii="宋体" w:hAnsi="宋体" w:cs="宋体"/>
          <w:b/>
          <w:bCs/>
          <w:sz w:val="24"/>
          <w:szCs w:val="24"/>
        </w:rPr>
      </w:pPr>
      <w:r>
        <w:rPr>
          <w:rFonts w:hint="eastAsia" w:ascii="宋体" w:hAnsi="宋体" w:cs="宋体"/>
          <w:sz w:val="24"/>
          <w:szCs w:val="24"/>
        </w:rPr>
        <w:t>（8）组成联合体或者接受分包合同的中小企业与联合体内其他企业、分包企业之间不得存在直接控股、管理关系。</w:t>
      </w:r>
      <w:r>
        <w:rPr>
          <w:rFonts w:hint="eastAsia" w:ascii="宋体" w:hAnsi="宋体" w:cs="宋体"/>
          <w:b/>
          <w:bCs/>
          <w:sz w:val="24"/>
          <w:szCs w:val="24"/>
        </w:rPr>
        <w:t>(适用于涉及中小企业的联合体投标或者允许合同分包的采购项目)</w:t>
      </w:r>
    </w:p>
    <w:p>
      <w:pPr>
        <w:spacing w:line="460" w:lineRule="exact"/>
        <w:ind w:left="720" w:hanging="720" w:hangingChars="300"/>
        <w:rPr>
          <w:rFonts w:hint="eastAsia" w:ascii="宋体" w:hAnsi="宋体" w:cs="宋体"/>
          <w:sz w:val="24"/>
          <w:szCs w:val="24"/>
        </w:rPr>
      </w:pPr>
      <w:r>
        <w:rPr>
          <w:rFonts w:hint="eastAsia" w:ascii="宋体" w:hAnsi="宋体" w:cs="宋体"/>
          <w:sz w:val="24"/>
          <w:szCs w:val="24"/>
        </w:rPr>
        <w:t>8.1.2供应商提供的货物为中小企业制造的, 投标时必须提供制造商的《中小企业声明函》。（格式详见“第四章响应文件格式8-1”）</w:t>
      </w:r>
    </w:p>
    <w:p>
      <w:pPr>
        <w:spacing w:line="420" w:lineRule="exact"/>
        <w:ind w:left="602" w:hanging="602" w:hangingChars="250"/>
        <w:rPr>
          <w:rFonts w:hint="eastAsia" w:ascii="宋体" w:hAnsi="宋体" w:cs="宋体"/>
          <w:b/>
          <w:sz w:val="24"/>
          <w:szCs w:val="24"/>
        </w:rPr>
      </w:pPr>
      <w:r>
        <w:rPr>
          <w:rFonts w:hint="eastAsia" w:ascii="宋体" w:hAnsi="宋体" w:cs="宋体"/>
          <w:b/>
          <w:sz w:val="24"/>
          <w:szCs w:val="24"/>
        </w:rPr>
        <w:t>8.2监狱企业参加投标</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8.2.1监狱企业应当符合以下条件：</w:t>
      </w:r>
    </w:p>
    <w:p>
      <w:pPr>
        <w:spacing w:line="420" w:lineRule="exact"/>
        <w:ind w:left="525" w:leftChars="250" w:firstLine="480" w:firstLineChars="200"/>
        <w:rPr>
          <w:rFonts w:hint="eastAsia" w:ascii="宋体" w:hAnsi="宋体" w:cs="宋体"/>
          <w:sz w:val="24"/>
          <w:szCs w:val="24"/>
        </w:rPr>
      </w:pPr>
      <w:r>
        <w:rPr>
          <w:rFonts w:hint="eastAsia" w:ascii="宋体" w:hAnsi="宋体" w:cs="宋体"/>
          <w:sz w:val="24"/>
          <w:szCs w:val="24"/>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20" w:lineRule="exact"/>
        <w:rPr>
          <w:rFonts w:hint="eastAsia" w:ascii="宋体" w:hAnsi="宋体" w:cs="宋体"/>
          <w:sz w:val="24"/>
          <w:szCs w:val="24"/>
        </w:rPr>
      </w:pPr>
      <w:r>
        <w:rPr>
          <w:rFonts w:hint="eastAsia" w:ascii="宋体" w:hAnsi="宋体" w:cs="宋体"/>
          <w:sz w:val="24"/>
          <w:szCs w:val="24"/>
        </w:rPr>
        <w:t>8.2.2监狱企业参加投标须提供的证明材料：</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监狱企业参加政府采购活动时，应当提供由省级以上监狱管理局、戒毒管理局（含新疆生产建设兵团）出具的属于监狱企业的证明文件。（格式详见“第四章投标文件格式8-2”）</w:t>
      </w:r>
    </w:p>
    <w:p>
      <w:pPr>
        <w:spacing w:line="420" w:lineRule="exact"/>
        <w:ind w:firstLine="482" w:firstLineChars="200"/>
        <w:rPr>
          <w:rFonts w:hint="eastAsia" w:ascii="宋体" w:hAnsi="宋体" w:cs="宋体"/>
          <w:b/>
          <w:sz w:val="24"/>
          <w:szCs w:val="24"/>
        </w:rPr>
      </w:pPr>
      <w:r>
        <w:rPr>
          <w:rFonts w:hint="eastAsia" w:ascii="宋体" w:hAnsi="宋体" w:cs="宋体"/>
          <w:b/>
          <w:sz w:val="24"/>
          <w:szCs w:val="24"/>
        </w:rPr>
        <w:t>8.3残疾人福利性单位参加投标</w:t>
      </w:r>
    </w:p>
    <w:p>
      <w:pPr>
        <w:spacing w:line="420" w:lineRule="exact"/>
        <w:rPr>
          <w:rFonts w:hint="eastAsia" w:ascii="宋体" w:hAnsi="宋体" w:cs="宋体"/>
          <w:sz w:val="24"/>
          <w:szCs w:val="24"/>
        </w:rPr>
      </w:pPr>
      <w:r>
        <w:rPr>
          <w:rFonts w:hint="eastAsia" w:ascii="宋体" w:hAnsi="宋体" w:cs="宋体"/>
          <w:sz w:val="24"/>
          <w:szCs w:val="24"/>
        </w:rPr>
        <w:t>8.3.1享受政府采购支持政策的残疾人福利性单位应当同时满足以下条件：</w:t>
      </w:r>
    </w:p>
    <w:p>
      <w:pPr>
        <w:spacing w:line="420" w:lineRule="exact"/>
        <w:ind w:left="839" w:leftChars="114" w:hanging="600" w:hangingChars="250"/>
        <w:rPr>
          <w:rFonts w:hint="eastAsia" w:ascii="宋体" w:hAnsi="宋体" w:cs="宋体"/>
          <w:sz w:val="24"/>
          <w:szCs w:val="24"/>
        </w:rPr>
      </w:pPr>
      <w:r>
        <w:rPr>
          <w:rFonts w:hint="eastAsia" w:ascii="宋体" w:hAnsi="宋体" w:cs="宋体"/>
          <w:sz w:val="24"/>
          <w:szCs w:val="24"/>
        </w:rPr>
        <w:t>（1）安置的残疾人占本单位在职职工人数的比例不低于25%（含25%），并且安置的残疾人人数不少于10人（含10人）；</w:t>
      </w:r>
    </w:p>
    <w:p>
      <w:pPr>
        <w:spacing w:line="420" w:lineRule="exact"/>
        <w:rPr>
          <w:rFonts w:hint="eastAsia" w:ascii="宋体" w:hAnsi="宋体" w:cs="宋体"/>
          <w:sz w:val="24"/>
          <w:szCs w:val="24"/>
        </w:rPr>
      </w:pPr>
      <w:r>
        <w:rPr>
          <w:rFonts w:hint="eastAsia" w:ascii="宋体" w:hAnsi="宋体" w:cs="宋体"/>
          <w:sz w:val="24"/>
          <w:szCs w:val="24"/>
        </w:rPr>
        <w:t>　（2）依法与安置的每位残疾人签订了一年以上（含一年）的劳动合同或服务协议；</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（3）为安置的每位残疾人按月足额缴纳了基本养老保险、基本医疗保险、失业保险、工伤保险和生育保险等社会保险费；</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（4）通过银行等金融机构向安置的每位残疾人，按月支付了不低于单位所在区县适用的经省级人民政府批准的月最低工资标准的工资；</w:t>
      </w:r>
    </w:p>
    <w:p>
      <w:pPr>
        <w:spacing w:line="420" w:lineRule="exact"/>
        <w:ind w:left="810" w:leftChars="100" w:hanging="600" w:hangingChars="250"/>
        <w:rPr>
          <w:rFonts w:hint="eastAsia" w:ascii="宋体" w:hAnsi="宋体" w:cs="宋体"/>
          <w:sz w:val="24"/>
          <w:szCs w:val="24"/>
        </w:rPr>
      </w:pPr>
      <w:r>
        <w:rPr>
          <w:rFonts w:hint="eastAsia" w:ascii="宋体" w:hAnsi="宋体" w:cs="宋体"/>
          <w:sz w:val="24"/>
          <w:szCs w:val="24"/>
        </w:rPr>
        <w:t>（5）提供本单位制造的货物、承担的工程或者服务（以下简称产品），或者提供其他残疾人福利性单位制造的货物（不包括使用非残疾人福利性单位注册商标的货物）。</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8.3.2残疾人福利性单位参加投标须提供的证明材料：</w:t>
      </w:r>
    </w:p>
    <w:p>
      <w:pPr>
        <w:spacing w:line="420" w:lineRule="exact"/>
        <w:ind w:left="705" w:leftChars="50" w:hanging="600" w:hangingChars="250"/>
        <w:rPr>
          <w:rFonts w:hint="eastAsia" w:ascii="宋体" w:hAnsi="宋体" w:cs="宋体"/>
          <w:b/>
          <w:sz w:val="24"/>
          <w:szCs w:val="24"/>
        </w:rPr>
      </w:pPr>
      <w:r>
        <w:rPr>
          <w:rFonts w:hint="eastAsia" w:ascii="宋体" w:hAnsi="宋体" w:cs="宋体"/>
          <w:sz w:val="24"/>
          <w:szCs w:val="24"/>
        </w:rPr>
        <w:t>（1）符合条件的残疾人福利性单位在参加政府采购活动时，应当提供《残疾人福利性单位声明函》（格式详见“第四章投标文件格式8-3”），并对声明的真实性负责。</w:t>
      </w:r>
    </w:p>
    <w:p>
      <w:pPr>
        <w:spacing w:line="420" w:lineRule="exact"/>
        <w:ind w:left="705" w:leftChars="50" w:hanging="600" w:hangingChars="250"/>
        <w:rPr>
          <w:rFonts w:hint="eastAsia" w:ascii="宋体" w:hAnsi="宋体" w:cs="宋体"/>
          <w:sz w:val="24"/>
          <w:szCs w:val="24"/>
        </w:rPr>
      </w:pPr>
      <w:r>
        <w:rPr>
          <w:rFonts w:hint="eastAsia" w:ascii="宋体" w:hAnsi="宋体" w:cs="宋体"/>
          <w:sz w:val="24"/>
          <w:szCs w:val="24"/>
        </w:rPr>
        <w:t>（2）投标人提供的《残疾人福利性单位声明函》与事实不符的，参照《政府采购法》第七十七条第一款的规定追究法律责任。</w:t>
      </w:r>
    </w:p>
    <w:p>
      <w:pPr>
        <w:pStyle w:val="3"/>
        <w:spacing w:before="0" w:after="0" w:line="420" w:lineRule="exact"/>
        <w:ind w:left="562" w:hanging="562" w:hangingChars="200"/>
        <w:rPr>
          <w:rFonts w:hint="eastAsia" w:ascii="宋体" w:hAnsi="宋体" w:eastAsia="宋体" w:cs="宋体"/>
          <w:sz w:val="28"/>
          <w:szCs w:val="28"/>
        </w:rPr>
      </w:pPr>
      <w:bookmarkStart w:id="81" w:name="_Toc494138598"/>
      <w:bookmarkStart w:id="82" w:name="_Toc163636250"/>
      <w:bookmarkStart w:id="83" w:name="_Toc494292887"/>
      <w:r>
        <w:rPr>
          <w:rFonts w:hint="eastAsia" w:ascii="宋体" w:hAnsi="宋体" w:eastAsia="宋体" w:cs="宋体"/>
          <w:sz w:val="28"/>
          <w:szCs w:val="28"/>
        </w:rPr>
        <w:t>9、对小型和微型企业、监狱企业、残疾人福利性单位产品参加投标享受的政策</w:t>
      </w:r>
      <w:bookmarkEnd w:id="81"/>
      <w:bookmarkEnd w:id="82"/>
      <w:bookmarkEnd w:id="83"/>
    </w:p>
    <w:p>
      <w:pPr>
        <w:spacing w:line="460" w:lineRule="exact"/>
        <w:rPr>
          <w:rFonts w:hint="eastAsia" w:ascii="宋体" w:hAnsi="宋体" w:cs="宋体"/>
          <w:bCs/>
          <w:sz w:val="24"/>
          <w:szCs w:val="24"/>
        </w:rPr>
      </w:pPr>
      <w:r>
        <w:rPr>
          <w:rFonts w:hint="eastAsia" w:ascii="宋体" w:hAnsi="宋体" w:cs="宋体"/>
          <w:sz w:val="24"/>
          <w:szCs w:val="24"/>
        </w:rPr>
        <w:t>9.1对</w:t>
      </w:r>
      <w:r>
        <w:rPr>
          <w:rFonts w:hint="eastAsia" w:ascii="宋体" w:hAnsi="宋体" w:cs="宋体"/>
          <w:b/>
          <w:bCs/>
          <w:sz w:val="24"/>
          <w:szCs w:val="24"/>
        </w:rPr>
        <w:t>价格扣除</w:t>
      </w:r>
      <w:r>
        <w:rPr>
          <w:rFonts w:hint="eastAsia" w:ascii="宋体" w:hAnsi="宋体" w:cs="宋体"/>
          <w:b/>
          <w:sz w:val="24"/>
          <w:szCs w:val="24"/>
        </w:rPr>
        <w:t>享受政策内容详见第二章“投标人须知前附表”</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9.2监狱企业视同小型、微型企业，享受评审中价格扣除等政府促进中小企业发展的政府采购政策。</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9.3残疾人福利性单位视同小型、微型企业，享受评审中价格扣除等政府促进中小企业发展的政府采购政策；福利性单位属于小型、微型企业的，不重复享受政策。</w:t>
      </w:r>
    </w:p>
    <w:p>
      <w:pPr>
        <w:spacing w:line="420" w:lineRule="exact"/>
        <w:ind w:left="566" w:hanging="566" w:hangingChars="236"/>
        <w:rPr>
          <w:rFonts w:hint="eastAsia" w:ascii="宋体" w:hAnsi="宋体" w:cs="宋体"/>
          <w:b/>
          <w:i/>
          <w:sz w:val="24"/>
        </w:rPr>
      </w:pPr>
      <w:r>
        <w:rPr>
          <w:rFonts w:hint="eastAsia" w:ascii="宋体" w:hAnsi="宋体" w:cs="宋体"/>
          <w:sz w:val="24"/>
          <w:szCs w:val="24"/>
        </w:rPr>
        <w:t>9.4联合协议中约定，小型、微型企业的协议合同金额占到联合体协议合同总金额30%以上的，可给予联合体4%的价格扣除。</w:t>
      </w:r>
      <w:r>
        <w:rPr>
          <w:rFonts w:hint="eastAsia" w:ascii="宋体" w:hAnsi="宋体" w:cs="宋体"/>
          <w:b/>
          <w:i/>
          <w:sz w:val="24"/>
        </w:rPr>
        <w:t>（适用于联合体投标）</w:t>
      </w:r>
    </w:p>
    <w:p>
      <w:pPr>
        <w:spacing w:line="420" w:lineRule="exact"/>
        <w:ind w:left="566" w:hanging="566" w:hangingChars="236"/>
        <w:rPr>
          <w:rFonts w:hint="eastAsia" w:ascii="宋体" w:hAnsi="宋体" w:cs="宋体"/>
          <w:b/>
          <w:i/>
          <w:sz w:val="24"/>
        </w:rPr>
      </w:pPr>
      <w:r>
        <w:rPr>
          <w:rFonts w:hint="eastAsia" w:ascii="宋体" w:hAnsi="宋体" w:cs="宋体"/>
          <w:sz w:val="24"/>
          <w:szCs w:val="24"/>
        </w:rPr>
        <w:t>　　联合体各方均为小型、微型企业的，联合体视同为小型、微型企业。</w:t>
      </w:r>
      <w:r>
        <w:rPr>
          <w:rFonts w:hint="eastAsia" w:ascii="宋体" w:hAnsi="宋体" w:cs="宋体"/>
          <w:b/>
          <w:i/>
          <w:sz w:val="24"/>
        </w:rPr>
        <w:t>（适用于联合体投标）</w:t>
      </w:r>
    </w:p>
    <w:p>
      <w:pPr>
        <w:spacing w:line="420" w:lineRule="exact"/>
        <w:ind w:left="566" w:hanging="566" w:hangingChars="236"/>
        <w:rPr>
          <w:rFonts w:hint="eastAsia" w:ascii="宋体" w:hAnsi="宋体" w:cs="宋体"/>
          <w:b/>
          <w:i/>
          <w:sz w:val="24"/>
        </w:rPr>
      </w:pPr>
      <w:r>
        <w:rPr>
          <w:rFonts w:hint="eastAsia" w:ascii="宋体" w:hAnsi="宋体" w:cs="宋体"/>
          <w:sz w:val="24"/>
          <w:szCs w:val="24"/>
        </w:rPr>
        <w:t>　　组成联合体的大中型企业和其他自然人、法人或者其他组织，与小型、微型企业之间不得存在投资关系。</w:t>
      </w:r>
      <w:r>
        <w:rPr>
          <w:rFonts w:hint="eastAsia" w:ascii="宋体" w:hAnsi="宋体" w:cs="宋体"/>
          <w:b/>
          <w:i/>
          <w:sz w:val="24"/>
        </w:rPr>
        <w:t>（适用于联合体投标）</w:t>
      </w:r>
    </w:p>
    <w:p>
      <w:pPr>
        <w:spacing w:line="420" w:lineRule="exact"/>
        <w:ind w:left="569" w:hanging="569" w:hangingChars="236"/>
        <w:rPr>
          <w:rFonts w:hint="eastAsia" w:ascii="宋体" w:hAnsi="宋体" w:cs="宋体"/>
          <w:sz w:val="24"/>
          <w:szCs w:val="24"/>
        </w:rPr>
      </w:pPr>
      <w:r>
        <w:rPr>
          <w:rFonts w:hint="eastAsia" w:ascii="宋体" w:hAnsi="宋体" w:cs="宋体"/>
          <w:b/>
          <w:i/>
          <w:sz w:val="24"/>
          <w:szCs w:val="24"/>
        </w:rPr>
        <w:t>9.5 以上所称的货物或产品在本项目中指最终的服务成果。</w:t>
      </w:r>
    </w:p>
    <w:p>
      <w:pPr>
        <w:pStyle w:val="3"/>
        <w:spacing w:before="0" w:after="0" w:line="420" w:lineRule="exact"/>
        <w:rPr>
          <w:rFonts w:hint="eastAsia" w:ascii="宋体" w:hAnsi="宋体" w:eastAsia="宋体" w:cs="宋体"/>
          <w:sz w:val="28"/>
          <w:szCs w:val="28"/>
        </w:rPr>
      </w:pPr>
      <w:bookmarkStart w:id="84" w:name="_Toc494138599"/>
      <w:bookmarkStart w:id="85" w:name="_Toc286758313"/>
      <w:bookmarkStart w:id="86" w:name="_Toc163636251"/>
      <w:bookmarkStart w:id="87" w:name="_Toc494292888"/>
      <w:r>
        <w:rPr>
          <w:rFonts w:hint="eastAsia" w:ascii="宋体" w:hAnsi="宋体" w:eastAsia="宋体" w:cs="宋体"/>
          <w:sz w:val="28"/>
          <w:szCs w:val="28"/>
        </w:rPr>
        <w:t>10. 招标文件的修改</w:t>
      </w:r>
      <w:bookmarkEnd w:id="84"/>
      <w:bookmarkEnd w:id="85"/>
      <w:bookmarkEnd w:id="86"/>
      <w:bookmarkEnd w:id="87"/>
    </w:p>
    <w:p>
      <w:pPr>
        <w:spacing w:line="420" w:lineRule="exact"/>
        <w:ind w:left="454" w:hanging="454"/>
        <w:rPr>
          <w:rFonts w:hint="eastAsia" w:ascii="宋体" w:hAnsi="宋体" w:cs="宋体"/>
          <w:b/>
          <w:sz w:val="32"/>
          <w:szCs w:val="32"/>
        </w:rPr>
      </w:pPr>
      <w:r>
        <w:rPr>
          <w:rFonts w:hint="eastAsia" w:ascii="宋体" w:hAnsi="宋体" w:cs="宋体"/>
          <w:sz w:val="24"/>
          <w:szCs w:val="24"/>
        </w:rPr>
        <w:t>10.1采购代理机构可以对已发出的招标文件进行必要澄清或者修改，澄清或者修改的内容可能影响投标文件编制的，采购代理机构在投标截止时间至少15日前，在中国政府采购网上发布更正公告，上传答疑澄清文件。不足15日的，采购代理机构应当顺延提交投标文件的截止时间。</w:t>
      </w:r>
    </w:p>
    <w:p>
      <w:pPr>
        <w:spacing w:line="420" w:lineRule="exact"/>
        <w:ind w:left="454" w:hanging="454"/>
        <w:rPr>
          <w:rFonts w:hint="eastAsia" w:ascii="宋体" w:hAnsi="宋体" w:cs="宋体"/>
          <w:sz w:val="24"/>
          <w:szCs w:val="24"/>
        </w:rPr>
      </w:pPr>
      <w:r>
        <w:rPr>
          <w:rFonts w:hint="eastAsia" w:ascii="宋体" w:hAnsi="宋体" w:cs="宋体"/>
          <w:sz w:val="24"/>
          <w:szCs w:val="24"/>
        </w:rPr>
        <w:t>10.2已下载招标文件的投标人必须在中国政府采购网上下载答疑澄清文件。投标人因未下载答疑澄清文件、由此可能引起的投标文件内容缺失等相关后果由投标人自行承担。</w:t>
      </w:r>
    </w:p>
    <w:p>
      <w:pPr>
        <w:spacing w:line="420" w:lineRule="exact"/>
        <w:ind w:left="454" w:hanging="454"/>
        <w:rPr>
          <w:rFonts w:hint="eastAsia" w:ascii="宋体" w:hAnsi="宋体" w:cs="宋体"/>
          <w:sz w:val="24"/>
          <w:szCs w:val="24"/>
        </w:rPr>
      </w:pPr>
      <w:r>
        <w:rPr>
          <w:rFonts w:hint="eastAsia" w:ascii="宋体" w:hAnsi="宋体" w:cs="宋体"/>
          <w:sz w:val="24"/>
          <w:szCs w:val="24"/>
        </w:rPr>
        <w:t>10.3当招标文件和澄清文件在同一内容的表述上不一致时，以最后发出的文件为准。</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10.4 更正或者修改的内容是招标文件的组成部分，并对投标人具有约束力。</w:t>
      </w:r>
    </w:p>
    <w:p>
      <w:pPr>
        <w:spacing w:line="420" w:lineRule="exact"/>
        <w:ind w:left="600" w:hanging="600" w:hangingChars="250"/>
        <w:rPr>
          <w:rFonts w:hint="eastAsia" w:ascii="宋体" w:hAnsi="宋体" w:cs="宋体"/>
          <w:sz w:val="24"/>
          <w:szCs w:val="24"/>
        </w:rPr>
      </w:pPr>
    </w:p>
    <w:p>
      <w:pPr>
        <w:pStyle w:val="3"/>
        <w:spacing w:before="0" w:after="0" w:line="420" w:lineRule="exact"/>
        <w:jc w:val="center"/>
        <w:rPr>
          <w:rFonts w:hint="eastAsia" w:ascii="宋体" w:hAnsi="宋体" w:eastAsia="宋体" w:cs="宋体"/>
          <w:strike/>
          <w:sz w:val="30"/>
          <w:szCs w:val="30"/>
        </w:rPr>
      </w:pPr>
      <w:bookmarkStart w:id="88" w:name="_Toc163636252"/>
      <w:r>
        <w:rPr>
          <w:rFonts w:hint="eastAsia" w:ascii="宋体" w:hAnsi="宋体" w:eastAsia="宋体" w:cs="宋体"/>
          <w:sz w:val="30"/>
          <w:szCs w:val="30"/>
        </w:rPr>
        <w:t>三、 投  标</w:t>
      </w:r>
      <w:bookmarkEnd w:id="88"/>
    </w:p>
    <w:p>
      <w:pPr>
        <w:spacing w:line="420" w:lineRule="exact"/>
        <w:rPr>
          <w:rFonts w:hint="eastAsia" w:ascii="宋体" w:hAnsi="宋体" w:cs="宋体"/>
        </w:rPr>
      </w:pPr>
    </w:p>
    <w:p>
      <w:pPr>
        <w:pStyle w:val="3"/>
        <w:spacing w:before="0" w:after="0" w:line="420" w:lineRule="exact"/>
        <w:rPr>
          <w:rFonts w:hint="eastAsia" w:ascii="宋体" w:hAnsi="宋体" w:eastAsia="宋体" w:cs="宋体"/>
          <w:sz w:val="28"/>
          <w:szCs w:val="28"/>
        </w:rPr>
      </w:pPr>
      <w:bookmarkStart w:id="89" w:name="_Toc286758315"/>
      <w:bookmarkStart w:id="90" w:name="_Toc494292890"/>
      <w:bookmarkStart w:id="91" w:name="_Toc163636253"/>
      <w:bookmarkStart w:id="92" w:name="_Toc494138601"/>
      <w:r>
        <w:rPr>
          <w:rFonts w:hint="eastAsia" w:ascii="宋体" w:hAnsi="宋体" w:eastAsia="宋体" w:cs="宋体"/>
          <w:sz w:val="28"/>
          <w:szCs w:val="28"/>
        </w:rPr>
        <w:t>11、</w:t>
      </w:r>
      <w:bookmarkEnd w:id="89"/>
      <w:r>
        <w:rPr>
          <w:rFonts w:hint="eastAsia" w:ascii="宋体" w:hAnsi="宋体" w:eastAsia="宋体" w:cs="宋体"/>
          <w:sz w:val="28"/>
          <w:szCs w:val="28"/>
        </w:rPr>
        <w:t>投标文件的编制</w:t>
      </w:r>
      <w:bookmarkEnd w:id="90"/>
      <w:bookmarkEnd w:id="91"/>
      <w:bookmarkEnd w:id="92"/>
      <w:r>
        <w:rPr>
          <w:rFonts w:hint="eastAsia" w:ascii="宋体" w:hAnsi="宋体" w:eastAsia="宋体" w:cs="宋体"/>
          <w:sz w:val="28"/>
          <w:szCs w:val="28"/>
        </w:rPr>
        <w:t xml:space="preserve">  </w:t>
      </w:r>
    </w:p>
    <w:p>
      <w:pPr>
        <w:spacing w:line="420" w:lineRule="exact"/>
        <w:ind w:left="480" w:hanging="480" w:hangingChars="200"/>
        <w:rPr>
          <w:rFonts w:hint="eastAsia" w:ascii="宋体" w:hAnsi="宋体" w:cs="宋体"/>
          <w:b/>
          <w:sz w:val="32"/>
          <w:szCs w:val="32"/>
        </w:rPr>
      </w:pPr>
      <w:r>
        <w:rPr>
          <w:rFonts w:hint="eastAsia" w:ascii="宋体" w:hAnsi="宋体" w:cs="宋体"/>
          <w:sz w:val="24"/>
          <w:szCs w:val="24"/>
        </w:rPr>
        <w:t>11.1投标人应当按照招标文件的要求编制投标文件。投标文件应当对招标文件提出的要求和条件作出明确响应。</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11.2投标文件因字迹潦草或表达不清所引起的后果由投标人负责。</w:t>
      </w:r>
    </w:p>
    <w:p>
      <w:pPr>
        <w:pStyle w:val="3"/>
        <w:spacing w:before="0" w:after="0" w:line="420" w:lineRule="exact"/>
        <w:rPr>
          <w:rFonts w:hint="eastAsia" w:ascii="宋体" w:hAnsi="宋体" w:eastAsia="宋体" w:cs="宋体"/>
          <w:sz w:val="28"/>
          <w:szCs w:val="28"/>
        </w:rPr>
      </w:pPr>
      <w:bookmarkStart w:id="93" w:name="_Toc163636254"/>
      <w:bookmarkStart w:id="94" w:name="_Toc494292891"/>
      <w:bookmarkStart w:id="95" w:name="_Toc262628453"/>
      <w:bookmarkStart w:id="96" w:name="_Toc494138602"/>
      <w:bookmarkStart w:id="97" w:name="_Toc286758318"/>
      <w:r>
        <w:rPr>
          <w:rFonts w:hint="eastAsia" w:ascii="宋体" w:hAnsi="宋体" w:eastAsia="宋体" w:cs="宋体"/>
          <w:sz w:val="28"/>
          <w:szCs w:val="28"/>
        </w:rPr>
        <w:t>12、 投标文件计量单位</w:t>
      </w:r>
      <w:bookmarkEnd w:id="93"/>
      <w:bookmarkEnd w:id="94"/>
      <w:bookmarkEnd w:id="95"/>
      <w:bookmarkEnd w:id="96"/>
      <w:r>
        <w:rPr>
          <w:rFonts w:hint="eastAsia" w:ascii="宋体" w:hAnsi="宋体" w:eastAsia="宋体" w:cs="宋体"/>
          <w:sz w:val="28"/>
          <w:szCs w:val="28"/>
        </w:rPr>
        <w:tab/>
      </w:r>
    </w:p>
    <w:p>
      <w:pPr>
        <w:spacing w:line="420" w:lineRule="exact"/>
        <w:ind w:left="454" w:hanging="454"/>
        <w:rPr>
          <w:rFonts w:hint="eastAsia" w:ascii="宋体" w:hAnsi="宋体" w:cs="宋体"/>
          <w:sz w:val="24"/>
          <w:szCs w:val="24"/>
        </w:rPr>
      </w:pPr>
      <w:r>
        <w:rPr>
          <w:rFonts w:hint="eastAsia" w:ascii="宋体" w:hAnsi="宋体" w:cs="宋体"/>
          <w:sz w:val="24"/>
          <w:szCs w:val="24"/>
        </w:rPr>
        <w:t>12.1投标文件中所使用的计量单位, 除招标文件中有特殊要求外，应采用国家法定计量单位。</w:t>
      </w:r>
    </w:p>
    <w:p>
      <w:pPr>
        <w:pStyle w:val="3"/>
        <w:spacing w:before="0" w:after="0" w:line="420" w:lineRule="exact"/>
        <w:rPr>
          <w:rFonts w:hint="eastAsia" w:ascii="宋体" w:hAnsi="宋体" w:eastAsia="宋体" w:cs="宋体"/>
          <w:sz w:val="28"/>
          <w:szCs w:val="28"/>
        </w:rPr>
      </w:pPr>
      <w:bookmarkStart w:id="98" w:name="_Toc494138604"/>
      <w:bookmarkStart w:id="99" w:name="_Toc494292892"/>
      <w:bookmarkStart w:id="100" w:name="_Toc163636255"/>
      <w:r>
        <w:rPr>
          <w:rFonts w:hint="eastAsia" w:ascii="宋体" w:hAnsi="宋体" w:eastAsia="宋体" w:cs="宋体"/>
          <w:sz w:val="28"/>
          <w:szCs w:val="28"/>
        </w:rPr>
        <w:t>13、 投标文件的构成</w:t>
      </w:r>
      <w:bookmarkEnd w:id="97"/>
      <w:bookmarkEnd w:id="98"/>
      <w:bookmarkEnd w:id="99"/>
      <w:bookmarkEnd w:id="100"/>
    </w:p>
    <w:p>
      <w:pPr>
        <w:spacing w:line="420" w:lineRule="exact"/>
        <w:rPr>
          <w:rFonts w:hint="eastAsia" w:ascii="宋体" w:hAnsi="宋体" w:cs="宋体"/>
          <w:sz w:val="24"/>
          <w:szCs w:val="24"/>
        </w:rPr>
      </w:pPr>
      <w:r>
        <w:rPr>
          <w:rFonts w:hint="eastAsia" w:ascii="宋体" w:hAnsi="宋体" w:cs="宋体"/>
          <w:sz w:val="24"/>
          <w:szCs w:val="24"/>
        </w:rPr>
        <w:t>13.1投标文件应由下列部分构成（格式详见“第四章 投标文件格式”）：</w:t>
      </w:r>
    </w:p>
    <w:p>
      <w:pPr>
        <w:spacing w:line="420" w:lineRule="exact"/>
        <w:ind w:left="454" w:hanging="454"/>
        <w:rPr>
          <w:rFonts w:hint="eastAsia" w:ascii="宋体" w:hAnsi="宋体" w:cs="宋体"/>
          <w:sz w:val="24"/>
          <w:szCs w:val="24"/>
        </w:rPr>
      </w:pPr>
      <w:r>
        <w:rPr>
          <w:rFonts w:hint="eastAsia" w:ascii="宋体" w:hAnsi="宋体" w:cs="宋体"/>
          <w:sz w:val="24"/>
          <w:szCs w:val="24"/>
        </w:rPr>
        <w:t>（1）投标书</w:t>
      </w:r>
    </w:p>
    <w:p>
      <w:pPr>
        <w:spacing w:line="420" w:lineRule="exact"/>
        <w:ind w:left="454" w:hanging="454"/>
        <w:rPr>
          <w:rFonts w:hint="eastAsia" w:ascii="宋体" w:hAnsi="宋体" w:cs="宋体"/>
          <w:sz w:val="24"/>
          <w:szCs w:val="24"/>
        </w:rPr>
      </w:pPr>
      <w:r>
        <w:rPr>
          <w:rFonts w:hint="eastAsia" w:ascii="宋体" w:hAnsi="宋体" w:cs="宋体"/>
          <w:sz w:val="24"/>
          <w:szCs w:val="24"/>
        </w:rPr>
        <w:t>（2）开标一览表</w:t>
      </w:r>
    </w:p>
    <w:p>
      <w:pPr>
        <w:spacing w:line="420" w:lineRule="exact"/>
        <w:ind w:left="454" w:hanging="454"/>
        <w:rPr>
          <w:rFonts w:hint="eastAsia" w:ascii="宋体" w:hAnsi="宋体" w:cs="宋体"/>
          <w:sz w:val="24"/>
          <w:szCs w:val="24"/>
        </w:rPr>
      </w:pPr>
      <w:r>
        <w:rPr>
          <w:rFonts w:hint="eastAsia" w:ascii="宋体" w:hAnsi="宋体" w:cs="宋体"/>
          <w:sz w:val="24"/>
          <w:szCs w:val="24"/>
        </w:rPr>
        <w:t>（3）分项报价表</w:t>
      </w:r>
    </w:p>
    <w:p>
      <w:pPr>
        <w:spacing w:line="420" w:lineRule="exact"/>
        <w:ind w:left="454" w:hanging="454"/>
        <w:rPr>
          <w:rFonts w:hint="eastAsia" w:ascii="宋体" w:hAnsi="宋体" w:cs="宋体"/>
          <w:sz w:val="24"/>
          <w:szCs w:val="24"/>
        </w:rPr>
      </w:pPr>
      <w:r>
        <w:rPr>
          <w:rFonts w:hint="eastAsia" w:ascii="宋体" w:hAnsi="宋体" w:cs="宋体"/>
          <w:sz w:val="24"/>
          <w:szCs w:val="24"/>
        </w:rPr>
        <w:t>（4）开标一览明细表</w:t>
      </w:r>
    </w:p>
    <w:p>
      <w:pPr>
        <w:spacing w:line="420" w:lineRule="exact"/>
        <w:ind w:left="454" w:hanging="454"/>
        <w:rPr>
          <w:rFonts w:hint="eastAsia" w:ascii="宋体" w:hAnsi="宋体" w:cs="宋体"/>
          <w:sz w:val="24"/>
          <w:szCs w:val="24"/>
        </w:rPr>
      </w:pPr>
      <w:r>
        <w:rPr>
          <w:rFonts w:hint="eastAsia" w:ascii="宋体" w:hAnsi="宋体" w:cs="宋体"/>
          <w:sz w:val="24"/>
          <w:szCs w:val="24"/>
        </w:rPr>
        <w:t>（5）技术需求响应/偏离表</w:t>
      </w:r>
    </w:p>
    <w:p>
      <w:pPr>
        <w:spacing w:line="420" w:lineRule="exact"/>
        <w:ind w:left="454" w:hanging="454"/>
        <w:rPr>
          <w:rFonts w:hint="eastAsia" w:ascii="宋体" w:hAnsi="宋体" w:cs="宋体"/>
          <w:sz w:val="24"/>
          <w:szCs w:val="24"/>
        </w:rPr>
      </w:pPr>
      <w:r>
        <w:rPr>
          <w:rFonts w:hint="eastAsia" w:ascii="宋体" w:hAnsi="宋体" w:cs="宋体"/>
          <w:sz w:val="24"/>
          <w:szCs w:val="24"/>
        </w:rPr>
        <w:t>（6）商务条款响应/偏离表</w:t>
      </w:r>
    </w:p>
    <w:p>
      <w:pPr>
        <w:spacing w:line="420" w:lineRule="exact"/>
        <w:ind w:left="454" w:hanging="454"/>
        <w:rPr>
          <w:rFonts w:hint="eastAsia" w:ascii="宋体" w:hAnsi="宋体" w:cs="宋体"/>
          <w:sz w:val="24"/>
          <w:szCs w:val="24"/>
        </w:rPr>
      </w:pPr>
      <w:r>
        <w:rPr>
          <w:rFonts w:hint="eastAsia" w:ascii="宋体" w:hAnsi="宋体" w:cs="宋体"/>
          <w:sz w:val="24"/>
          <w:szCs w:val="24"/>
        </w:rPr>
        <w:t>（7）投标人应当提交的资格、资信证明文件</w:t>
      </w:r>
    </w:p>
    <w:p>
      <w:pPr>
        <w:spacing w:line="420" w:lineRule="exact"/>
        <w:ind w:left="454" w:hanging="454"/>
        <w:rPr>
          <w:rFonts w:hint="eastAsia" w:ascii="宋体" w:hAnsi="宋体" w:cs="宋体"/>
          <w:sz w:val="24"/>
          <w:szCs w:val="24"/>
        </w:rPr>
      </w:pPr>
      <w:r>
        <w:rPr>
          <w:rFonts w:hint="eastAsia" w:ascii="宋体" w:hAnsi="宋体" w:cs="宋体"/>
          <w:sz w:val="24"/>
          <w:szCs w:val="24"/>
        </w:rPr>
        <w:t>（8）为落实政府采购政策投标人须提供的证明材料</w:t>
      </w:r>
    </w:p>
    <w:p>
      <w:pPr>
        <w:spacing w:line="420" w:lineRule="exact"/>
        <w:ind w:left="454" w:hanging="454"/>
        <w:rPr>
          <w:rFonts w:hint="eastAsia" w:ascii="宋体" w:hAnsi="宋体" w:cs="宋体"/>
          <w:sz w:val="24"/>
          <w:szCs w:val="24"/>
        </w:rPr>
      </w:pPr>
      <w:r>
        <w:rPr>
          <w:rFonts w:hint="eastAsia" w:ascii="宋体" w:hAnsi="宋体" w:cs="宋体"/>
          <w:sz w:val="24"/>
          <w:szCs w:val="24"/>
        </w:rPr>
        <w:t>（9）技术文件</w:t>
      </w:r>
    </w:p>
    <w:p>
      <w:pPr>
        <w:spacing w:line="420" w:lineRule="exact"/>
        <w:ind w:left="454" w:hanging="454"/>
        <w:rPr>
          <w:rFonts w:hint="eastAsia" w:ascii="宋体" w:hAnsi="宋体" w:cs="宋体"/>
          <w:sz w:val="24"/>
          <w:szCs w:val="24"/>
        </w:rPr>
      </w:pPr>
      <w:r>
        <w:rPr>
          <w:rFonts w:hint="eastAsia" w:ascii="宋体" w:hAnsi="宋体" w:cs="宋体"/>
          <w:sz w:val="24"/>
          <w:szCs w:val="24"/>
        </w:rPr>
        <w:t>（10）其他资料</w:t>
      </w:r>
    </w:p>
    <w:p>
      <w:pPr>
        <w:spacing w:line="420" w:lineRule="exact"/>
        <w:rPr>
          <w:rFonts w:hint="eastAsia" w:ascii="宋体" w:hAnsi="宋体" w:cs="宋体"/>
          <w:sz w:val="24"/>
          <w:szCs w:val="24"/>
        </w:rPr>
      </w:pPr>
      <w:r>
        <w:rPr>
          <w:rFonts w:hint="eastAsia" w:ascii="宋体" w:hAnsi="宋体" w:cs="宋体"/>
          <w:sz w:val="24"/>
          <w:szCs w:val="24"/>
        </w:rPr>
        <w:t>13.2投标人应编写投标文件目录及页码</w:t>
      </w:r>
    </w:p>
    <w:p>
      <w:pPr>
        <w:pStyle w:val="3"/>
        <w:spacing w:before="0" w:after="0" w:line="420" w:lineRule="exact"/>
        <w:rPr>
          <w:rFonts w:hint="eastAsia" w:ascii="宋体" w:hAnsi="宋体" w:eastAsia="宋体" w:cs="宋体"/>
          <w:sz w:val="28"/>
          <w:szCs w:val="28"/>
        </w:rPr>
      </w:pPr>
      <w:bookmarkStart w:id="101" w:name="_Toc494138605"/>
      <w:bookmarkStart w:id="102" w:name="_Toc494292893"/>
      <w:bookmarkStart w:id="103" w:name="_Toc286758321"/>
      <w:bookmarkStart w:id="104" w:name="_Toc163636256"/>
      <w:r>
        <w:rPr>
          <w:rFonts w:hint="eastAsia" w:ascii="宋体" w:hAnsi="宋体" w:eastAsia="宋体" w:cs="宋体"/>
          <w:sz w:val="28"/>
          <w:szCs w:val="28"/>
        </w:rPr>
        <w:t>14、投标报价</w:t>
      </w:r>
      <w:bookmarkEnd w:id="101"/>
      <w:bookmarkEnd w:id="102"/>
      <w:bookmarkEnd w:id="103"/>
      <w:bookmarkEnd w:id="104"/>
      <w:r>
        <w:rPr>
          <w:rFonts w:hint="eastAsia" w:ascii="宋体" w:hAnsi="宋体" w:eastAsia="宋体" w:cs="宋体"/>
          <w:sz w:val="28"/>
          <w:szCs w:val="28"/>
        </w:rPr>
        <w:t xml:space="preserve"> </w:t>
      </w:r>
    </w:p>
    <w:p>
      <w:pPr>
        <w:spacing w:line="420" w:lineRule="exact"/>
        <w:ind w:left="720" w:hanging="720" w:hangingChars="300"/>
        <w:rPr>
          <w:rFonts w:hint="eastAsia" w:ascii="宋体" w:hAnsi="宋体" w:cs="宋体"/>
          <w:sz w:val="24"/>
          <w:szCs w:val="24"/>
        </w:rPr>
      </w:pPr>
      <w:r>
        <w:rPr>
          <w:rFonts w:hint="eastAsia" w:ascii="宋体" w:hAnsi="宋体" w:cs="宋体"/>
          <w:sz w:val="24"/>
          <w:szCs w:val="24"/>
        </w:rPr>
        <w:t>14.1所有投标均以人民币报价。</w:t>
      </w:r>
    </w:p>
    <w:p>
      <w:pPr>
        <w:spacing w:line="420" w:lineRule="exact"/>
        <w:ind w:left="720" w:hanging="720" w:hangingChars="300"/>
        <w:rPr>
          <w:rFonts w:hint="eastAsia" w:ascii="宋体" w:hAnsi="宋体" w:cs="宋体"/>
          <w:sz w:val="24"/>
          <w:szCs w:val="24"/>
        </w:rPr>
      </w:pPr>
      <w:r>
        <w:rPr>
          <w:rFonts w:hint="eastAsia" w:ascii="宋体" w:hAnsi="宋体" w:cs="宋体"/>
          <w:sz w:val="24"/>
          <w:szCs w:val="24"/>
        </w:rPr>
        <w:t>14.2投标人要按开标一览表（统一格式）和分项报价表（统一格式）、开标一览明细表的内容填写产品单价、总价及其他事项。投标总价中不得包含招标文件要求以外的内容，否则，在评标时不予核减。</w:t>
      </w:r>
      <w:r>
        <w:rPr>
          <w:rFonts w:hint="eastAsia" w:ascii="宋体" w:hAnsi="宋体" w:cs="宋体"/>
          <w:sz w:val="24"/>
        </w:rPr>
        <w:t>若投标人不同意，</w:t>
      </w:r>
      <w:r>
        <w:rPr>
          <w:rFonts w:hint="eastAsia" w:ascii="宋体" w:hAnsi="宋体" w:cs="宋体"/>
          <w:b/>
          <w:sz w:val="24"/>
        </w:rPr>
        <w:t>投标无效。</w:t>
      </w:r>
    </w:p>
    <w:p>
      <w:pPr>
        <w:spacing w:line="420" w:lineRule="exact"/>
        <w:ind w:left="600" w:hanging="600" w:hangingChars="250"/>
        <w:rPr>
          <w:rFonts w:hint="eastAsia" w:ascii="宋体" w:hAnsi="宋体" w:cs="宋体"/>
          <w:sz w:val="24"/>
          <w:szCs w:val="24"/>
        </w:rPr>
      </w:pPr>
      <w:r>
        <w:rPr>
          <w:rFonts w:hint="eastAsia" w:ascii="宋体" w:hAnsi="宋体" w:cs="宋体"/>
          <w:sz w:val="24"/>
        </w:rPr>
        <w:t>14.3</w:t>
      </w:r>
      <w:r>
        <w:rPr>
          <w:rFonts w:hint="eastAsia" w:ascii="宋体" w:hAnsi="宋体" w:cs="宋体"/>
          <w:sz w:val="24"/>
          <w:szCs w:val="24"/>
        </w:rPr>
        <w:t>投标总价中如缺漏招标文件所要求的内容，投标人中标后须提供，且中标价以投标报价为准</w:t>
      </w:r>
      <w:r>
        <w:rPr>
          <w:rFonts w:hint="eastAsia" w:ascii="宋体" w:hAnsi="宋体" w:cs="宋体"/>
          <w:sz w:val="24"/>
        </w:rPr>
        <w:t>；若投标人不同意，</w:t>
      </w:r>
      <w:r>
        <w:rPr>
          <w:rFonts w:hint="eastAsia" w:ascii="宋体" w:hAnsi="宋体" w:cs="宋体"/>
          <w:b/>
          <w:sz w:val="24"/>
        </w:rPr>
        <w:t>投标无效。</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14.4 投标人所报的投标价在合同执行过程中是固定不变的，不得以任何理由予以变更。投标人应对所有招标内容进行投标，且只提供最优方案一套，投标人提交任何包含价格调整要求的投标将按非实质性响应投标，</w:t>
      </w:r>
      <w:r>
        <w:rPr>
          <w:rFonts w:hint="eastAsia" w:ascii="宋体" w:hAnsi="宋体" w:cs="宋体"/>
          <w:b/>
          <w:sz w:val="24"/>
        </w:rPr>
        <w:t>投标</w:t>
      </w:r>
      <w:r>
        <w:rPr>
          <w:rFonts w:hint="eastAsia" w:ascii="宋体" w:hAnsi="宋体" w:cs="宋体"/>
          <w:b/>
          <w:sz w:val="24"/>
          <w:szCs w:val="24"/>
        </w:rPr>
        <w:t>无效。</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14.5最低报价不能作为中标的保证。</w:t>
      </w:r>
    </w:p>
    <w:p>
      <w:pPr>
        <w:pStyle w:val="3"/>
        <w:numPr>
          <w:ilvl w:val="0"/>
          <w:numId w:val="2"/>
        </w:numPr>
        <w:spacing w:line="420" w:lineRule="exact"/>
        <w:rPr>
          <w:rFonts w:hint="eastAsia"/>
        </w:rPr>
      </w:pPr>
      <w:bookmarkStart w:id="105" w:name="_Toc494292894"/>
      <w:bookmarkStart w:id="106" w:name="_Toc494138606"/>
      <w:bookmarkStart w:id="107" w:name="_Toc163636257"/>
      <w:bookmarkStart w:id="108" w:name="_Toc286758322"/>
      <w:r>
        <w:rPr>
          <w:rFonts w:hint="eastAsia" w:ascii="宋体" w:hAnsi="宋体" w:eastAsia="宋体" w:cs="宋体"/>
          <w:sz w:val="28"/>
          <w:szCs w:val="28"/>
        </w:rPr>
        <w:t>投标保证金</w:t>
      </w:r>
      <w:bookmarkEnd w:id="105"/>
      <w:bookmarkEnd w:id="106"/>
      <w:bookmarkEnd w:id="107"/>
      <w:bookmarkEnd w:id="108"/>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15.1 投标人须在投标文件递交截止时间之前向交易中心提交投标保证金，并作为其投标文件的一部分，详见“投标人须知前附表”。</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联合体投标的，可以由联合体中的一方或者共同提交投标保证金，以一方名义提交投标保证金的，对联合体各方均具有约束力。（适用联合体投标）</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15.2 任何未按“投标人须知第 15.1 条”要求提交投标保证金的投标文件， 投标无效。</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15.3 自中标通知书发出之日起 5 个工作日内退还未中标人的投标保证金，自采购合同签订之日起 5 个工作日内退还中标人的投标保证金。</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15.4 投标人在投标截止时间前撤回已提交的投标文件的，采购代理机构应当自投标截止之日起 5 个工作日内，退还已收取的投标保证金，但因投标人自身原因导致无法及时退还的除外。</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15.5 下列任何情况发生时，不予退还其交纳的投标保证金：</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（1)投标人在投标有效期内撤回其投标；</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（2)中标人未按招标文件所述规定签订合同；</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（3)中标人未按规定提交履约保证金 （如招标文件要求提交履约保证金） ；</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（4)中标人提供虚假材料和文件意图骗取中标。</w:t>
      </w:r>
    </w:p>
    <w:p>
      <w:pPr>
        <w:pStyle w:val="3"/>
        <w:spacing w:before="0" w:after="0" w:line="420" w:lineRule="exact"/>
        <w:rPr>
          <w:rFonts w:hint="eastAsia" w:ascii="宋体" w:hAnsi="宋体" w:eastAsia="宋体" w:cs="宋体"/>
          <w:sz w:val="28"/>
          <w:szCs w:val="28"/>
        </w:rPr>
      </w:pPr>
      <w:bookmarkStart w:id="109" w:name="_Toc286758323"/>
      <w:bookmarkStart w:id="110" w:name="_Toc163636258"/>
      <w:bookmarkStart w:id="111" w:name="_Toc494138607"/>
      <w:bookmarkStart w:id="112" w:name="_Toc494292895"/>
      <w:r>
        <w:rPr>
          <w:rFonts w:hint="eastAsia" w:ascii="宋体" w:hAnsi="宋体" w:eastAsia="宋体" w:cs="宋体"/>
          <w:sz w:val="28"/>
          <w:szCs w:val="28"/>
        </w:rPr>
        <w:t>16、投标有效期</w:t>
      </w:r>
      <w:bookmarkEnd w:id="109"/>
      <w:bookmarkEnd w:id="110"/>
      <w:bookmarkEnd w:id="111"/>
      <w:bookmarkEnd w:id="112"/>
    </w:p>
    <w:p>
      <w:pPr>
        <w:spacing w:line="420" w:lineRule="exact"/>
        <w:ind w:left="567" w:hanging="567"/>
        <w:rPr>
          <w:rFonts w:hint="eastAsia" w:ascii="宋体" w:hAnsi="宋体" w:cs="宋体"/>
          <w:b/>
          <w:sz w:val="24"/>
          <w:szCs w:val="24"/>
        </w:rPr>
      </w:pPr>
      <w:r>
        <w:rPr>
          <w:rFonts w:hint="eastAsia" w:ascii="宋体" w:hAnsi="宋体" w:cs="宋体"/>
          <w:sz w:val="24"/>
          <w:szCs w:val="24"/>
        </w:rPr>
        <w:t>16.1投标有效期从提交投标文件的截止之日起算。投标文件中承诺的投标有效期应不少于招标文件中载明的投标有效期。并在投标文件中承诺的投标有效期內保持有效。招标文件中载明的投标有效期详见“投标人须知前附表”，投标有效期不足的投标，</w:t>
      </w:r>
      <w:r>
        <w:rPr>
          <w:rFonts w:hint="eastAsia" w:ascii="宋体" w:hAnsi="宋体" w:cs="宋体"/>
          <w:b/>
          <w:sz w:val="24"/>
          <w:szCs w:val="24"/>
        </w:rPr>
        <w:t>投标无效</w:t>
      </w:r>
      <w:r>
        <w:rPr>
          <w:rFonts w:hint="eastAsia" w:ascii="宋体" w:hAnsi="宋体" w:cs="宋体"/>
          <w:sz w:val="24"/>
          <w:szCs w:val="24"/>
        </w:rPr>
        <w:t>。</w:t>
      </w:r>
    </w:p>
    <w:p>
      <w:pPr>
        <w:spacing w:line="420" w:lineRule="exact"/>
        <w:ind w:left="567" w:hanging="567"/>
        <w:rPr>
          <w:rFonts w:hint="eastAsia" w:ascii="宋体" w:hAnsi="宋体" w:cs="宋体"/>
          <w:sz w:val="24"/>
          <w:szCs w:val="24"/>
        </w:rPr>
      </w:pPr>
      <w:r>
        <w:rPr>
          <w:rFonts w:hint="eastAsia" w:ascii="宋体" w:hAnsi="宋体" w:cs="宋体"/>
          <w:sz w:val="24"/>
          <w:szCs w:val="24"/>
        </w:rPr>
        <w:t>16.2在特殊情况下，采购代理机构可延长投标有效期。延长投标有效期在东乡区政府网网上发布，延期函以网上公告的形式通知所有已参加投标的投标人。已参加投标的投标人应以书面形式答复采购代理机构，同意延长有效期的投标人不能修改其投标文件，有关投标保证金的规定在投标有效期的延长期内继续有效。</w:t>
      </w:r>
    </w:p>
    <w:p>
      <w:pPr>
        <w:pStyle w:val="3"/>
        <w:spacing w:before="0" w:after="0" w:line="420" w:lineRule="exact"/>
        <w:rPr>
          <w:rFonts w:hint="eastAsia" w:ascii="宋体" w:hAnsi="宋体" w:eastAsia="宋体" w:cs="宋体"/>
          <w:sz w:val="28"/>
          <w:szCs w:val="28"/>
        </w:rPr>
      </w:pPr>
      <w:bookmarkStart w:id="113" w:name="_Toc494292896"/>
      <w:bookmarkStart w:id="114" w:name="_Toc163636259"/>
      <w:bookmarkStart w:id="115" w:name="_Toc494138608"/>
      <w:r>
        <w:rPr>
          <w:rFonts w:hint="eastAsia" w:ascii="宋体" w:hAnsi="宋体" w:eastAsia="宋体" w:cs="宋体"/>
          <w:sz w:val="28"/>
          <w:szCs w:val="28"/>
        </w:rPr>
        <w:t>17、投标文件的递交</w:t>
      </w:r>
      <w:bookmarkEnd w:id="113"/>
      <w:bookmarkEnd w:id="114"/>
      <w:bookmarkEnd w:id="115"/>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投标截止时间</w:t>
      </w:r>
      <w:bookmarkStart w:id="116" w:name="_Toc494138609"/>
      <w:bookmarkStart w:id="117" w:name="_Toc494292897"/>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.1投标截止时间详见第一章“投标邀请”</w:t>
      </w:r>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.2  电子版投标文件必须在招标文件规定的投标截止时间前上传到江西省公共资源交易网，CA 数字证书必须在招标文件规定的开标地点和投标截止时间前送达，否则投标无效。</w:t>
      </w:r>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.3  采购代理机构推迟投标截止时间，在东乡区政府网上发布延期公告，延期函以网上公告的形式通知所有已下载招标文件的投标人。在这种情况下，采购代理机构、采购人和投标人受投标截止时间制约的所有权利和义务均应延长至新的投标截止时间。</w:t>
      </w:r>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2</w:t>
      </w:r>
      <w:r>
        <w:rPr>
          <w:rFonts w:hint="eastAsia" w:ascii="宋体" w:hAnsi="宋体" w:cs="宋体"/>
          <w:sz w:val="24"/>
          <w:szCs w:val="24"/>
        </w:rPr>
        <w:t>迟交的投标文件</w:t>
      </w:r>
    </w:p>
    <w:p>
      <w:pPr>
        <w:spacing w:line="420" w:lineRule="exact"/>
        <w:ind w:left="540" w:hanging="540"/>
        <w:rPr>
          <w:rFonts w:hint="eastAsia" w:ascii="宋体" w:hAnsi="宋体" w:cs="宋体"/>
          <w:sz w:val="24"/>
          <w:szCs w:val="24"/>
        </w:rPr>
      </w:pPr>
      <w:r>
        <w:rPr>
          <w:rFonts w:hint="eastAsia" w:ascii="宋体" w:hAnsi="宋体" w:cs="宋体"/>
          <w:sz w:val="24"/>
          <w:szCs w:val="24"/>
        </w:rPr>
        <w:t>17.4.1在投标截止时间以后送达的 CA 数字证书，采购代理机构将拒绝接收。</w:t>
      </w:r>
    </w:p>
    <w:p>
      <w:pPr>
        <w:spacing w:line="420" w:lineRule="exact"/>
        <w:ind w:left="540" w:hanging="540"/>
        <w:rPr>
          <w:rFonts w:hint="eastAsia" w:ascii="宋体" w:hAnsi="宋体" w:cs="宋体"/>
          <w:sz w:val="24"/>
          <w:szCs w:val="24"/>
        </w:rPr>
      </w:pPr>
      <w:r>
        <w:rPr>
          <w:rFonts w:hint="eastAsia" w:ascii="宋体" w:hAnsi="宋体" w:cs="宋体"/>
          <w:sz w:val="24"/>
          <w:szCs w:val="24"/>
        </w:rPr>
        <w:t>17.5.投标文件的修改和撤回</w:t>
      </w:r>
    </w:p>
    <w:p>
      <w:pPr>
        <w:spacing w:line="420" w:lineRule="exact"/>
        <w:ind w:left="540" w:hanging="540"/>
        <w:rPr>
          <w:rFonts w:hint="eastAsia" w:ascii="宋体" w:hAnsi="宋体" w:cs="宋体"/>
          <w:sz w:val="24"/>
          <w:szCs w:val="24"/>
        </w:rPr>
      </w:pPr>
      <w:r>
        <w:rPr>
          <w:rFonts w:hint="eastAsia" w:ascii="宋体" w:hAnsi="宋体" w:cs="宋体"/>
          <w:sz w:val="24"/>
          <w:szCs w:val="24"/>
        </w:rPr>
        <w:t>17.5.1投标人在递交投标文件后，可以修改或撤回其投标文件，但这种修改和撤回，必须在规定的招标文件递交截止时间前，并以书面形式通知采购代理机构。在投标文件递交截止时间后，供应商不得再要求修改或撤回其投标文件。</w:t>
      </w:r>
    </w:p>
    <w:p>
      <w:pPr>
        <w:spacing w:line="420" w:lineRule="exact"/>
        <w:ind w:left="540" w:hanging="540"/>
        <w:rPr>
          <w:rFonts w:hint="eastAsia" w:ascii="宋体" w:hAnsi="宋体" w:cs="宋体"/>
          <w:sz w:val="24"/>
          <w:szCs w:val="24"/>
        </w:rPr>
      </w:pPr>
      <w:r>
        <w:rPr>
          <w:rFonts w:hint="eastAsia" w:ascii="宋体" w:hAnsi="宋体" w:cs="宋体"/>
          <w:sz w:val="24"/>
          <w:szCs w:val="24"/>
        </w:rPr>
        <w:t>17.5.2从投标截止期至投标有效期期满这段时间内，投标人不得撤回其投标，否则不予退还其交纳的投标保证金。</w:t>
      </w:r>
    </w:p>
    <w:p>
      <w:pPr>
        <w:pStyle w:val="3"/>
        <w:spacing w:before="0" w:after="0" w:line="420" w:lineRule="exact"/>
        <w:rPr>
          <w:rFonts w:hint="eastAsia" w:ascii="宋体" w:hAnsi="宋体" w:eastAsia="宋体" w:cs="宋体"/>
          <w:sz w:val="24"/>
          <w:szCs w:val="24"/>
        </w:rPr>
      </w:pPr>
      <w:bookmarkStart w:id="118" w:name="_Toc163636260"/>
      <w:r>
        <w:rPr>
          <w:rFonts w:hint="eastAsia" w:ascii="宋体" w:hAnsi="宋体" w:eastAsia="宋体" w:cs="宋体"/>
          <w:sz w:val="24"/>
          <w:szCs w:val="24"/>
        </w:rPr>
        <w:t>18、分包的规定</w:t>
      </w:r>
      <w:bookmarkEnd w:id="116"/>
      <w:bookmarkEnd w:id="117"/>
      <w:bookmarkEnd w:id="118"/>
    </w:p>
    <w:p>
      <w:pPr>
        <w:spacing w:line="420" w:lineRule="exact"/>
        <w:ind w:left="567" w:hanging="567"/>
        <w:rPr>
          <w:rFonts w:ascii="宋体" w:hAnsi="宋体" w:cs="宋体"/>
          <w:sz w:val="24"/>
          <w:szCs w:val="24"/>
        </w:rPr>
      </w:pPr>
      <w:r>
        <w:rPr>
          <w:rFonts w:hint="eastAsia" w:ascii="宋体" w:hAnsi="宋体" w:cs="宋体"/>
          <w:sz w:val="24"/>
          <w:szCs w:val="24"/>
        </w:rPr>
        <w:t>18.1 本项目是否允许分包：详见“投标人须知前附表”；</w:t>
      </w:r>
    </w:p>
    <w:p>
      <w:pPr>
        <w:spacing w:line="420" w:lineRule="exact"/>
        <w:ind w:left="567" w:hanging="567"/>
        <w:rPr>
          <w:rFonts w:hint="eastAsia" w:ascii="宋体" w:hAnsi="宋体" w:cs="宋体"/>
          <w:sz w:val="24"/>
          <w:szCs w:val="24"/>
        </w:rPr>
      </w:pPr>
      <w:r>
        <w:rPr>
          <w:rFonts w:hint="eastAsia" w:ascii="宋体" w:hAnsi="宋体" w:cs="宋体"/>
          <w:sz w:val="24"/>
          <w:szCs w:val="24"/>
        </w:rPr>
        <w:t>18.</w:t>
      </w:r>
      <w:r>
        <w:rPr>
          <w:rFonts w:ascii="宋体" w:hAnsi="宋体" w:cs="宋体"/>
          <w:sz w:val="24"/>
          <w:szCs w:val="24"/>
        </w:rPr>
        <w:t>2</w:t>
      </w:r>
      <w:r>
        <w:rPr>
          <w:rFonts w:hint="eastAsia" w:ascii="宋体" w:hAnsi="宋体" w:cs="宋体"/>
          <w:sz w:val="24"/>
          <w:szCs w:val="24"/>
        </w:rPr>
        <w:t>在中标后将中标项目的非主体、非关键性工作分包的，应当在投标文件中载明分包承担主体，分包承担主体应当具备相应资质条件且不得再次分包 (适用于允许分包) 。</w:t>
      </w:r>
    </w:p>
    <w:p>
      <w:pPr>
        <w:pStyle w:val="3"/>
        <w:spacing w:before="0" w:after="0" w:line="420" w:lineRule="exact"/>
        <w:rPr>
          <w:rFonts w:hint="eastAsia" w:ascii="宋体" w:hAnsi="宋体" w:eastAsia="宋体" w:cs="宋体"/>
          <w:sz w:val="24"/>
          <w:szCs w:val="24"/>
        </w:rPr>
      </w:pPr>
      <w:bookmarkStart w:id="119" w:name="_Toc494138610"/>
      <w:bookmarkStart w:id="120" w:name="_Toc494292898"/>
      <w:bookmarkStart w:id="121" w:name="_Toc163636261"/>
      <w:r>
        <w:rPr>
          <w:rFonts w:hint="eastAsia" w:ascii="宋体" w:hAnsi="宋体" w:eastAsia="宋体" w:cs="宋体"/>
          <w:sz w:val="24"/>
          <w:szCs w:val="24"/>
        </w:rPr>
        <w:t>19、恶意串通等行为的处理及串通投标情形的认定</w:t>
      </w:r>
      <w:bookmarkEnd w:id="119"/>
      <w:bookmarkEnd w:id="120"/>
      <w:bookmarkEnd w:id="121"/>
    </w:p>
    <w:p>
      <w:pPr>
        <w:widowControl/>
        <w:spacing w:line="420" w:lineRule="exact"/>
        <w:ind w:left="480" w:hanging="480" w:hangingChars="200"/>
        <w:jc w:val="left"/>
        <w:rPr>
          <w:rFonts w:ascii="宋体" w:hAnsi="宋体" w:cs="宋体"/>
          <w:sz w:val="24"/>
          <w:szCs w:val="24"/>
        </w:rPr>
      </w:pPr>
      <w:r>
        <w:rPr>
          <w:rFonts w:hint="eastAsia" w:ascii="宋体" w:hAnsi="宋体" w:cs="宋体"/>
          <w:sz w:val="24"/>
          <w:szCs w:val="24"/>
        </w:rPr>
        <w:t>19.1投标人应当遵循公平竞争的原则，不得恶意串通，不得妨碍其他投标人的竞争行为，不得损害采购人或者其他投标人的合法权益。</w:t>
      </w:r>
    </w:p>
    <w:p>
      <w:pPr>
        <w:widowControl/>
        <w:spacing w:line="420" w:lineRule="exact"/>
        <w:ind w:left="420" w:leftChars="200"/>
        <w:jc w:val="left"/>
        <w:rPr>
          <w:rFonts w:hint="eastAsia" w:ascii="宋体" w:hAnsi="宋体" w:cs="宋体"/>
          <w:sz w:val="24"/>
          <w:szCs w:val="24"/>
        </w:rPr>
      </w:pPr>
      <w:r>
        <w:rPr>
          <w:rFonts w:hint="eastAsia" w:ascii="宋体" w:hAnsi="宋体" w:cs="宋体"/>
          <w:sz w:val="24"/>
          <w:szCs w:val="24"/>
        </w:rPr>
        <w:t>在评标过程中发现投标人有上述情形的，评标委员会应当认定其</w:t>
      </w:r>
      <w:r>
        <w:rPr>
          <w:rFonts w:hint="eastAsia" w:ascii="宋体" w:hAnsi="宋体" w:cs="宋体"/>
          <w:b/>
          <w:sz w:val="24"/>
          <w:szCs w:val="24"/>
        </w:rPr>
        <w:t>投标无效</w:t>
      </w:r>
      <w:r>
        <w:rPr>
          <w:rFonts w:hint="eastAsia" w:ascii="宋体" w:hAnsi="宋体" w:cs="宋体"/>
          <w:sz w:val="24"/>
          <w:szCs w:val="24"/>
        </w:rPr>
        <w:t>，并书面报告本级主管部门。</w:t>
      </w:r>
    </w:p>
    <w:p>
      <w:pPr>
        <w:widowControl/>
        <w:spacing w:line="420" w:lineRule="exact"/>
        <w:jc w:val="left"/>
        <w:rPr>
          <w:rFonts w:hint="eastAsia" w:ascii="宋体" w:hAnsi="宋体" w:cs="宋体"/>
          <w:sz w:val="24"/>
          <w:szCs w:val="24"/>
        </w:rPr>
      </w:pPr>
      <w:r>
        <w:rPr>
          <w:rFonts w:hint="eastAsia" w:ascii="宋体" w:hAnsi="宋体" w:cs="宋体"/>
          <w:sz w:val="24"/>
          <w:szCs w:val="24"/>
        </w:rPr>
        <w:t>19.2有下列情形之一的，视为投标人串通投标，其</w:t>
      </w:r>
      <w:r>
        <w:rPr>
          <w:rFonts w:hint="eastAsia" w:ascii="宋体" w:hAnsi="宋体" w:cs="宋体"/>
          <w:b/>
          <w:sz w:val="24"/>
          <w:szCs w:val="24"/>
        </w:rPr>
        <w:t>投标无效</w:t>
      </w:r>
      <w:r>
        <w:rPr>
          <w:rFonts w:hint="eastAsia" w:ascii="宋体" w:hAnsi="宋体" w:cs="宋体"/>
          <w:sz w:val="24"/>
          <w:szCs w:val="24"/>
        </w:rPr>
        <w:t>：</w:t>
      </w:r>
    </w:p>
    <w:p>
      <w:pPr>
        <w:widowControl/>
        <w:spacing w:line="420" w:lineRule="exact"/>
        <w:jc w:val="left"/>
        <w:rPr>
          <w:rFonts w:hint="eastAsia" w:ascii="宋体" w:hAnsi="宋体" w:cs="宋体"/>
          <w:sz w:val="24"/>
          <w:szCs w:val="24"/>
        </w:rPr>
      </w:pPr>
      <w:r>
        <w:rPr>
          <w:rFonts w:hint="eastAsia" w:ascii="宋体" w:hAnsi="宋体" w:cs="宋体"/>
          <w:sz w:val="24"/>
          <w:szCs w:val="24"/>
        </w:rPr>
        <w:t>　　（1）不同投标人的投标文件由同一单位或者个人编制；</w:t>
      </w:r>
    </w:p>
    <w:p>
      <w:pPr>
        <w:widowControl/>
        <w:spacing w:line="420" w:lineRule="exact"/>
        <w:jc w:val="left"/>
        <w:rPr>
          <w:rFonts w:hint="eastAsia" w:ascii="宋体" w:hAnsi="宋体" w:cs="宋体"/>
          <w:sz w:val="24"/>
          <w:szCs w:val="24"/>
        </w:rPr>
      </w:pPr>
      <w:r>
        <w:rPr>
          <w:rFonts w:hint="eastAsia" w:ascii="宋体" w:hAnsi="宋体" w:cs="宋体"/>
          <w:sz w:val="24"/>
          <w:szCs w:val="24"/>
        </w:rPr>
        <w:t>　　（2）不同投标人委托同一单位或者个人办理投标事宜；</w:t>
      </w:r>
    </w:p>
    <w:p>
      <w:pPr>
        <w:widowControl/>
        <w:spacing w:line="420" w:lineRule="exact"/>
        <w:jc w:val="left"/>
        <w:rPr>
          <w:rFonts w:hint="eastAsia" w:ascii="宋体" w:hAnsi="宋体" w:cs="宋体"/>
          <w:sz w:val="24"/>
          <w:szCs w:val="24"/>
        </w:rPr>
      </w:pPr>
      <w:r>
        <w:rPr>
          <w:rFonts w:hint="eastAsia" w:ascii="宋体" w:hAnsi="宋体" w:cs="宋体"/>
          <w:sz w:val="24"/>
          <w:szCs w:val="24"/>
        </w:rPr>
        <w:t>　　（3）不同投标人的投标文件载明的项目管理成员或者联系人员为同一人；</w:t>
      </w:r>
    </w:p>
    <w:p>
      <w:pPr>
        <w:widowControl/>
        <w:spacing w:line="420" w:lineRule="exact"/>
        <w:jc w:val="left"/>
        <w:rPr>
          <w:rFonts w:hint="eastAsia" w:ascii="宋体" w:hAnsi="宋体" w:cs="宋体"/>
          <w:sz w:val="24"/>
          <w:szCs w:val="24"/>
        </w:rPr>
      </w:pPr>
      <w:r>
        <w:rPr>
          <w:rFonts w:hint="eastAsia" w:ascii="宋体" w:hAnsi="宋体" w:cs="宋体"/>
          <w:sz w:val="24"/>
          <w:szCs w:val="24"/>
        </w:rPr>
        <w:t>　　（4）不同投标人的投标文件异常一致或者投标报价呈规律性差异；</w:t>
      </w:r>
    </w:p>
    <w:p>
      <w:pPr>
        <w:widowControl/>
        <w:spacing w:line="420" w:lineRule="exact"/>
        <w:jc w:val="left"/>
        <w:rPr>
          <w:rFonts w:hint="eastAsia" w:ascii="宋体" w:hAnsi="宋体" w:cs="宋体"/>
          <w:sz w:val="24"/>
          <w:szCs w:val="24"/>
        </w:rPr>
      </w:pPr>
      <w:r>
        <w:rPr>
          <w:rFonts w:hint="eastAsia" w:ascii="宋体" w:hAnsi="宋体" w:cs="宋体"/>
          <w:sz w:val="24"/>
          <w:szCs w:val="24"/>
        </w:rPr>
        <w:t>　　（5）不同投标人的投标文件相互混装；</w:t>
      </w:r>
    </w:p>
    <w:p>
      <w:pPr>
        <w:widowControl/>
        <w:spacing w:line="420" w:lineRule="exact"/>
        <w:jc w:val="left"/>
        <w:rPr>
          <w:rFonts w:hint="eastAsia" w:ascii="宋体" w:hAnsi="宋体" w:cs="宋体"/>
          <w:sz w:val="24"/>
          <w:szCs w:val="24"/>
        </w:rPr>
      </w:pPr>
      <w:r>
        <w:rPr>
          <w:rFonts w:hint="eastAsia" w:ascii="宋体" w:hAnsi="宋体" w:cs="宋体"/>
          <w:sz w:val="24"/>
          <w:szCs w:val="24"/>
        </w:rPr>
        <w:t>　　（6）不同投标人的投标保证金从同一单位或者个人的账户转出。</w:t>
      </w:r>
    </w:p>
    <w:p>
      <w:pPr>
        <w:spacing w:line="420" w:lineRule="exact"/>
        <w:ind w:left="567" w:hanging="567"/>
        <w:rPr>
          <w:rFonts w:hint="eastAsia" w:ascii="宋体" w:hAnsi="宋体" w:cs="宋体"/>
          <w:sz w:val="24"/>
          <w:szCs w:val="24"/>
        </w:rPr>
      </w:pPr>
    </w:p>
    <w:p>
      <w:pPr>
        <w:pStyle w:val="3"/>
        <w:spacing w:before="0" w:after="0" w:line="420" w:lineRule="exact"/>
        <w:jc w:val="center"/>
        <w:rPr>
          <w:rFonts w:hint="eastAsia" w:ascii="宋体" w:hAnsi="宋体" w:eastAsia="宋体" w:cs="宋体"/>
        </w:rPr>
      </w:pPr>
      <w:bookmarkStart w:id="122" w:name="_Toc163636262"/>
      <w:r>
        <w:rPr>
          <w:rFonts w:hint="eastAsia" w:ascii="宋体" w:hAnsi="宋体" w:eastAsia="宋体" w:cs="宋体"/>
        </w:rPr>
        <w:t>四、开标</w:t>
      </w:r>
      <w:bookmarkEnd w:id="122"/>
    </w:p>
    <w:p>
      <w:pPr>
        <w:spacing w:line="420" w:lineRule="exact"/>
        <w:rPr>
          <w:rFonts w:hint="eastAsia" w:ascii="宋体" w:hAnsi="宋体" w:cs="宋体"/>
        </w:rPr>
      </w:pPr>
    </w:p>
    <w:p>
      <w:pPr>
        <w:pStyle w:val="3"/>
        <w:spacing w:before="0" w:after="0" w:line="420" w:lineRule="exact"/>
        <w:rPr>
          <w:rFonts w:hint="eastAsia" w:ascii="宋体" w:hAnsi="宋体" w:eastAsia="宋体" w:cs="宋体"/>
          <w:sz w:val="28"/>
          <w:szCs w:val="28"/>
        </w:rPr>
      </w:pPr>
      <w:bookmarkStart w:id="123" w:name="_Toc286758331"/>
      <w:bookmarkStart w:id="124" w:name="_Toc494138612"/>
      <w:bookmarkStart w:id="125" w:name="_Toc163636263"/>
      <w:bookmarkStart w:id="126" w:name="_Toc494292900"/>
      <w:r>
        <w:rPr>
          <w:rFonts w:hint="eastAsia" w:ascii="宋体" w:hAnsi="宋体" w:eastAsia="宋体" w:cs="宋体"/>
          <w:sz w:val="28"/>
          <w:szCs w:val="28"/>
        </w:rPr>
        <w:t>20.开标</w:t>
      </w:r>
      <w:bookmarkEnd w:id="123"/>
      <w:bookmarkEnd w:id="124"/>
      <w:bookmarkEnd w:id="125"/>
      <w:bookmarkEnd w:id="126"/>
      <w:r>
        <w:rPr>
          <w:rFonts w:hint="eastAsia" w:ascii="宋体" w:hAnsi="宋体" w:eastAsia="宋体" w:cs="宋体"/>
          <w:sz w:val="28"/>
          <w:szCs w:val="28"/>
        </w:rPr>
        <w:t xml:space="preserve"> </w:t>
      </w:r>
    </w:p>
    <w:p>
      <w:pPr>
        <w:spacing w:line="360" w:lineRule="auto"/>
        <w:ind w:firstLine="480"/>
        <w:rPr>
          <w:rFonts w:hint="eastAsia" w:ascii="宋体" w:hAnsi="宋体" w:cs="宋体"/>
          <w:sz w:val="24"/>
          <w:szCs w:val="24"/>
        </w:rPr>
      </w:pPr>
      <w:r>
        <w:rPr>
          <w:rFonts w:hint="eastAsia" w:ascii="宋体" w:hAnsi="宋体" w:cs="宋体"/>
          <w:sz w:val="24"/>
          <w:szCs w:val="24"/>
        </w:rPr>
        <w:t>20</w:t>
      </w:r>
      <w:r>
        <w:rPr>
          <w:rFonts w:ascii="宋体" w:hAnsi="宋体" w:cs="宋体"/>
          <w:sz w:val="24"/>
          <w:szCs w:val="24"/>
        </w:rPr>
        <w:t>.1</w:t>
      </w:r>
      <w:bookmarkStart w:id="127" w:name="_Hlt509650722"/>
      <w:bookmarkEnd w:id="127"/>
      <w:r>
        <w:rPr>
          <w:rFonts w:hint="eastAsia" w:ascii="宋体" w:hAnsi="宋体" w:cs="宋体"/>
          <w:sz w:val="24"/>
          <w:szCs w:val="24"/>
        </w:rPr>
        <w:t>采购代理机构将在“招标公告”及“投标邀请”规定的时间和地点组织公开招标开标。开标时邀请所有投标单位代表参加。</w:t>
      </w:r>
    </w:p>
    <w:p>
      <w:pPr>
        <w:spacing w:line="360" w:lineRule="auto"/>
        <w:ind w:firstLine="480"/>
        <w:rPr>
          <w:rFonts w:hint="eastAsia" w:ascii="宋体" w:hAnsi="宋体" w:cs="宋体"/>
          <w:sz w:val="24"/>
          <w:szCs w:val="24"/>
        </w:rPr>
      </w:pPr>
      <w:r>
        <w:rPr>
          <w:rFonts w:hint="eastAsia" w:ascii="宋体" w:hAnsi="宋体" w:cs="宋体"/>
          <w:sz w:val="24"/>
          <w:szCs w:val="24"/>
        </w:rPr>
        <w:t>20.2在采购单位委托监督人员监督下，按规定程序进行开标、唱标。开标时，宣读投标单位名称、投标价格、价格折扣、招标文件允许提供的备选方案和投标文件的其他主要内容；未宣读的投标单位名称、投标价格、价格折扣、招标文件允许提供的备选方案，在评标时将不予承认。</w:t>
      </w:r>
    </w:p>
    <w:p>
      <w:pPr>
        <w:spacing w:line="360" w:lineRule="auto"/>
        <w:ind w:firstLine="480"/>
        <w:rPr>
          <w:rFonts w:hint="eastAsia" w:ascii="宋体" w:hAnsi="宋体" w:cs="宋体"/>
          <w:sz w:val="24"/>
          <w:szCs w:val="24"/>
        </w:rPr>
      </w:pPr>
      <w:r>
        <w:rPr>
          <w:rFonts w:hint="eastAsia" w:ascii="宋体" w:hAnsi="宋体" w:cs="宋体"/>
          <w:sz w:val="24"/>
          <w:szCs w:val="24"/>
        </w:rPr>
        <w:t>20.3开标时，开标一览表</w:t>
      </w:r>
      <w:r>
        <w:rPr>
          <w:rFonts w:ascii="宋体" w:hAnsi="宋体" w:cs="宋体"/>
          <w:sz w:val="24"/>
          <w:szCs w:val="24"/>
        </w:rPr>
        <w:t>内容与投标文件中</w:t>
      </w:r>
      <w:r>
        <w:rPr>
          <w:rFonts w:hint="eastAsia" w:ascii="宋体" w:hAnsi="宋体" w:cs="宋体"/>
          <w:sz w:val="24"/>
          <w:szCs w:val="24"/>
        </w:rPr>
        <w:t>有关</w:t>
      </w:r>
      <w:r>
        <w:rPr>
          <w:rFonts w:ascii="宋体" w:hAnsi="宋体" w:cs="宋体"/>
          <w:sz w:val="24"/>
          <w:szCs w:val="24"/>
        </w:rPr>
        <w:t>明细内容不一致的，</w:t>
      </w:r>
      <w:r>
        <w:rPr>
          <w:rFonts w:hint="eastAsia" w:ascii="宋体" w:hAnsi="宋体" w:cs="宋体"/>
          <w:sz w:val="24"/>
          <w:szCs w:val="24"/>
        </w:rPr>
        <w:t>将</w:t>
      </w:r>
      <w:r>
        <w:rPr>
          <w:rFonts w:ascii="宋体" w:hAnsi="宋体" w:cs="宋体"/>
          <w:sz w:val="24"/>
          <w:szCs w:val="24"/>
        </w:rPr>
        <w:t>以开标一览表为准</w:t>
      </w:r>
      <w:r>
        <w:rPr>
          <w:rFonts w:hint="eastAsia" w:ascii="宋体" w:hAnsi="宋体" w:cs="宋体"/>
          <w:sz w:val="24"/>
          <w:szCs w:val="24"/>
        </w:rPr>
        <w:t>并修正</w:t>
      </w:r>
      <w:r>
        <w:rPr>
          <w:rFonts w:ascii="宋体" w:hAnsi="宋体" w:cs="宋体"/>
          <w:sz w:val="24"/>
          <w:szCs w:val="24"/>
        </w:rPr>
        <w:t>投标文件中</w:t>
      </w:r>
      <w:r>
        <w:rPr>
          <w:rFonts w:hint="eastAsia" w:ascii="宋体" w:hAnsi="宋体" w:cs="宋体"/>
          <w:sz w:val="24"/>
          <w:szCs w:val="24"/>
        </w:rPr>
        <w:t>有关</w:t>
      </w:r>
      <w:r>
        <w:rPr>
          <w:rFonts w:ascii="宋体" w:hAnsi="宋体" w:cs="宋体"/>
          <w:sz w:val="24"/>
          <w:szCs w:val="24"/>
        </w:rPr>
        <w:t>明细内容，</w:t>
      </w:r>
      <w:r>
        <w:rPr>
          <w:rFonts w:hint="eastAsia" w:ascii="宋体" w:hAnsi="宋体" w:cs="宋体"/>
          <w:sz w:val="24"/>
          <w:szCs w:val="24"/>
        </w:rPr>
        <w:t>如投标单位不同意以上修正，则其投标将作无效投标处理</w:t>
      </w:r>
      <w:r>
        <w:rPr>
          <w:rFonts w:ascii="宋体" w:hAnsi="宋体" w:cs="宋体"/>
          <w:sz w:val="24"/>
          <w:szCs w:val="24"/>
        </w:rPr>
        <w:t>。</w:t>
      </w:r>
    </w:p>
    <w:p>
      <w:pPr>
        <w:spacing w:line="360" w:lineRule="auto"/>
        <w:ind w:firstLine="480"/>
        <w:rPr>
          <w:rFonts w:hint="eastAsia" w:ascii="宋体" w:hAnsi="宋体" w:cs="宋体"/>
          <w:sz w:val="24"/>
          <w:szCs w:val="24"/>
        </w:rPr>
      </w:pPr>
      <w:r>
        <w:rPr>
          <w:rFonts w:hint="eastAsia" w:ascii="宋体" w:hAnsi="宋体" w:cs="宋体"/>
          <w:sz w:val="24"/>
          <w:szCs w:val="24"/>
        </w:rPr>
        <w:t>20</w:t>
      </w:r>
      <w:r>
        <w:rPr>
          <w:rFonts w:ascii="宋体" w:hAnsi="宋体" w:cs="宋体"/>
          <w:sz w:val="24"/>
          <w:szCs w:val="24"/>
        </w:rPr>
        <w:t>.</w:t>
      </w:r>
      <w:r>
        <w:rPr>
          <w:rFonts w:hint="eastAsia" w:ascii="宋体" w:hAnsi="宋体" w:cs="宋体"/>
          <w:sz w:val="24"/>
          <w:szCs w:val="24"/>
        </w:rPr>
        <w:t>4采购代理机构将做开标记录，记录的内容应包括按规定在开标时宣读的全部内容。</w:t>
      </w:r>
    </w:p>
    <w:p>
      <w:pPr>
        <w:spacing w:line="420" w:lineRule="exact"/>
        <w:ind w:left="105" w:leftChars="50" w:firstLine="319" w:firstLineChars="133"/>
        <w:rPr>
          <w:rFonts w:ascii="宋体" w:hAnsi="宋体" w:cs="宋体"/>
          <w:sz w:val="24"/>
          <w:szCs w:val="24"/>
        </w:rPr>
      </w:pPr>
    </w:p>
    <w:p>
      <w:pPr>
        <w:pStyle w:val="3"/>
        <w:spacing w:before="0" w:after="0" w:line="420" w:lineRule="exact"/>
        <w:jc w:val="center"/>
        <w:rPr>
          <w:rFonts w:hint="eastAsia" w:ascii="宋体" w:hAnsi="宋体" w:eastAsia="宋体" w:cs="宋体"/>
        </w:rPr>
      </w:pPr>
      <w:bookmarkStart w:id="128" w:name="_Toc163636264"/>
      <w:r>
        <w:rPr>
          <w:rFonts w:hint="eastAsia" w:ascii="宋体" w:hAnsi="宋体" w:eastAsia="宋体" w:cs="宋体"/>
        </w:rPr>
        <w:t>五、评标</w:t>
      </w:r>
      <w:bookmarkEnd w:id="128"/>
    </w:p>
    <w:p>
      <w:pPr>
        <w:pStyle w:val="3"/>
        <w:spacing w:before="0" w:after="0" w:line="420" w:lineRule="exact"/>
        <w:rPr>
          <w:rFonts w:hint="eastAsia" w:ascii="宋体" w:hAnsi="宋体" w:eastAsia="宋体" w:cs="宋体"/>
          <w:sz w:val="28"/>
          <w:szCs w:val="28"/>
        </w:rPr>
      </w:pPr>
      <w:bookmarkStart w:id="129" w:name="_Toc494292902"/>
      <w:bookmarkStart w:id="130" w:name="_Toc163636265"/>
      <w:bookmarkStart w:id="131" w:name="_Toc494138614"/>
      <w:r>
        <w:rPr>
          <w:rFonts w:hint="eastAsia" w:ascii="宋体" w:hAnsi="宋体" w:eastAsia="宋体" w:cs="宋体"/>
          <w:sz w:val="28"/>
          <w:szCs w:val="28"/>
        </w:rPr>
        <w:t>21、评标</w:t>
      </w:r>
      <w:bookmarkEnd w:id="129"/>
      <w:bookmarkEnd w:id="130"/>
      <w:bookmarkEnd w:id="131"/>
    </w:p>
    <w:p>
      <w:pPr>
        <w:spacing w:line="420" w:lineRule="exact"/>
        <w:ind w:left="540" w:hanging="540"/>
        <w:rPr>
          <w:rFonts w:hint="eastAsia" w:ascii="宋体" w:hAnsi="宋体" w:cs="宋体"/>
          <w:b/>
          <w:sz w:val="32"/>
          <w:szCs w:val="32"/>
        </w:rPr>
      </w:pPr>
      <w:r>
        <w:rPr>
          <w:rFonts w:hint="eastAsia" w:ascii="宋体" w:hAnsi="宋体" w:cs="宋体"/>
          <w:sz w:val="24"/>
          <w:szCs w:val="24"/>
        </w:rPr>
        <w:t>21.1公开招标采购项目开标结束后，采购人或者采购代理机构应当依法对投标人的资格进行审查。合格投标人不足3家的，不得评标。</w:t>
      </w:r>
    </w:p>
    <w:p>
      <w:pPr>
        <w:autoSpaceDE w:val="0"/>
        <w:autoSpaceDN w:val="0"/>
        <w:adjustRightInd w:val="0"/>
        <w:spacing w:line="420" w:lineRule="exact"/>
        <w:ind w:left="600" w:hanging="600" w:hangingChars="250"/>
        <w:jc w:val="left"/>
        <w:rPr>
          <w:rFonts w:hint="eastAsia" w:ascii="宋体" w:hAnsi="宋体" w:cs="宋体"/>
          <w:sz w:val="24"/>
          <w:szCs w:val="24"/>
        </w:rPr>
      </w:pPr>
      <w:r>
        <w:rPr>
          <w:rFonts w:hint="eastAsia" w:ascii="宋体" w:hAnsi="宋体" w:cs="宋体"/>
          <w:sz w:val="24"/>
          <w:szCs w:val="24"/>
        </w:rPr>
        <w:t>21.2 招标代理机构将在开、评标期间查询投标人的信用记录并告知评标委员会，经评标委员会评审确定投标人存在不良信用记录的，其</w:t>
      </w:r>
      <w:r>
        <w:rPr>
          <w:rFonts w:hint="eastAsia" w:ascii="宋体" w:hAnsi="宋体" w:cs="宋体"/>
          <w:b/>
          <w:sz w:val="24"/>
          <w:szCs w:val="24"/>
        </w:rPr>
        <w:t>投标无效</w:t>
      </w:r>
      <w:r>
        <w:rPr>
          <w:rFonts w:hint="eastAsia" w:ascii="宋体" w:hAnsi="宋体" w:cs="宋体"/>
          <w:sz w:val="24"/>
          <w:szCs w:val="24"/>
        </w:rPr>
        <w:t>；查询到的不良信用记录随采购文件存档。</w:t>
      </w:r>
    </w:p>
    <w:p>
      <w:pPr>
        <w:autoSpaceDE w:val="0"/>
        <w:autoSpaceDN w:val="0"/>
        <w:adjustRightInd w:val="0"/>
        <w:spacing w:line="420" w:lineRule="exact"/>
        <w:ind w:left="566" w:hanging="566" w:hangingChars="236"/>
        <w:jc w:val="left"/>
        <w:rPr>
          <w:rFonts w:hint="eastAsia" w:ascii="宋体" w:hAnsi="宋体" w:cs="宋体"/>
          <w:sz w:val="24"/>
          <w:szCs w:val="24"/>
        </w:rPr>
      </w:pPr>
      <w:r>
        <w:rPr>
          <w:rFonts w:hint="eastAsia" w:ascii="宋体" w:hAnsi="宋体" w:cs="宋体"/>
          <w:sz w:val="24"/>
          <w:szCs w:val="24"/>
        </w:rPr>
        <w:t>（1）根据《财政部关于在政府采购活动中查询及使用信用记录有关问题的通知》（财库[2016]125 号），不良信用记录指：投标人在“信用中国”网站（www.credit</w:t>
      </w:r>
    </w:p>
    <w:p>
      <w:pPr>
        <w:autoSpaceDE w:val="0"/>
        <w:autoSpaceDN w:val="0"/>
        <w:adjustRightInd w:val="0"/>
        <w:spacing w:line="420" w:lineRule="exact"/>
        <w:ind w:firstLine="566" w:firstLineChars="236"/>
        <w:jc w:val="left"/>
        <w:rPr>
          <w:rFonts w:hint="eastAsia" w:ascii="宋体" w:hAnsi="宋体" w:cs="宋体"/>
          <w:sz w:val="24"/>
          <w:szCs w:val="24"/>
        </w:rPr>
      </w:pPr>
      <w:r>
        <w:rPr>
          <w:rFonts w:hint="eastAsia" w:ascii="宋体" w:hAnsi="宋体" w:cs="宋体"/>
          <w:sz w:val="24"/>
          <w:szCs w:val="24"/>
        </w:rPr>
        <w:t>china.gov.cn）被列入失信被执行人和重大税收违法案件当事人名单或在中国</w:t>
      </w:r>
    </w:p>
    <w:p>
      <w:pPr>
        <w:autoSpaceDE w:val="0"/>
        <w:autoSpaceDN w:val="0"/>
        <w:adjustRightInd w:val="0"/>
        <w:spacing w:line="420" w:lineRule="exact"/>
        <w:ind w:firstLine="566" w:firstLineChars="236"/>
        <w:jc w:val="left"/>
        <w:rPr>
          <w:rFonts w:hint="eastAsia" w:ascii="宋体" w:hAnsi="宋体" w:cs="宋体"/>
          <w:sz w:val="24"/>
          <w:szCs w:val="24"/>
        </w:rPr>
      </w:pPr>
      <w:r>
        <w:rPr>
          <w:rFonts w:hint="eastAsia" w:ascii="宋体" w:hAnsi="宋体" w:cs="宋体"/>
          <w:sz w:val="24"/>
          <w:szCs w:val="24"/>
        </w:rPr>
        <w:t>政府采购网（www.ccgp.gov.cn）被列入政府采购严重违法失信行为记录名单。</w:t>
      </w:r>
    </w:p>
    <w:p>
      <w:pPr>
        <w:autoSpaceDE w:val="0"/>
        <w:autoSpaceDN w:val="0"/>
        <w:adjustRightInd w:val="0"/>
        <w:spacing w:line="420" w:lineRule="exact"/>
        <w:ind w:left="600" w:hanging="600" w:hangingChars="250"/>
        <w:jc w:val="left"/>
        <w:rPr>
          <w:rFonts w:hint="eastAsia" w:ascii="宋体" w:hAnsi="宋体" w:cs="宋体"/>
          <w:sz w:val="24"/>
          <w:szCs w:val="24"/>
        </w:rPr>
      </w:pPr>
      <w:r>
        <w:rPr>
          <w:rFonts w:hint="eastAsia" w:ascii="宋体" w:hAnsi="宋体" w:cs="宋体"/>
          <w:sz w:val="24"/>
          <w:szCs w:val="24"/>
        </w:rPr>
        <w:t>（2）联合体投标的，联合体成员存在以上不良信用记录的，视同联合体存在不良信用记录（本项目是否允许联合体投标，详见“投标人须知前附表”）。</w:t>
      </w:r>
    </w:p>
    <w:p>
      <w:pPr>
        <w:autoSpaceDE w:val="0"/>
        <w:autoSpaceDN w:val="0"/>
        <w:adjustRightInd w:val="0"/>
        <w:spacing w:line="420" w:lineRule="exact"/>
        <w:ind w:left="480" w:hanging="480" w:hangingChars="200"/>
        <w:jc w:val="left"/>
        <w:rPr>
          <w:rFonts w:hint="eastAsia" w:ascii="宋体" w:hAnsi="宋体" w:cs="宋体"/>
          <w:sz w:val="24"/>
          <w:szCs w:val="24"/>
        </w:rPr>
      </w:pPr>
      <w:r>
        <w:rPr>
          <w:rFonts w:hint="eastAsia" w:ascii="宋体" w:hAnsi="宋体" w:cs="宋体"/>
          <w:sz w:val="24"/>
          <w:szCs w:val="24"/>
        </w:rPr>
        <w:t>（3）投标人不良信用记录以招标代理机构查询结果为准，招标代理机构查询之后，网站信息发生的任何变更均不再作为评标依据，投标人自行提供的与网站信息不一致的其他证明材料亦不作为评标依据。</w:t>
      </w:r>
    </w:p>
    <w:p>
      <w:pPr>
        <w:spacing w:line="420" w:lineRule="exact"/>
        <w:ind w:left="540" w:hanging="540"/>
        <w:rPr>
          <w:rFonts w:hint="eastAsia" w:ascii="宋体" w:hAnsi="宋体" w:cs="宋体"/>
          <w:sz w:val="24"/>
          <w:szCs w:val="24"/>
        </w:rPr>
      </w:pPr>
      <w:bookmarkStart w:id="132" w:name="_Toc286758333"/>
      <w:bookmarkStart w:id="133" w:name="_Toc286758334"/>
      <w:bookmarkStart w:id="134" w:name="_Toc262628245"/>
      <w:bookmarkStart w:id="135" w:name="_Toc262628244"/>
      <w:r>
        <w:rPr>
          <w:rFonts w:hint="eastAsia" w:ascii="宋体" w:hAnsi="宋体" w:cs="宋体"/>
          <w:sz w:val="24"/>
          <w:szCs w:val="24"/>
        </w:rPr>
        <w:t>21.3 评标委员会</w:t>
      </w:r>
    </w:p>
    <w:p>
      <w:pPr>
        <w:spacing w:line="420" w:lineRule="exact"/>
        <w:ind w:left="105" w:leftChars="50" w:firstLine="480" w:firstLineChars="200"/>
        <w:rPr>
          <w:rFonts w:hint="eastAsia" w:ascii="宋体" w:hAnsi="宋体" w:cs="宋体"/>
          <w:sz w:val="24"/>
          <w:szCs w:val="24"/>
        </w:rPr>
      </w:pPr>
      <w:r>
        <w:rPr>
          <w:rFonts w:hint="eastAsia" w:ascii="宋体" w:hAnsi="宋体" w:cs="宋体"/>
          <w:sz w:val="24"/>
          <w:szCs w:val="24"/>
        </w:rPr>
        <w:t>评标由依照有关法规组建的评标委员会负责。</w:t>
      </w:r>
    </w:p>
    <w:p>
      <w:pPr>
        <w:spacing w:line="420" w:lineRule="exact"/>
        <w:ind w:left="540" w:hanging="540"/>
        <w:rPr>
          <w:rFonts w:hint="eastAsia" w:ascii="宋体" w:hAnsi="宋体" w:cs="宋体"/>
          <w:b/>
          <w:sz w:val="32"/>
          <w:szCs w:val="32"/>
        </w:rPr>
      </w:pPr>
      <w:r>
        <w:rPr>
          <w:rFonts w:hint="eastAsia" w:ascii="宋体" w:hAnsi="宋体" w:cs="宋体"/>
          <w:sz w:val="24"/>
          <w:szCs w:val="24"/>
        </w:rPr>
        <w:t>21.4评标委员会应当对符合资格的投标人的投标文件进行符合性审查，以确定其是否满足招标文件的实质性要求。</w:t>
      </w:r>
    </w:p>
    <w:p>
      <w:pPr>
        <w:spacing w:line="420" w:lineRule="exact"/>
        <w:ind w:left="540" w:hanging="540"/>
        <w:rPr>
          <w:rFonts w:hint="eastAsia" w:ascii="宋体" w:hAnsi="宋体" w:cs="宋体"/>
          <w:sz w:val="24"/>
          <w:szCs w:val="24"/>
        </w:rPr>
      </w:pPr>
      <w:r>
        <w:rPr>
          <w:rFonts w:hint="eastAsia" w:ascii="宋体" w:hAnsi="宋体" w:cs="宋体"/>
          <w:sz w:val="24"/>
          <w:szCs w:val="24"/>
        </w:rPr>
        <w:t>21.5对于投标文件中含义不明确、同类问题表述不一致或者有明显文字和计算错误的内容，评标委员会应当以书面形式要求投标人作出必要的澄清、说明或者补正。</w:t>
      </w:r>
    </w:p>
    <w:p>
      <w:pPr>
        <w:spacing w:line="420" w:lineRule="exact"/>
        <w:ind w:left="540" w:hanging="540"/>
        <w:rPr>
          <w:rFonts w:hint="eastAsia" w:ascii="宋体" w:hAnsi="宋体" w:cs="宋体"/>
          <w:b/>
          <w:kern w:val="0"/>
          <w:sz w:val="32"/>
          <w:szCs w:val="32"/>
        </w:rPr>
      </w:pPr>
      <w:r>
        <w:rPr>
          <w:rFonts w:hint="eastAsia" w:ascii="宋体" w:hAnsi="宋体" w:cs="宋体"/>
          <w:sz w:val="24"/>
          <w:szCs w:val="24"/>
        </w:rPr>
        <w:t>　　    投标人的澄清、说明或者补正应当采用书面形式，并加盖公章，或者由法定代表人或其授权的代表签字。投标人的澄清、说明或者补正不得超出投标文件的范围或者改变投标文件的实质性内容。</w:t>
      </w:r>
    </w:p>
    <w:p>
      <w:pPr>
        <w:widowControl/>
        <w:spacing w:line="420" w:lineRule="exact"/>
        <w:ind w:left="480" w:hanging="480" w:hangingChars="200"/>
        <w:jc w:val="left"/>
        <w:rPr>
          <w:rFonts w:hint="eastAsia" w:ascii="宋体" w:hAnsi="宋体" w:cs="宋体"/>
          <w:b/>
          <w:kern w:val="0"/>
          <w:sz w:val="32"/>
          <w:szCs w:val="32"/>
        </w:rPr>
      </w:pPr>
      <w:r>
        <w:rPr>
          <w:rFonts w:hint="eastAsia" w:ascii="宋体" w:hAnsi="宋体" w:cs="宋体"/>
          <w:sz w:val="24"/>
          <w:szCs w:val="24"/>
        </w:rPr>
        <w:t>21.6评标委员会应当按照招标文件中规定的评标方法和标准，对符合性审查合格的投标文件进行商务和技术评估，综合比较与评价。</w:t>
      </w:r>
    </w:p>
    <w:p>
      <w:pPr>
        <w:spacing w:line="460" w:lineRule="exact"/>
        <w:ind w:left="480" w:hanging="480" w:hangingChars="200"/>
        <w:rPr>
          <w:rFonts w:hint="eastAsia" w:ascii="宋体" w:hAnsi="宋体" w:cs="宋体"/>
          <w:bCs/>
          <w:sz w:val="24"/>
          <w:szCs w:val="24"/>
        </w:rPr>
      </w:pPr>
      <w:r>
        <w:rPr>
          <w:rFonts w:hint="eastAsia" w:ascii="宋体" w:hAnsi="宋体" w:cs="宋体"/>
          <w:bCs/>
          <w:sz w:val="24"/>
          <w:szCs w:val="24"/>
        </w:rPr>
        <w:t>21.7采用综合评分法的，评标结果按评审后得分由高到低顺序排列。得分相同的，按投标报价由低到高顺序排列。得分且投标报价相同的，按服务响应优劣顺序排列</w:t>
      </w:r>
      <w:r>
        <w:rPr>
          <w:rFonts w:hint="eastAsia" w:ascii="宋体" w:hAnsi="宋体" w:cs="宋体"/>
        </w:rPr>
        <w:t>。</w:t>
      </w:r>
      <w:r>
        <w:rPr>
          <w:rFonts w:hint="eastAsia" w:ascii="宋体" w:hAnsi="宋体" w:cs="宋体"/>
          <w:bCs/>
          <w:sz w:val="24"/>
          <w:szCs w:val="24"/>
        </w:rPr>
        <w:t>得分、投标报价、服务响应优劣均相同的，由评标委员会随机抽取确定排序。</w:t>
      </w:r>
    </w:p>
    <w:p>
      <w:pPr>
        <w:spacing w:line="420" w:lineRule="exact"/>
        <w:ind w:left="720" w:hanging="720" w:hangingChars="300"/>
        <w:rPr>
          <w:rFonts w:hint="eastAsia" w:ascii="宋体" w:hAnsi="宋体" w:cs="宋体"/>
          <w:bCs/>
          <w:sz w:val="24"/>
          <w:szCs w:val="24"/>
        </w:rPr>
      </w:pPr>
      <w:r>
        <w:rPr>
          <w:rFonts w:hint="eastAsia" w:ascii="宋体" w:hAnsi="宋体" w:cs="宋体"/>
          <w:bCs/>
          <w:sz w:val="24"/>
          <w:szCs w:val="24"/>
        </w:rPr>
        <w:t>21.8采用最低评标价法的，评标结果按投标报价由低到高顺序排列。投标文件满足招标文件全部实质性要求且投标报价最低的投标人为排名第一的中标候选人。投标报价相同的，按服务响应优劣顺序排列。投标报价、服务响应优劣等均相同的，由评标委员会随机抽取确定排序。</w:t>
      </w:r>
    </w:p>
    <w:p>
      <w:pPr>
        <w:spacing w:line="420" w:lineRule="exact"/>
        <w:ind w:left="600" w:hanging="600" w:hangingChars="250"/>
        <w:rPr>
          <w:rFonts w:hint="eastAsia" w:ascii="宋体" w:hAnsi="宋体" w:cs="宋体"/>
          <w:b/>
          <w:bCs/>
          <w:sz w:val="32"/>
          <w:szCs w:val="32"/>
        </w:rPr>
      </w:pPr>
      <w:r>
        <w:rPr>
          <w:rFonts w:hint="eastAsia" w:ascii="宋体" w:hAnsi="宋体" w:cs="宋体"/>
          <w:bCs/>
          <w:sz w:val="24"/>
          <w:szCs w:val="24"/>
        </w:rPr>
        <w:t>21.9评标委员会根据全体评标成员签字的原始评标记录和评标结果编写评标报告。</w:t>
      </w:r>
    </w:p>
    <w:p>
      <w:pPr>
        <w:spacing w:line="420" w:lineRule="exact"/>
        <w:ind w:left="600" w:hanging="600" w:hangingChars="250"/>
        <w:rPr>
          <w:rFonts w:hint="eastAsia" w:ascii="宋体" w:hAnsi="宋体" w:cs="宋体"/>
          <w:b/>
          <w:bCs/>
          <w:sz w:val="32"/>
          <w:szCs w:val="32"/>
        </w:rPr>
      </w:pPr>
      <w:r>
        <w:rPr>
          <w:rFonts w:hint="eastAsia" w:ascii="宋体" w:hAnsi="宋体" w:cs="宋体"/>
          <w:bCs/>
          <w:sz w:val="24"/>
          <w:szCs w:val="24"/>
        </w:rPr>
        <w:t>21.10投标文件报价出现前后不一致的，除招标文件另有规定外，按照下列规定修正：</w:t>
      </w:r>
    </w:p>
    <w:p>
      <w:pPr>
        <w:spacing w:line="420" w:lineRule="exact"/>
        <w:ind w:left="840" w:hanging="840" w:hangingChars="350"/>
        <w:rPr>
          <w:rFonts w:hint="eastAsia" w:ascii="宋体" w:hAnsi="宋体" w:cs="宋体"/>
          <w:bCs/>
          <w:sz w:val="24"/>
          <w:szCs w:val="24"/>
        </w:rPr>
      </w:pPr>
      <w:r>
        <w:rPr>
          <w:rFonts w:hint="eastAsia" w:ascii="宋体" w:hAnsi="宋体" w:cs="宋体"/>
          <w:bCs/>
          <w:sz w:val="24"/>
          <w:szCs w:val="24"/>
        </w:rPr>
        <w:t>　 （1）投标文件中开标一览表（报价表）内容与投标文件中相应内容不一致的，以开标一览表（报价表）为准；</w:t>
      </w:r>
    </w:p>
    <w:p>
      <w:pPr>
        <w:spacing w:line="420" w:lineRule="exact"/>
        <w:ind w:left="600" w:hanging="600" w:hangingChars="250"/>
        <w:rPr>
          <w:rFonts w:hint="eastAsia" w:ascii="宋体" w:hAnsi="宋体" w:cs="宋体"/>
          <w:bCs/>
          <w:sz w:val="24"/>
          <w:szCs w:val="24"/>
        </w:rPr>
      </w:pPr>
      <w:r>
        <w:rPr>
          <w:rFonts w:hint="eastAsia" w:ascii="宋体" w:hAnsi="宋体" w:cs="宋体"/>
          <w:bCs/>
          <w:sz w:val="24"/>
          <w:szCs w:val="24"/>
        </w:rPr>
        <w:t>　 （2）大写金额和小写金额不一致的，以大写金额为准；</w:t>
      </w:r>
    </w:p>
    <w:p>
      <w:pPr>
        <w:spacing w:line="420" w:lineRule="exact"/>
        <w:ind w:left="960" w:hanging="960" w:hangingChars="400"/>
        <w:rPr>
          <w:rFonts w:hint="eastAsia" w:ascii="宋体" w:hAnsi="宋体" w:cs="宋体"/>
          <w:bCs/>
          <w:sz w:val="24"/>
          <w:szCs w:val="24"/>
        </w:rPr>
      </w:pPr>
      <w:r>
        <w:rPr>
          <w:rFonts w:hint="eastAsia" w:ascii="宋体" w:hAnsi="宋体" w:cs="宋体"/>
          <w:bCs/>
          <w:sz w:val="24"/>
          <w:szCs w:val="24"/>
        </w:rPr>
        <w:t>　 （3）单价金额小数点或者百分比有明显错位的，以开标一览表的总价为准，并修改单价；</w:t>
      </w:r>
    </w:p>
    <w:p>
      <w:pPr>
        <w:spacing w:line="420" w:lineRule="exact"/>
        <w:ind w:left="600" w:hanging="600" w:hangingChars="250"/>
        <w:rPr>
          <w:rFonts w:hint="eastAsia" w:ascii="宋体" w:hAnsi="宋体" w:cs="宋体"/>
          <w:bCs/>
          <w:sz w:val="24"/>
          <w:szCs w:val="24"/>
        </w:rPr>
      </w:pPr>
      <w:r>
        <w:rPr>
          <w:rFonts w:hint="eastAsia" w:ascii="宋体" w:hAnsi="宋体" w:cs="宋体"/>
          <w:bCs/>
          <w:sz w:val="24"/>
          <w:szCs w:val="24"/>
        </w:rPr>
        <w:t>　 （4）总价金额与按单价汇总金额不一致的，以单价金额计算结果为准。</w:t>
      </w:r>
    </w:p>
    <w:p>
      <w:pPr>
        <w:spacing w:line="420" w:lineRule="exact"/>
        <w:ind w:left="733" w:leftChars="349" w:firstLine="480" w:firstLineChars="200"/>
        <w:jc w:val="left"/>
        <w:rPr>
          <w:rFonts w:hint="eastAsia" w:ascii="宋体" w:hAnsi="宋体" w:cs="宋体"/>
          <w:kern w:val="0"/>
          <w:sz w:val="32"/>
          <w:szCs w:val="32"/>
        </w:rPr>
      </w:pPr>
      <w:r>
        <w:rPr>
          <w:rFonts w:hint="eastAsia" w:ascii="宋体" w:hAnsi="宋体" w:cs="宋体"/>
          <w:bCs/>
          <w:sz w:val="24"/>
          <w:szCs w:val="24"/>
        </w:rPr>
        <w:t>同时出现两种以上不一致的，按照前款规定的顺序修正。修正后的报价按照投标人的澄清、说明或者补正应当采用书面形式，并加盖公章，或者由法定代表人或其授权的代表签字。投标人的澄清、说明或者补正不得超出投标文件的范围或者改变投标文件的实质性内容的规定经投标人确认后产生约束力，投标人不确认的，其</w:t>
      </w:r>
      <w:r>
        <w:rPr>
          <w:rFonts w:hint="eastAsia" w:ascii="宋体" w:hAnsi="宋体" w:cs="宋体"/>
          <w:b/>
          <w:bCs/>
          <w:sz w:val="24"/>
          <w:szCs w:val="24"/>
        </w:rPr>
        <w:t>投标无效</w:t>
      </w:r>
      <w:r>
        <w:rPr>
          <w:rFonts w:hint="eastAsia" w:ascii="宋体" w:hAnsi="宋体" w:cs="宋体"/>
          <w:bCs/>
          <w:sz w:val="24"/>
          <w:szCs w:val="24"/>
        </w:rPr>
        <w:t>。</w:t>
      </w:r>
    </w:p>
    <w:p>
      <w:pPr>
        <w:spacing w:line="420" w:lineRule="exact"/>
        <w:ind w:left="566" w:leftChars="-5" w:hanging="576" w:hangingChars="240"/>
        <w:jc w:val="left"/>
        <w:rPr>
          <w:rFonts w:hint="eastAsia" w:ascii="宋体" w:hAnsi="宋体" w:cs="宋体"/>
          <w:b/>
          <w:kern w:val="0"/>
          <w:sz w:val="32"/>
          <w:szCs w:val="32"/>
        </w:rPr>
      </w:pPr>
      <w:r>
        <w:rPr>
          <w:rFonts w:hint="eastAsia" w:ascii="宋体" w:hAnsi="宋体" w:cs="宋体"/>
          <w:sz w:val="24"/>
          <w:szCs w:val="24"/>
        </w:rPr>
        <w:t>21.11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w:t>
      </w:r>
      <w:r>
        <w:rPr>
          <w:rFonts w:hint="eastAsia" w:ascii="宋体" w:hAnsi="宋体" w:cs="宋体"/>
          <w:b/>
          <w:sz w:val="24"/>
          <w:szCs w:val="24"/>
        </w:rPr>
        <w:t>为无效投标处理。</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21.12投标人存在下列情况之一的，</w:t>
      </w:r>
      <w:r>
        <w:rPr>
          <w:rFonts w:hint="eastAsia" w:ascii="宋体" w:hAnsi="宋体" w:cs="宋体"/>
          <w:b/>
          <w:bCs/>
          <w:sz w:val="24"/>
          <w:szCs w:val="24"/>
        </w:rPr>
        <w:t>投标无效</w:t>
      </w:r>
      <w:r>
        <w:rPr>
          <w:rFonts w:hint="eastAsia" w:ascii="宋体" w:hAnsi="宋体" w:cs="宋体"/>
          <w:bCs/>
          <w:sz w:val="24"/>
          <w:szCs w:val="24"/>
        </w:rPr>
        <w:t>:</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（1）未按照招标文件的规定提交投标保证金的；</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（2）投标文件未按招标文件要求签署、盖章的；</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（3）不具备招标文件中规定的资格要求的；</w:t>
      </w:r>
    </w:p>
    <w:p>
      <w:pPr>
        <w:widowControl/>
        <w:spacing w:line="420" w:lineRule="exact"/>
        <w:ind w:firstLine="480"/>
        <w:jc w:val="left"/>
        <w:rPr>
          <w:rFonts w:ascii="宋体" w:hAnsi="宋体" w:cs="宋体"/>
          <w:bCs/>
          <w:sz w:val="24"/>
          <w:szCs w:val="24"/>
        </w:rPr>
      </w:pPr>
      <w:r>
        <w:rPr>
          <w:rFonts w:hint="eastAsia" w:ascii="宋体" w:hAnsi="宋体" w:cs="宋体"/>
          <w:bCs/>
          <w:sz w:val="24"/>
          <w:szCs w:val="24"/>
        </w:rPr>
        <w:t>（</w:t>
      </w:r>
      <w:r>
        <w:rPr>
          <w:rFonts w:ascii="宋体" w:hAnsi="宋体" w:cs="宋体"/>
          <w:bCs/>
          <w:sz w:val="24"/>
          <w:szCs w:val="24"/>
        </w:rPr>
        <w:t>4</w:t>
      </w:r>
      <w:r>
        <w:rPr>
          <w:rFonts w:hint="eastAsia" w:ascii="宋体" w:hAnsi="宋体" w:cs="宋体"/>
          <w:bCs/>
          <w:sz w:val="24"/>
          <w:szCs w:val="24"/>
        </w:rPr>
        <w:t>）报价超过招标文件中规定的预算金额或者最高限价的；</w:t>
      </w:r>
    </w:p>
    <w:p>
      <w:pPr>
        <w:widowControl/>
        <w:spacing w:line="420" w:lineRule="exact"/>
        <w:ind w:firstLine="480"/>
        <w:jc w:val="left"/>
        <w:rPr>
          <w:rFonts w:hint="eastAsia" w:ascii="宋体" w:hAnsi="宋体" w:cs="宋体"/>
          <w:bCs/>
          <w:sz w:val="24"/>
          <w:szCs w:val="24"/>
        </w:rPr>
      </w:pPr>
      <w:r>
        <w:rPr>
          <w:rFonts w:hint="eastAsia" w:ascii="宋体" w:hAnsi="宋体" w:cs="宋体"/>
          <w:bCs/>
          <w:sz w:val="24"/>
          <w:szCs w:val="24"/>
        </w:rPr>
        <w:t>（</w:t>
      </w:r>
      <w:r>
        <w:rPr>
          <w:rFonts w:ascii="宋体" w:hAnsi="宋体" w:cs="宋体"/>
          <w:bCs/>
          <w:sz w:val="24"/>
          <w:szCs w:val="24"/>
        </w:rPr>
        <w:t>5</w:t>
      </w:r>
      <w:r>
        <w:rPr>
          <w:rFonts w:hint="eastAsia" w:ascii="宋体" w:hAnsi="宋体" w:cs="宋体"/>
          <w:bCs/>
          <w:sz w:val="24"/>
          <w:szCs w:val="24"/>
        </w:rPr>
        <w:t>）投标文件含有采购人不能接受的附加条件的；</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w:t>
      </w:r>
      <w:r>
        <w:rPr>
          <w:rFonts w:ascii="宋体" w:hAnsi="宋体" w:cs="宋体"/>
          <w:bCs/>
          <w:sz w:val="24"/>
          <w:szCs w:val="24"/>
        </w:rPr>
        <w:t>6</w:t>
      </w:r>
      <w:r>
        <w:rPr>
          <w:rFonts w:hint="eastAsia" w:ascii="宋体" w:hAnsi="宋体" w:cs="宋体"/>
          <w:bCs/>
          <w:sz w:val="24"/>
          <w:szCs w:val="24"/>
        </w:rPr>
        <w:t>）法律、法规和招标文件规定的其他无效情形。</w:t>
      </w:r>
    </w:p>
    <w:p>
      <w:pPr>
        <w:spacing w:line="420" w:lineRule="exact"/>
        <w:rPr>
          <w:rFonts w:hint="eastAsia" w:ascii="宋体" w:hAnsi="宋体" w:cs="宋体"/>
          <w:b/>
          <w:sz w:val="24"/>
          <w:szCs w:val="24"/>
        </w:rPr>
      </w:pPr>
      <w:r>
        <w:rPr>
          <w:rFonts w:hint="eastAsia" w:ascii="宋体" w:hAnsi="宋体" w:cs="宋体"/>
          <w:sz w:val="24"/>
          <w:szCs w:val="24"/>
        </w:rPr>
        <w:t>21.13在招标采购中，出现下列情形之一的，</w:t>
      </w:r>
      <w:r>
        <w:rPr>
          <w:rFonts w:hint="eastAsia" w:ascii="宋体" w:hAnsi="宋体" w:cs="宋体"/>
          <w:b/>
          <w:sz w:val="24"/>
          <w:szCs w:val="24"/>
        </w:rPr>
        <w:t>应予废标：</w:t>
      </w:r>
    </w:p>
    <w:p>
      <w:pPr>
        <w:spacing w:line="420" w:lineRule="exact"/>
        <w:ind w:firstLine="600" w:firstLineChars="250"/>
        <w:rPr>
          <w:rFonts w:hint="eastAsia" w:ascii="宋体" w:hAnsi="宋体" w:cs="宋体"/>
          <w:sz w:val="24"/>
          <w:szCs w:val="24"/>
        </w:rPr>
      </w:pPr>
      <w:r>
        <w:rPr>
          <w:rFonts w:hint="eastAsia" w:ascii="宋体" w:hAnsi="宋体" w:cs="宋体"/>
          <w:sz w:val="24"/>
          <w:szCs w:val="24"/>
        </w:rPr>
        <w:t>（1）符合专业条件的投标人或者对招标文件作实质响应的投标人不足三家的；</w:t>
      </w:r>
    </w:p>
    <w:p>
      <w:pPr>
        <w:spacing w:line="420" w:lineRule="exact"/>
        <w:ind w:firstLine="600" w:firstLineChars="250"/>
        <w:rPr>
          <w:rFonts w:ascii="宋体" w:hAnsi="宋体" w:cs="宋体"/>
          <w:sz w:val="24"/>
          <w:szCs w:val="24"/>
        </w:rPr>
      </w:pPr>
      <w:r>
        <w:rPr>
          <w:rFonts w:hint="eastAsia" w:ascii="宋体" w:hAnsi="宋体" w:cs="宋体"/>
          <w:sz w:val="24"/>
          <w:szCs w:val="24"/>
        </w:rPr>
        <w:t>（2）出现影响采购公正的违法、违规行为的；</w:t>
      </w:r>
    </w:p>
    <w:p>
      <w:pPr>
        <w:spacing w:line="420" w:lineRule="exact"/>
        <w:ind w:firstLine="600" w:firstLineChars="250"/>
        <w:rPr>
          <w:rFonts w:hint="eastAsia" w:ascii="宋体" w:hAnsi="宋体" w:cs="宋体"/>
          <w:sz w:val="24"/>
          <w:szCs w:val="24"/>
        </w:rPr>
      </w:pPr>
      <w:r>
        <w:rPr>
          <w:rFonts w:hint="eastAsia" w:ascii="宋体" w:hAnsi="宋体" w:cs="宋体"/>
          <w:sz w:val="24"/>
          <w:szCs w:val="24"/>
        </w:rPr>
        <w:t>（3）投标人的报价均超过了采购预算，采购人不能支付的；</w:t>
      </w:r>
    </w:p>
    <w:p>
      <w:pPr>
        <w:spacing w:line="420" w:lineRule="exact"/>
        <w:ind w:firstLine="600" w:firstLineChars="250"/>
        <w:rPr>
          <w:rFonts w:hint="eastAsia" w:ascii="宋体" w:hAns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）因重大变故，采购任务取消。</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21.14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bookmarkEnd w:id="132"/>
    <w:bookmarkEnd w:id="133"/>
    <w:bookmarkEnd w:id="134"/>
    <w:bookmarkEnd w:id="135"/>
    <w:p>
      <w:pPr>
        <w:spacing w:line="420" w:lineRule="exact"/>
        <w:ind w:left="480" w:hanging="480" w:hangingChars="200"/>
        <w:jc w:val="left"/>
        <w:rPr>
          <w:rFonts w:hint="eastAsia" w:ascii="宋体" w:hAnsi="宋体" w:cs="宋体"/>
          <w:sz w:val="32"/>
          <w:szCs w:val="32"/>
        </w:rPr>
      </w:pPr>
      <w:r>
        <w:rPr>
          <w:rFonts w:hint="eastAsia" w:ascii="宋体" w:hAnsi="宋体" w:cs="宋体"/>
          <w:sz w:val="24"/>
          <w:szCs w:val="24"/>
        </w:rPr>
        <w:t>21.15评标委员会决定投标的实质性响应，只根据投标本身的真实无误的内容，除查询投标人信用记录，其他评审工作不依据外部的证据，但投标有不真实不正确的内容时除外。</w:t>
      </w:r>
    </w:p>
    <w:p>
      <w:pPr>
        <w:pStyle w:val="3"/>
        <w:spacing w:before="0" w:after="0" w:line="420" w:lineRule="exact"/>
        <w:rPr>
          <w:rFonts w:hint="eastAsia" w:ascii="宋体" w:hAnsi="宋体" w:eastAsia="宋体" w:cs="宋体"/>
          <w:sz w:val="28"/>
          <w:szCs w:val="28"/>
        </w:rPr>
      </w:pPr>
      <w:bookmarkStart w:id="136" w:name="_Toc494292903"/>
      <w:bookmarkStart w:id="137" w:name="_Toc163636266"/>
      <w:bookmarkStart w:id="138" w:name="_Toc494138615"/>
      <w:r>
        <w:rPr>
          <w:rFonts w:hint="eastAsia" w:ascii="宋体" w:hAnsi="宋体" w:eastAsia="宋体" w:cs="宋体"/>
          <w:sz w:val="28"/>
          <w:szCs w:val="28"/>
        </w:rPr>
        <w:t>22、评标方法和评标标准</w:t>
      </w:r>
      <w:bookmarkEnd w:id="136"/>
      <w:bookmarkEnd w:id="137"/>
      <w:bookmarkEnd w:id="138"/>
    </w:p>
    <w:p>
      <w:pPr>
        <w:spacing w:line="420" w:lineRule="exact"/>
        <w:ind w:left="480" w:hanging="480" w:hangingChars="200"/>
        <w:rPr>
          <w:rFonts w:hint="eastAsia" w:ascii="宋体" w:hAnsi="宋体" w:cs="宋体"/>
          <w:sz w:val="24"/>
          <w:szCs w:val="24"/>
        </w:rPr>
      </w:pPr>
      <w:bookmarkStart w:id="139" w:name="_Toc262628248"/>
      <w:bookmarkStart w:id="140" w:name="_Toc286758337"/>
      <w:r>
        <w:rPr>
          <w:rFonts w:hint="eastAsia" w:ascii="宋体" w:hAnsi="宋体" w:cs="宋体"/>
          <w:sz w:val="24"/>
          <w:szCs w:val="24"/>
        </w:rPr>
        <w:t>22.1评标方法，见“投标人须知前附表”</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22.1.1综合评分法，是指投标文件满足招标文件全部实质性要求，且按照评审因素的量化指标评审得分最高的投标人为中标候选人的评标方法。</w:t>
      </w:r>
    </w:p>
    <w:p>
      <w:pPr>
        <w:spacing w:line="420" w:lineRule="exact"/>
        <w:ind w:left="840" w:hanging="840" w:hangingChars="350"/>
        <w:rPr>
          <w:rFonts w:hint="eastAsia" w:ascii="宋体" w:hAnsi="宋体" w:cs="宋体"/>
          <w:b/>
          <w:sz w:val="32"/>
          <w:szCs w:val="32"/>
        </w:rPr>
      </w:pPr>
      <w:r>
        <w:rPr>
          <w:rFonts w:hint="eastAsia" w:ascii="宋体" w:hAnsi="宋体" w:cs="宋体"/>
          <w:sz w:val="24"/>
          <w:szCs w:val="24"/>
        </w:rPr>
        <w:t>22.1.2最低评标价法，是指投标文件满足招标文件全部实质性要求，且投标报价最低的投标人为中标候选人的评标方法。</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22.2评标标准（详见“第六章 评标标准”）</w:t>
      </w:r>
    </w:p>
    <w:p>
      <w:pPr>
        <w:pStyle w:val="3"/>
        <w:spacing w:before="0" w:after="0" w:line="420" w:lineRule="exact"/>
        <w:jc w:val="center"/>
        <w:rPr>
          <w:rFonts w:hint="eastAsia" w:ascii="宋体" w:hAnsi="宋体" w:eastAsia="宋体" w:cs="宋体"/>
        </w:rPr>
      </w:pPr>
      <w:bookmarkStart w:id="141" w:name="_Toc163636267"/>
      <w:r>
        <w:rPr>
          <w:rFonts w:hint="eastAsia" w:ascii="宋体" w:hAnsi="宋体" w:eastAsia="宋体" w:cs="宋体"/>
        </w:rPr>
        <w:t>六、中标和合同</w:t>
      </w:r>
      <w:bookmarkEnd w:id="141"/>
    </w:p>
    <w:p>
      <w:pPr>
        <w:pStyle w:val="3"/>
        <w:spacing w:before="0" w:after="0" w:line="420" w:lineRule="exact"/>
        <w:rPr>
          <w:rFonts w:hint="eastAsia" w:ascii="宋体" w:hAnsi="宋体" w:eastAsia="宋体" w:cs="宋体"/>
          <w:sz w:val="28"/>
          <w:szCs w:val="28"/>
        </w:rPr>
      </w:pPr>
      <w:bookmarkStart w:id="142" w:name="_Toc494292908"/>
      <w:bookmarkStart w:id="143" w:name="_Toc163636268"/>
      <w:bookmarkStart w:id="144" w:name="_Toc494138620"/>
      <w:r>
        <w:rPr>
          <w:rFonts w:hint="eastAsia" w:ascii="宋体" w:hAnsi="宋体" w:eastAsia="宋体" w:cs="宋体"/>
          <w:sz w:val="28"/>
          <w:szCs w:val="28"/>
        </w:rPr>
        <w:t>23、中标人的确定</w:t>
      </w:r>
      <w:bookmarkEnd w:id="142"/>
      <w:bookmarkEnd w:id="143"/>
      <w:bookmarkEnd w:id="144"/>
    </w:p>
    <w:p>
      <w:pPr>
        <w:widowControl/>
        <w:spacing w:line="420" w:lineRule="exact"/>
        <w:ind w:left="600" w:hanging="600" w:hangingChars="250"/>
        <w:jc w:val="left"/>
        <w:rPr>
          <w:rFonts w:hint="eastAsia" w:ascii="宋体" w:hAnsi="宋体" w:cs="宋体"/>
          <w:sz w:val="32"/>
          <w:szCs w:val="32"/>
        </w:rPr>
      </w:pPr>
      <w:r>
        <w:rPr>
          <w:rFonts w:hint="eastAsia" w:ascii="宋体" w:hAnsi="宋体" w:cs="宋体"/>
          <w:sz w:val="24"/>
          <w:szCs w:val="24"/>
        </w:rPr>
        <w:t>23.1采购人应当自收到评标报告之日起5个工作日内，在评标报告确定的中标候选人名单中按顺序确定中标人。</w:t>
      </w:r>
    </w:p>
    <w:p>
      <w:pPr>
        <w:pStyle w:val="3"/>
        <w:spacing w:before="0" w:after="0" w:line="420" w:lineRule="exact"/>
        <w:rPr>
          <w:rFonts w:hint="eastAsia" w:ascii="宋体" w:hAnsi="宋体" w:eastAsia="宋体" w:cs="宋体"/>
          <w:sz w:val="28"/>
          <w:szCs w:val="28"/>
        </w:rPr>
      </w:pPr>
      <w:bookmarkStart w:id="145" w:name="_Toc494292909"/>
      <w:bookmarkStart w:id="146" w:name="_Toc494138621"/>
      <w:bookmarkStart w:id="147" w:name="_Toc163636269"/>
      <w:r>
        <w:rPr>
          <w:rFonts w:hint="eastAsia" w:ascii="宋体" w:hAnsi="宋体" w:eastAsia="宋体" w:cs="宋体"/>
          <w:sz w:val="28"/>
          <w:szCs w:val="28"/>
        </w:rPr>
        <w:t>24、中标结果公</w:t>
      </w:r>
      <w:bookmarkEnd w:id="145"/>
      <w:bookmarkEnd w:id="146"/>
      <w:r>
        <w:rPr>
          <w:rFonts w:hint="eastAsia" w:ascii="宋体" w:hAnsi="宋体" w:eastAsia="宋体" w:cs="宋体"/>
          <w:sz w:val="28"/>
          <w:szCs w:val="28"/>
        </w:rPr>
        <w:t>示</w:t>
      </w:r>
      <w:bookmarkEnd w:id="147"/>
    </w:p>
    <w:p>
      <w:pPr>
        <w:spacing w:line="420" w:lineRule="exact"/>
        <w:ind w:left="420" w:leftChars="200" w:firstLine="600" w:firstLineChars="250"/>
        <w:rPr>
          <w:rFonts w:hint="eastAsia" w:ascii="宋体" w:hAnsi="宋体" w:cs="宋体"/>
          <w:sz w:val="24"/>
          <w:szCs w:val="24"/>
        </w:rPr>
      </w:pPr>
      <w:r>
        <w:rPr>
          <w:rFonts w:hint="eastAsia" w:ascii="宋体" w:hAnsi="宋体" w:cs="宋体"/>
          <w:sz w:val="24"/>
          <w:szCs w:val="24"/>
        </w:rPr>
        <w:t>中标人确定后，采购代理机构在东乡区政府网网上公告中标结果公示，中标公示期限为1个工作日。</w:t>
      </w:r>
    </w:p>
    <w:p>
      <w:pPr>
        <w:pStyle w:val="3"/>
        <w:spacing w:before="0" w:after="0" w:line="420" w:lineRule="exact"/>
        <w:rPr>
          <w:rFonts w:hint="eastAsia" w:ascii="宋体" w:hAnsi="宋体" w:eastAsia="宋体" w:cs="宋体"/>
          <w:sz w:val="28"/>
          <w:szCs w:val="28"/>
        </w:rPr>
      </w:pPr>
      <w:bookmarkStart w:id="148" w:name="_Toc494292910"/>
      <w:bookmarkStart w:id="149" w:name="_Toc494138622"/>
      <w:bookmarkStart w:id="150" w:name="_Toc163636270"/>
      <w:r>
        <w:rPr>
          <w:rFonts w:hint="eastAsia" w:ascii="宋体" w:hAnsi="宋体" w:eastAsia="宋体" w:cs="宋体"/>
          <w:sz w:val="28"/>
          <w:szCs w:val="28"/>
        </w:rPr>
        <w:t>25、履约保证金</w:t>
      </w:r>
      <w:bookmarkEnd w:id="148"/>
      <w:bookmarkEnd w:id="149"/>
      <w:bookmarkEnd w:id="150"/>
    </w:p>
    <w:p>
      <w:pPr>
        <w:spacing w:line="420" w:lineRule="exact"/>
        <w:ind w:left="567" w:hanging="567"/>
        <w:rPr>
          <w:rFonts w:hint="eastAsia" w:ascii="宋体" w:hAnsi="宋体" w:cs="宋体"/>
          <w:sz w:val="24"/>
          <w:szCs w:val="24"/>
        </w:rPr>
      </w:pPr>
      <w:r>
        <w:rPr>
          <w:rFonts w:hint="eastAsia" w:ascii="宋体" w:hAnsi="宋体" w:cs="宋体"/>
          <w:sz w:val="24"/>
          <w:szCs w:val="24"/>
        </w:rPr>
        <w:t>25.1 中标人应按照《投标人须知前附表》规定的金额、形式和时间向招标人缴纳履约保证金。</w:t>
      </w:r>
    </w:p>
    <w:p>
      <w:pPr>
        <w:spacing w:line="420" w:lineRule="exact"/>
        <w:ind w:left="567" w:hanging="567"/>
        <w:rPr>
          <w:rFonts w:hint="eastAsia" w:ascii="宋体" w:hAnsi="宋体" w:cs="宋体"/>
          <w:sz w:val="24"/>
          <w:szCs w:val="24"/>
        </w:rPr>
      </w:pPr>
      <w:r>
        <w:rPr>
          <w:rFonts w:hint="eastAsia" w:ascii="宋体" w:hAnsi="宋体" w:cs="宋体"/>
          <w:sz w:val="24"/>
          <w:szCs w:val="24"/>
        </w:rPr>
        <w:t>25.2 履约保证金用于补偿因中标人不能完成其合同义务而使招标人蒙受的损失。</w:t>
      </w:r>
    </w:p>
    <w:p>
      <w:pPr>
        <w:spacing w:line="420" w:lineRule="exact"/>
        <w:ind w:left="567" w:hanging="567"/>
        <w:rPr>
          <w:rFonts w:hint="eastAsia" w:ascii="宋体" w:hAnsi="宋体" w:cs="宋体"/>
          <w:sz w:val="24"/>
          <w:szCs w:val="24"/>
        </w:rPr>
      </w:pPr>
      <w:r>
        <w:rPr>
          <w:rFonts w:hint="eastAsia" w:ascii="宋体" w:hAnsi="宋体" w:cs="宋体"/>
          <w:sz w:val="24"/>
          <w:szCs w:val="24"/>
        </w:rPr>
        <w:t>25.3 如果中标人没有按本须知“第 27.1 条”规定执行，采购代理机构将按本须知“第15.5条”规定不予退还其交纳的投标保证金。招标人将有充分理由取消该中标决定，在此情况下可以与排位在中标人之后第一位的中标候选人签订政府采购合同，以此类推；或重新组织招标。</w:t>
      </w:r>
    </w:p>
    <w:p>
      <w:pPr>
        <w:pStyle w:val="3"/>
        <w:spacing w:before="0" w:after="0" w:line="420" w:lineRule="exact"/>
        <w:rPr>
          <w:rFonts w:hint="eastAsia" w:ascii="宋体" w:hAnsi="宋体" w:eastAsia="宋体" w:cs="宋体"/>
          <w:sz w:val="28"/>
          <w:szCs w:val="28"/>
        </w:rPr>
      </w:pPr>
      <w:bookmarkStart w:id="151" w:name="_Toc494292911"/>
      <w:bookmarkStart w:id="152" w:name="_Toc163636271"/>
      <w:bookmarkStart w:id="153" w:name="_Toc494138623"/>
      <w:r>
        <w:rPr>
          <w:rFonts w:hint="eastAsia" w:ascii="宋体" w:hAnsi="宋体" w:eastAsia="宋体" w:cs="宋体"/>
          <w:sz w:val="28"/>
          <w:szCs w:val="28"/>
        </w:rPr>
        <w:t>26、签订合同</w:t>
      </w:r>
      <w:bookmarkEnd w:id="151"/>
      <w:bookmarkEnd w:id="152"/>
      <w:bookmarkEnd w:id="153"/>
    </w:p>
    <w:p>
      <w:pPr>
        <w:spacing w:line="420" w:lineRule="exact"/>
        <w:ind w:left="567" w:hanging="567"/>
        <w:rPr>
          <w:rFonts w:hint="eastAsia" w:ascii="宋体" w:hAnsi="宋体" w:cs="宋体"/>
          <w:sz w:val="24"/>
          <w:szCs w:val="24"/>
        </w:rPr>
      </w:pPr>
      <w:r>
        <w:rPr>
          <w:rFonts w:hint="eastAsia" w:ascii="宋体" w:hAnsi="宋体" w:cs="宋体"/>
          <w:sz w:val="24"/>
          <w:szCs w:val="24"/>
        </w:rPr>
        <w:t>26.1 中标人应按中标通知书规定的时间、地点与采购人签订合同。</w:t>
      </w:r>
    </w:p>
    <w:p>
      <w:pPr>
        <w:spacing w:line="420" w:lineRule="exact"/>
        <w:ind w:left="567" w:hanging="567"/>
        <w:rPr>
          <w:rFonts w:hint="eastAsia" w:ascii="宋体" w:hAnsi="宋体" w:cs="宋体"/>
          <w:sz w:val="24"/>
          <w:szCs w:val="24"/>
        </w:rPr>
      </w:pPr>
      <w:r>
        <w:rPr>
          <w:rFonts w:hint="eastAsia" w:ascii="宋体" w:hAnsi="宋体" w:cs="宋体"/>
          <w:sz w:val="24"/>
          <w:szCs w:val="24"/>
        </w:rPr>
        <w:t>26.2 招标文件、中标人的投标文件及评标过程中有关澄清文件均为签订合同的依据。</w:t>
      </w:r>
    </w:p>
    <w:p>
      <w:pPr>
        <w:spacing w:line="420" w:lineRule="exact"/>
        <w:rPr>
          <w:rFonts w:hint="eastAsia" w:ascii="宋体" w:hAnsi="宋体" w:cs="宋体"/>
          <w:sz w:val="24"/>
          <w:szCs w:val="24"/>
        </w:rPr>
      </w:pPr>
      <w:r>
        <w:rPr>
          <w:rFonts w:hint="eastAsia" w:ascii="宋体" w:hAnsi="宋体" w:cs="宋体"/>
          <w:sz w:val="24"/>
          <w:szCs w:val="24"/>
        </w:rPr>
        <w:t>26.3中标通知书是合同的一个组成部分。</w:t>
      </w:r>
    </w:p>
    <w:p>
      <w:pPr>
        <w:spacing w:line="420" w:lineRule="exact"/>
        <w:rPr>
          <w:rFonts w:hint="eastAsia" w:ascii="宋体" w:hAnsi="宋体" w:cs="宋体"/>
          <w:bCs/>
          <w:sz w:val="24"/>
          <w:szCs w:val="24"/>
        </w:rPr>
      </w:pPr>
      <w:r>
        <w:rPr>
          <w:rFonts w:hint="eastAsia" w:ascii="宋体" w:hAnsi="宋体" w:cs="宋体"/>
          <w:bCs/>
          <w:sz w:val="24"/>
          <w:szCs w:val="24"/>
        </w:rPr>
        <w:t>26.4采购人与中标人应当根据合同的约定依法履行合同义务。</w:t>
      </w:r>
    </w:p>
    <w:p>
      <w:pPr>
        <w:spacing w:line="420" w:lineRule="exact"/>
        <w:ind w:left="567" w:leftChars="270"/>
        <w:rPr>
          <w:rFonts w:hint="eastAsia" w:ascii="宋体" w:hAnsi="宋体" w:cs="宋体"/>
          <w:b/>
          <w:kern w:val="0"/>
          <w:sz w:val="32"/>
          <w:szCs w:val="32"/>
        </w:rPr>
      </w:pPr>
      <w:r>
        <w:rPr>
          <w:rFonts w:hint="eastAsia" w:ascii="宋体" w:hAnsi="宋体" w:cs="宋体"/>
          <w:bCs/>
          <w:sz w:val="24"/>
          <w:szCs w:val="24"/>
        </w:rPr>
        <w:t>政府采购合同的履行、违约责任和解决争议的方法等适用《中华人民共和国民法典》。</w:t>
      </w:r>
    </w:p>
    <w:p>
      <w:pPr>
        <w:widowControl/>
        <w:spacing w:line="420" w:lineRule="exact"/>
        <w:ind w:left="600" w:hanging="600" w:hangingChars="250"/>
        <w:jc w:val="left"/>
        <w:rPr>
          <w:rFonts w:hint="eastAsia" w:ascii="宋体" w:hAnsi="宋体" w:cs="宋体"/>
          <w:kern w:val="0"/>
          <w:sz w:val="32"/>
          <w:szCs w:val="32"/>
        </w:rPr>
      </w:pPr>
      <w:r>
        <w:rPr>
          <w:rFonts w:hint="eastAsia" w:ascii="宋体" w:hAnsi="宋体" w:cs="宋体"/>
          <w:bCs/>
          <w:sz w:val="24"/>
          <w:szCs w:val="24"/>
        </w:rPr>
        <w:t>26.5采购人应当加强对中标人的履约管理。对于中标人违反采购合同约定的行为，采购人应当及时处理，依法追究其违约责任。</w:t>
      </w:r>
    </w:p>
    <w:p>
      <w:pPr>
        <w:spacing w:line="420" w:lineRule="exact"/>
        <w:ind w:left="567" w:hanging="567"/>
        <w:rPr>
          <w:rFonts w:hint="eastAsia" w:ascii="宋体" w:hAnsi="宋体" w:cs="宋体"/>
          <w:sz w:val="24"/>
          <w:szCs w:val="24"/>
        </w:rPr>
      </w:pPr>
      <w:r>
        <w:rPr>
          <w:rFonts w:hint="eastAsia" w:ascii="宋体" w:hAnsi="宋体" w:cs="宋体"/>
          <w:sz w:val="24"/>
          <w:szCs w:val="24"/>
        </w:rPr>
        <w:t>26.6合同履行中，采购人需追加与合同标的相同的服务的，在不改变合同其他条款的前提下，可以与中标人协商签订补充合同，但所有补充合同的采购金额不得超过原合同采购金额的百分之十。</w:t>
      </w:r>
    </w:p>
    <w:p>
      <w:pPr>
        <w:spacing w:line="420" w:lineRule="exact"/>
        <w:ind w:left="567" w:hanging="567"/>
        <w:rPr>
          <w:rFonts w:hint="eastAsia" w:ascii="宋体" w:hAnsi="宋体" w:cs="宋体"/>
        </w:rPr>
      </w:pPr>
      <w:r>
        <w:rPr>
          <w:rFonts w:hint="eastAsia" w:ascii="宋体" w:hAnsi="宋体" w:cs="宋体"/>
          <w:sz w:val="24"/>
          <w:szCs w:val="24"/>
        </w:rPr>
        <w:t>26.7中标人拒绝与采购人签订合同的，采购人可以按照评审报告推荐的中标候选人名单排序，确定下一候选人为中标人，也可以重新开展政府采购活动；拒绝签订政府采购合同的中标人不得参加该项目重新开展的采购活动，并不予退还其交纳的投标保证金。</w:t>
      </w:r>
    </w:p>
    <w:p>
      <w:pPr>
        <w:pStyle w:val="3"/>
        <w:spacing w:before="0" w:after="0" w:line="420" w:lineRule="exact"/>
        <w:jc w:val="center"/>
        <w:rPr>
          <w:rFonts w:hint="eastAsia" w:ascii="宋体" w:hAnsi="宋体" w:eastAsia="宋体" w:cs="宋体"/>
        </w:rPr>
      </w:pPr>
      <w:bookmarkStart w:id="154" w:name="_Toc163636272"/>
      <w:r>
        <w:rPr>
          <w:rFonts w:hint="eastAsia" w:ascii="宋体" w:hAnsi="宋体" w:eastAsia="宋体" w:cs="宋体"/>
        </w:rPr>
        <w:t>七、询问和质疑</w:t>
      </w:r>
      <w:bookmarkEnd w:id="154"/>
    </w:p>
    <w:p>
      <w:pPr>
        <w:pStyle w:val="3"/>
        <w:spacing w:before="0" w:after="0" w:line="420" w:lineRule="exact"/>
        <w:rPr>
          <w:rFonts w:hint="eastAsia" w:ascii="宋体" w:hAnsi="宋体" w:eastAsia="宋体" w:cs="宋体"/>
          <w:sz w:val="28"/>
          <w:szCs w:val="28"/>
        </w:rPr>
      </w:pPr>
      <w:bookmarkStart w:id="155" w:name="_Toc494138625"/>
      <w:bookmarkStart w:id="156" w:name="_Toc163636273"/>
      <w:bookmarkStart w:id="157" w:name="_Toc494292913"/>
      <w:r>
        <w:rPr>
          <w:rFonts w:hint="eastAsia" w:ascii="宋体" w:hAnsi="宋体" w:eastAsia="宋体" w:cs="宋体"/>
          <w:sz w:val="28"/>
          <w:szCs w:val="28"/>
        </w:rPr>
        <w:t>27、询问</w:t>
      </w:r>
      <w:bookmarkEnd w:id="155"/>
      <w:bookmarkEnd w:id="156"/>
      <w:bookmarkEnd w:id="157"/>
    </w:p>
    <w:p>
      <w:pPr>
        <w:spacing w:line="420" w:lineRule="exact"/>
        <w:ind w:left="480" w:hanging="480" w:hangingChars="200"/>
        <w:rPr>
          <w:rFonts w:hint="eastAsia" w:ascii="宋体" w:hAnsi="宋体" w:cs="宋体"/>
          <w:bCs/>
          <w:sz w:val="24"/>
          <w:szCs w:val="24"/>
        </w:rPr>
      </w:pPr>
      <w:r>
        <w:rPr>
          <w:rFonts w:hint="eastAsia" w:ascii="宋体" w:hAnsi="宋体" w:cs="宋体"/>
          <w:bCs/>
          <w:sz w:val="24"/>
          <w:szCs w:val="24"/>
        </w:rPr>
        <w:t>27.1投标人对政府采购活动事项有疑问的，可以向采购人或者采购代理机构提出询问</w:t>
      </w:r>
      <w:r>
        <w:rPr>
          <w:rFonts w:hint="eastAsia" w:ascii="宋体" w:hAnsi="宋体" w:cs="宋体"/>
          <w:sz w:val="24"/>
          <w:szCs w:val="24"/>
        </w:rPr>
        <w:t>，采购代理机构应当在3个工作日内对投标人依法提出询问作出答复。</w:t>
      </w:r>
    </w:p>
    <w:p>
      <w:pPr>
        <w:pStyle w:val="3"/>
        <w:spacing w:before="0" w:after="0" w:line="420" w:lineRule="exact"/>
        <w:rPr>
          <w:rFonts w:hint="eastAsia" w:ascii="宋体" w:hAnsi="宋体" w:eastAsia="宋体" w:cs="宋体"/>
          <w:sz w:val="28"/>
          <w:szCs w:val="28"/>
        </w:rPr>
      </w:pPr>
      <w:bookmarkStart w:id="158" w:name="_Toc494138626"/>
      <w:bookmarkStart w:id="159" w:name="_Toc163636274"/>
      <w:bookmarkStart w:id="160" w:name="_Toc494292914"/>
      <w:r>
        <w:rPr>
          <w:rFonts w:hint="eastAsia" w:ascii="宋体" w:hAnsi="宋体" w:eastAsia="宋体" w:cs="宋体"/>
          <w:sz w:val="28"/>
          <w:szCs w:val="28"/>
        </w:rPr>
        <w:t>28、质疑</w:t>
      </w:r>
      <w:bookmarkEnd w:id="158"/>
      <w:bookmarkEnd w:id="159"/>
      <w:bookmarkEnd w:id="160"/>
    </w:p>
    <w:p>
      <w:pPr>
        <w:spacing w:line="360" w:lineRule="auto"/>
        <w:rPr>
          <w:rFonts w:hint="eastAsia" w:ascii="宋体" w:hAnsi="宋体" w:cs="宋体"/>
          <w:bCs/>
          <w:sz w:val="24"/>
          <w:szCs w:val="24"/>
        </w:rPr>
      </w:pPr>
      <w:r>
        <w:rPr>
          <w:rFonts w:hint="eastAsia" w:ascii="宋体" w:hAnsi="宋体" w:cs="宋体"/>
          <w:bCs/>
          <w:sz w:val="24"/>
          <w:szCs w:val="24"/>
        </w:rPr>
        <w:t>28.1 投标人认为招标文件、招标过程、中标结果使自己的权益受到损害的，可以在知道或者应知其权益受到损害之日起7个工作日内，以书面形式向采购人、采购代理机构提出质疑。</w:t>
      </w:r>
    </w:p>
    <w:p>
      <w:pPr>
        <w:spacing w:line="360" w:lineRule="auto"/>
        <w:ind w:left="147" w:leftChars="70"/>
        <w:rPr>
          <w:rFonts w:hint="eastAsia" w:ascii="宋体" w:hAnsi="宋体" w:cs="宋体"/>
          <w:bCs/>
          <w:sz w:val="24"/>
          <w:szCs w:val="24"/>
        </w:rPr>
      </w:pPr>
      <w:r>
        <w:rPr>
          <w:rFonts w:hint="eastAsia" w:ascii="宋体" w:hAnsi="宋体" w:cs="宋体"/>
          <w:bCs/>
          <w:sz w:val="24"/>
          <w:szCs w:val="24"/>
        </w:rPr>
        <w:t>1）对可以质疑的招标文件提出质疑的，为收到招标文件之日或者招标文件公告期限届满之日起7个工作日内；</w:t>
      </w:r>
    </w:p>
    <w:p>
      <w:pPr>
        <w:spacing w:line="360" w:lineRule="auto"/>
        <w:ind w:firstLine="120" w:firstLineChars="50"/>
        <w:rPr>
          <w:rFonts w:hint="eastAsia" w:ascii="宋体" w:hAnsi="宋体" w:cs="宋体"/>
          <w:bCs/>
          <w:sz w:val="24"/>
          <w:szCs w:val="24"/>
        </w:rPr>
      </w:pPr>
      <w:r>
        <w:rPr>
          <w:rFonts w:hint="eastAsia" w:ascii="宋体" w:hAnsi="宋体" w:cs="宋体"/>
          <w:bCs/>
          <w:sz w:val="24"/>
          <w:szCs w:val="24"/>
        </w:rPr>
        <w:t>2）对招标过程提出质疑的，为各招标程序环节结束之日起7个工作日内；</w:t>
      </w:r>
    </w:p>
    <w:p>
      <w:pPr>
        <w:spacing w:line="360" w:lineRule="auto"/>
        <w:ind w:firstLine="120" w:firstLineChars="50"/>
        <w:rPr>
          <w:rFonts w:hint="eastAsia" w:ascii="宋体" w:hAnsi="宋体" w:cs="宋体"/>
          <w:bCs/>
          <w:sz w:val="24"/>
          <w:szCs w:val="24"/>
        </w:rPr>
      </w:pPr>
      <w:r>
        <w:rPr>
          <w:rFonts w:hint="eastAsia" w:ascii="宋体" w:hAnsi="宋体" w:cs="宋体"/>
          <w:bCs/>
          <w:sz w:val="24"/>
          <w:szCs w:val="24"/>
        </w:rPr>
        <w:t>3）对中标结果提出质疑的，为中标结果公告期限届满之日起7个工作日内。</w:t>
      </w:r>
    </w:p>
    <w:p>
      <w:pPr>
        <w:spacing w:line="360" w:lineRule="auto"/>
        <w:rPr>
          <w:rFonts w:hint="eastAsia" w:ascii="宋体" w:hAnsi="宋体" w:cs="宋体"/>
          <w:bCs/>
          <w:sz w:val="24"/>
          <w:szCs w:val="24"/>
        </w:rPr>
      </w:pPr>
      <w:r>
        <w:rPr>
          <w:rFonts w:hint="eastAsia" w:ascii="宋体" w:hAnsi="宋体" w:cs="宋体"/>
          <w:bCs/>
          <w:sz w:val="24"/>
          <w:szCs w:val="24"/>
        </w:rPr>
        <w:t>28.2 投标人应在法定质疑期内一次性提出针对同一采购程序环节的质疑。</w:t>
      </w:r>
    </w:p>
    <w:p>
      <w:pPr>
        <w:spacing w:line="360" w:lineRule="auto"/>
        <w:rPr>
          <w:rFonts w:hint="eastAsia" w:ascii="宋体" w:hAnsi="宋体" w:cs="宋体"/>
          <w:bCs/>
          <w:sz w:val="24"/>
          <w:szCs w:val="24"/>
        </w:rPr>
      </w:pPr>
      <w:r>
        <w:rPr>
          <w:rFonts w:hint="eastAsia" w:ascii="宋体" w:hAnsi="宋体" w:cs="宋体"/>
          <w:bCs/>
          <w:sz w:val="24"/>
          <w:szCs w:val="24"/>
        </w:rPr>
        <w:t>28.3 提出质疑的投标人应当是参与所质疑项目采购活动的投标人。</w:t>
      </w:r>
    </w:p>
    <w:p>
      <w:pPr>
        <w:spacing w:line="360" w:lineRule="auto"/>
        <w:ind w:left="600" w:hanging="600" w:hangingChars="250"/>
        <w:rPr>
          <w:rFonts w:hint="eastAsia" w:ascii="宋体" w:hAnsi="宋体" w:cs="宋体"/>
          <w:bCs/>
          <w:sz w:val="24"/>
          <w:szCs w:val="24"/>
        </w:rPr>
      </w:pPr>
      <w:r>
        <w:rPr>
          <w:rFonts w:hint="eastAsia" w:ascii="宋体" w:hAnsi="宋体" w:cs="宋体"/>
          <w:bCs/>
          <w:sz w:val="24"/>
          <w:szCs w:val="24"/>
        </w:rPr>
        <w:t>28.4潜在投标人已依法获取其可质疑的招标文件的，可以对该文件提出质疑。</w:t>
      </w:r>
    </w:p>
    <w:p>
      <w:pPr>
        <w:spacing w:line="360" w:lineRule="auto"/>
        <w:rPr>
          <w:rFonts w:hint="eastAsia" w:ascii="宋体" w:hAnsi="宋体" w:cs="宋体"/>
          <w:bCs/>
          <w:sz w:val="24"/>
          <w:szCs w:val="24"/>
        </w:rPr>
      </w:pPr>
      <w:r>
        <w:rPr>
          <w:rFonts w:hint="eastAsia" w:ascii="宋体" w:hAnsi="宋体" w:cs="宋体"/>
          <w:bCs/>
          <w:sz w:val="24"/>
          <w:szCs w:val="24"/>
        </w:rPr>
        <w:t>28.5投标人提出质疑应当提交质疑函和必要的证明材料。质疑函应当包括下列内容（格式参照中国政府采购网 </w:t>
      </w:r>
      <w:r>
        <w:rPr>
          <w:rFonts w:hint="eastAsia" w:ascii="宋体" w:hAnsi="宋体" w:cs="宋体"/>
          <w:bCs/>
          <w:sz w:val="24"/>
          <w:szCs w:val="24"/>
        </w:rPr>
        <w:fldChar w:fldCharType="begin"/>
      </w:r>
      <w:r>
        <w:rPr>
          <w:rFonts w:hint="eastAsia" w:ascii="宋体" w:hAnsi="宋体" w:cs="宋体"/>
          <w:bCs/>
          <w:sz w:val="24"/>
          <w:szCs w:val="24"/>
        </w:rPr>
        <w:instrText xml:space="preserve"> HYPERLINK "http://www.ccgp.gov.cn/" </w:instrText>
      </w:r>
      <w:r>
        <w:rPr>
          <w:rFonts w:hint="eastAsia" w:ascii="宋体" w:hAnsi="宋体" w:cs="宋体"/>
          <w:bCs/>
          <w:sz w:val="24"/>
          <w:szCs w:val="24"/>
        </w:rPr>
        <w:fldChar w:fldCharType="separate"/>
      </w:r>
      <w:r>
        <w:rPr>
          <w:rFonts w:hint="eastAsia" w:ascii="宋体" w:hAnsi="宋体" w:cs="宋体"/>
          <w:bCs/>
          <w:sz w:val="24"/>
          <w:szCs w:val="24"/>
        </w:rPr>
        <w:t>http://www.ccgp.gov.cn/</w:t>
      </w:r>
      <w:r>
        <w:rPr>
          <w:rFonts w:hint="eastAsia" w:ascii="宋体" w:hAnsi="宋体" w:cs="宋体"/>
          <w:bCs/>
          <w:sz w:val="24"/>
          <w:szCs w:val="24"/>
        </w:rPr>
        <w:fldChar w:fldCharType="end"/>
      </w:r>
      <w:r>
        <w:rPr>
          <w:rFonts w:hint="eastAsia" w:ascii="宋体" w:hAnsi="宋体" w:cs="宋体"/>
          <w:b/>
          <w:bCs/>
          <w:sz w:val="24"/>
          <w:szCs w:val="24"/>
        </w:rPr>
        <w:t>下载专区</w:t>
      </w:r>
      <w:r>
        <w:rPr>
          <w:rFonts w:hint="eastAsia" w:ascii="宋体" w:hAnsi="宋体" w:cs="宋体"/>
          <w:bCs/>
          <w:sz w:val="24"/>
          <w:szCs w:val="24"/>
        </w:rPr>
        <w:t>的《政府采购供应商质疑函范本》）。</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（一）投标人的姓名或者名称、地址、邮编、联系人及联系电话；</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（二）质疑项目的名称、编号；</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（三）具体、明确的质疑事项和与质疑事项相关的请求；</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（四）事实依据；</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（五）必要的法律依据；</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（六）提出质疑的日期。</w:t>
      </w:r>
    </w:p>
    <w:p>
      <w:pPr>
        <w:widowControl/>
        <w:spacing w:line="360" w:lineRule="auto"/>
        <w:ind w:firstLine="480" w:firstLineChars="200"/>
        <w:jc w:val="left"/>
        <w:rPr>
          <w:rFonts w:ascii="宋体" w:hAnsi="宋体" w:cs="宋体"/>
          <w:bCs/>
          <w:sz w:val="24"/>
          <w:szCs w:val="24"/>
        </w:rPr>
      </w:pPr>
      <w:r>
        <w:rPr>
          <w:rFonts w:hint="eastAsia" w:ascii="宋体" w:hAnsi="宋体" w:cs="宋体"/>
          <w:bCs/>
          <w:sz w:val="24"/>
          <w:szCs w:val="24"/>
        </w:rPr>
        <w:t>投标人为自然人的，应当由本人签字；投标人为法人或者其他组织的，应当由法定代表人、主要负责人，或者其授权代表签字或者盖章，并加盖公章。对不是在采购代理机构购买的招标文件，对招标文件质疑的，须同时提供下载招标文件的时间凭证。</w:t>
      </w:r>
    </w:p>
    <w:p>
      <w:pPr>
        <w:widowControl/>
        <w:spacing w:line="360" w:lineRule="auto"/>
        <w:ind w:firstLine="480" w:firstLineChars="200"/>
        <w:jc w:val="left"/>
        <w:rPr>
          <w:rFonts w:ascii="宋体" w:hAnsi="宋体" w:cs="宋体"/>
          <w:bCs/>
          <w:sz w:val="24"/>
          <w:szCs w:val="24"/>
        </w:rPr>
      </w:pPr>
      <w:r>
        <w:rPr>
          <w:rFonts w:hint="eastAsia" w:ascii="宋体" w:hAnsi="宋体" w:cs="宋体"/>
          <w:bCs/>
          <w:sz w:val="24"/>
          <w:szCs w:val="24"/>
        </w:rPr>
        <w:t>28.6 采购人接受投诉联系方式</w:t>
      </w:r>
    </w:p>
    <w:p>
      <w:pPr>
        <w:widowControl/>
        <w:spacing w:line="360" w:lineRule="auto"/>
        <w:ind w:firstLine="480" w:firstLineChars="200"/>
        <w:jc w:val="left"/>
        <w:rPr>
          <w:rFonts w:ascii="宋体" w:hAnsi="宋体" w:cs="宋体"/>
          <w:bCs/>
          <w:sz w:val="24"/>
          <w:szCs w:val="24"/>
        </w:rPr>
      </w:pPr>
      <w:r>
        <w:rPr>
          <w:rFonts w:hint="eastAsia" w:ascii="宋体" w:hAnsi="宋体" w:cs="宋体"/>
          <w:bCs/>
          <w:sz w:val="24"/>
          <w:szCs w:val="24"/>
        </w:rPr>
        <w:t xml:space="preserve">    联系部门：抚州市东乡区工业与科技创新投资集团有限公司</w:t>
      </w:r>
    </w:p>
    <w:p>
      <w:pPr>
        <w:widowControl/>
        <w:spacing w:line="360" w:lineRule="auto"/>
        <w:ind w:firstLine="960" w:firstLineChars="400"/>
        <w:jc w:val="left"/>
        <w:rPr>
          <w:rFonts w:ascii="宋体" w:hAnsi="宋体" w:cs="宋体"/>
          <w:bCs/>
          <w:sz w:val="24"/>
          <w:szCs w:val="24"/>
        </w:rPr>
      </w:pPr>
      <w:r>
        <w:rPr>
          <w:rFonts w:hint="eastAsia" w:ascii="宋体" w:hAnsi="宋体" w:cs="宋体"/>
          <w:bCs/>
          <w:sz w:val="24"/>
          <w:szCs w:val="24"/>
        </w:rPr>
        <w:t xml:space="preserve">联系电话： </w:t>
      </w:r>
      <w:r>
        <w:rPr>
          <w:rFonts w:ascii="宋体" w:hAnsi="宋体" w:cs="宋体"/>
          <w:bCs/>
          <w:sz w:val="24"/>
          <w:szCs w:val="24"/>
        </w:rPr>
        <w:t>07944226816</w:t>
      </w:r>
    </w:p>
    <w:p>
      <w:pPr>
        <w:widowControl/>
        <w:spacing w:line="360" w:lineRule="auto"/>
        <w:ind w:firstLine="960" w:firstLineChars="400"/>
        <w:jc w:val="left"/>
        <w:rPr>
          <w:rFonts w:hint="eastAsia" w:ascii="宋体" w:hAnsi="宋体" w:cs="宋体"/>
          <w:bCs/>
          <w:sz w:val="24"/>
          <w:szCs w:val="24"/>
        </w:rPr>
      </w:pPr>
      <w:r>
        <w:rPr>
          <w:rFonts w:hint="eastAsia" w:ascii="宋体" w:hAnsi="宋体" w:cs="宋体"/>
          <w:bCs/>
          <w:sz w:val="24"/>
          <w:szCs w:val="24"/>
        </w:rPr>
        <w:t>联系地址：</w:t>
      </w:r>
      <w:r>
        <w:rPr>
          <w:rFonts w:ascii="宋体" w:hAnsi="宋体" w:cs="宋体"/>
          <w:bCs/>
          <w:sz w:val="24"/>
          <w:szCs w:val="24"/>
        </w:rPr>
        <w:t xml:space="preserve"> 江西省抚州市东乡区东乡经济开发区</w:t>
      </w:r>
    </w:p>
    <w:p>
      <w:pPr>
        <w:widowControl/>
        <w:spacing w:line="360" w:lineRule="auto"/>
        <w:ind w:firstLine="480" w:firstLineChars="200"/>
        <w:jc w:val="left"/>
        <w:rPr>
          <w:rFonts w:ascii="宋体" w:hAnsi="宋体" w:cs="宋体"/>
          <w:bCs/>
          <w:sz w:val="24"/>
          <w:szCs w:val="24"/>
        </w:rPr>
      </w:pPr>
      <w:r>
        <w:rPr>
          <w:rFonts w:hint="eastAsia" w:ascii="宋体" w:hAnsi="宋体" w:cs="宋体"/>
          <w:bCs/>
          <w:sz w:val="24"/>
          <w:szCs w:val="24"/>
        </w:rPr>
        <w:t>28.7采购代理机构接收质疑联系方式</w:t>
      </w:r>
    </w:p>
    <w:p>
      <w:pPr>
        <w:widowControl/>
        <w:spacing w:line="360" w:lineRule="auto"/>
        <w:ind w:firstLine="960" w:firstLineChars="400"/>
        <w:jc w:val="left"/>
        <w:rPr>
          <w:rFonts w:ascii="宋体" w:hAnsi="宋体" w:cs="宋体"/>
          <w:bCs/>
          <w:sz w:val="24"/>
          <w:szCs w:val="24"/>
        </w:rPr>
      </w:pPr>
      <w:r>
        <w:rPr>
          <w:rFonts w:hint="eastAsia" w:ascii="宋体" w:hAnsi="宋体" w:cs="宋体"/>
          <w:bCs/>
          <w:sz w:val="24"/>
          <w:szCs w:val="24"/>
        </w:rPr>
        <w:t>联系部门：江西中铖工程管理有限公司</w:t>
      </w:r>
    </w:p>
    <w:p>
      <w:pPr>
        <w:widowControl/>
        <w:spacing w:line="360" w:lineRule="auto"/>
        <w:ind w:firstLine="960" w:firstLineChars="400"/>
        <w:jc w:val="left"/>
        <w:rPr>
          <w:rFonts w:ascii="宋体" w:hAnsi="宋体" w:cs="宋体"/>
          <w:bCs/>
          <w:sz w:val="24"/>
          <w:szCs w:val="24"/>
        </w:rPr>
      </w:pPr>
      <w:r>
        <w:rPr>
          <w:rFonts w:hint="eastAsia" w:ascii="宋体" w:hAnsi="宋体" w:cs="宋体"/>
          <w:bCs/>
          <w:sz w:val="24"/>
          <w:szCs w:val="24"/>
        </w:rPr>
        <w:t>联系电话：</w:t>
      </w:r>
      <w:r>
        <w:rPr>
          <w:rFonts w:ascii="宋体" w:hAnsi="宋体" w:cs="宋体"/>
          <w:bCs/>
          <w:sz w:val="24"/>
          <w:szCs w:val="24"/>
        </w:rPr>
        <w:t>19398627135</w:t>
      </w:r>
    </w:p>
    <w:p>
      <w:pPr>
        <w:widowControl/>
        <w:spacing w:line="360" w:lineRule="auto"/>
        <w:ind w:firstLine="960" w:firstLineChars="400"/>
        <w:jc w:val="left"/>
        <w:rPr>
          <w:rFonts w:ascii="宋体" w:hAnsi="宋体" w:cs="宋体"/>
          <w:bCs/>
          <w:sz w:val="24"/>
          <w:szCs w:val="24"/>
        </w:rPr>
      </w:pPr>
      <w:r>
        <w:rPr>
          <w:rFonts w:hint="eastAsia" w:ascii="宋体" w:hAnsi="宋体" w:cs="宋体"/>
          <w:bCs/>
          <w:sz w:val="24"/>
          <w:szCs w:val="24"/>
        </w:rPr>
        <w:t>联系地址：江西省南昌市红谷滩区红谷中大道1568号红谷凯旋8栋</w:t>
      </w:r>
    </w:p>
    <w:p>
      <w:pPr>
        <w:widowControl/>
        <w:spacing w:line="360" w:lineRule="auto"/>
        <w:ind w:firstLine="480" w:firstLineChars="200"/>
        <w:jc w:val="left"/>
        <w:rPr>
          <w:rFonts w:hint="eastAsia" w:ascii="宋体" w:hAnsi="宋体" w:cs="宋体"/>
          <w:bCs/>
          <w:sz w:val="24"/>
          <w:szCs w:val="24"/>
        </w:rPr>
      </w:pPr>
    </w:p>
    <w:p>
      <w:pPr>
        <w:pStyle w:val="3"/>
        <w:spacing w:before="0" w:after="0" w:line="420" w:lineRule="exact"/>
        <w:jc w:val="center"/>
        <w:rPr>
          <w:rFonts w:hint="eastAsia" w:ascii="宋体" w:hAnsi="宋体" w:eastAsia="宋体" w:cs="宋体"/>
        </w:rPr>
      </w:pPr>
      <w:bookmarkStart w:id="161" w:name="_Toc474492103"/>
      <w:bookmarkStart w:id="162" w:name="_Toc163636275"/>
      <w:r>
        <w:rPr>
          <w:rFonts w:hint="eastAsia" w:ascii="宋体" w:hAnsi="宋体" w:eastAsia="宋体" w:cs="宋体"/>
        </w:rPr>
        <w:t>八、采购代理服务费</w:t>
      </w:r>
      <w:bookmarkEnd w:id="161"/>
      <w:bookmarkEnd w:id="162"/>
    </w:p>
    <w:p>
      <w:pPr>
        <w:pStyle w:val="3"/>
        <w:spacing w:before="0" w:after="0" w:line="420" w:lineRule="exact"/>
        <w:rPr>
          <w:rFonts w:hint="eastAsia" w:ascii="宋体" w:hAnsi="宋体" w:eastAsia="宋体" w:cs="宋体"/>
          <w:sz w:val="28"/>
          <w:szCs w:val="28"/>
        </w:rPr>
      </w:pPr>
      <w:bookmarkStart w:id="163" w:name="_Toc494138628"/>
      <w:bookmarkStart w:id="164" w:name="_Toc494292916"/>
      <w:bookmarkStart w:id="165" w:name="_Toc163636276"/>
      <w:r>
        <w:rPr>
          <w:rFonts w:hint="eastAsia" w:ascii="宋体" w:hAnsi="宋体" w:eastAsia="宋体" w:cs="宋体"/>
          <w:sz w:val="28"/>
          <w:szCs w:val="28"/>
        </w:rPr>
        <w:t>29. 采购代理服务费</w:t>
      </w:r>
      <w:bookmarkEnd w:id="163"/>
      <w:bookmarkEnd w:id="164"/>
      <w:bookmarkEnd w:id="165"/>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29.1招标人须按“投标人须知前附表”规定的收费标准，向采购代理机构缴纳采购代理服务费。</w:t>
      </w:r>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29.2 采购代理服务费采用银行转账、支票、汇票、本票等非现金形式交纳。</w:t>
      </w:r>
    </w:p>
    <w:p>
      <w:pPr>
        <w:pStyle w:val="3"/>
        <w:spacing w:before="0" w:after="0" w:line="420" w:lineRule="exact"/>
        <w:jc w:val="center"/>
        <w:rPr>
          <w:rFonts w:hint="eastAsia" w:ascii="宋体" w:hAnsi="宋体" w:eastAsia="宋体" w:cs="宋体"/>
        </w:rPr>
      </w:pPr>
      <w:bookmarkStart w:id="166" w:name="_Toc474492104"/>
      <w:bookmarkStart w:id="167" w:name="_Toc163636277"/>
      <w:r>
        <w:rPr>
          <w:rFonts w:hint="eastAsia" w:ascii="宋体" w:hAnsi="宋体" w:eastAsia="宋体" w:cs="宋体"/>
        </w:rPr>
        <w:t>九、附则</w:t>
      </w:r>
      <w:bookmarkEnd w:id="166"/>
      <w:bookmarkEnd w:id="167"/>
    </w:p>
    <w:p>
      <w:pPr>
        <w:pStyle w:val="3"/>
        <w:spacing w:before="0" w:after="0" w:line="420" w:lineRule="exact"/>
        <w:rPr>
          <w:rFonts w:ascii="宋体" w:hAnsi="宋体" w:eastAsia="宋体" w:cs="宋体"/>
          <w:sz w:val="28"/>
          <w:szCs w:val="28"/>
        </w:rPr>
      </w:pPr>
      <w:bookmarkStart w:id="168" w:name="_Toc494138630"/>
      <w:bookmarkStart w:id="169" w:name="_Toc494292918"/>
      <w:bookmarkStart w:id="170" w:name="_Toc163636278"/>
      <w:r>
        <w:rPr>
          <w:rFonts w:hint="eastAsia" w:ascii="宋体" w:hAnsi="宋体" w:eastAsia="宋体" w:cs="宋体"/>
          <w:sz w:val="28"/>
          <w:szCs w:val="28"/>
        </w:rPr>
        <w:t>30.</w:t>
      </w:r>
      <w:bookmarkEnd w:id="168"/>
      <w:bookmarkEnd w:id="169"/>
      <w:r>
        <w:rPr>
          <w:rFonts w:hint="eastAsia" w:ascii="宋体" w:hAnsi="宋体" w:eastAsia="宋体" w:cs="宋体"/>
          <w:sz w:val="28"/>
          <w:szCs w:val="28"/>
        </w:rPr>
        <w:t>解释权</w:t>
      </w:r>
      <w:bookmarkEnd w:id="170"/>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本招标文件是根据国家有关法律、法规以及</w:t>
      </w:r>
      <w:r>
        <w:rPr>
          <w:rFonts w:hint="eastAsia" w:ascii="宋体" w:hAnsi="宋体" w:cs="宋体"/>
          <w:b/>
          <w:sz w:val="24"/>
          <w:szCs w:val="24"/>
        </w:rPr>
        <w:t>参照</w:t>
      </w:r>
      <w:r>
        <w:rPr>
          <w:rFonts w:hint="eastAsia" w:ascii="宋体" w:hAnsi="宋体" w:cs="宋体"/>
          <w:bCs/>
          <w:sz w:val="24"/>
          <w:szCs w:val="24"/>
        </w:rPr>
        <w:t>政府采购管理有关规定编制，解释权属江西中铖工程管理有限公司。</w:t>
      </w:r>
    </w:p>
    <w:p>
      <w:pPr>
        <w:widowControl/>
        <w:spacing w:line="360" w:lineRule="auto"/>
        <w:ind w:firstLine="480" w:firstLineChars="200"/>
        <w:jc w:val="left"/>
        <w:rPr>
          <w:rFonts w:hint="eastAsia" w:hAnsi="宋体" w:cs="宋体"/>
          <w:b/>
          <w:sz w:val="32"/>
          <w:szCs w:val="32"/>
        </w:rPr>
      </w:pPr>
      <w:r>
        <w:rPr>
          <w:rFonts w:hint="eastAsia" w:ascii="宋体" w:hAnsi="宋体" w:cs="宋体"/>
          <w:bCs/>
          <w:sz w:val="24"/>
          <w:szCs w:val="24"/>
        </w:rPr>
        <w:br w:type="page"/>
      </w:r>
      <w:r>
        <w:rPr>
          <w:rFonts w:hint="eastAsia" w:hAnsi="宋体" w:cs="宋体"/>
          <w:b/>
          <w:sz w:val="32"/>
          <w:szCs w:val="32"/>
        </w:rPr>
        <w:t>第三章  拟签订的合同文本</w:t>
      </w:r>
    </w:p>
    <w:p>
      <w:pPr>
        <w:jc w:val="center"/>
        <w:rPr>
          <w:rFonts w:hint="eastAsia" w:ascii="宋体" w:hAnsi="宋体"/>
          <w:b/>
          <w:w w:val="99"/>
          <w:sz w:val="32"/>
        </w:rPr>
      </w:pPr>
      <w:r>
        <w:rPr>
          <w:rFonts w:ascii="宋体" w:hAnsi="宋体"/>
          <w:b/>
          <w:w w:val="99"/>
          <w:sz w:val="32"/>
        </w:rPr>
        <w:t>项目合同（草案）</w:t>
      </w:r>
    </w:p>
    <w:p>
      <w:pPr>
        <w:jc w:val="center"/>
        <w:rPr>
          <w:rFonts w:hint="eastAsia" w:ascii="宋体" w:hAnsi="宋体"/>
          <w:b/>
          <w:w w:val="99"/>
          <w:sz w:val="32"/>
        </w:rPr>
      </w:pPr>
      <w:r>
        <w:rPr>
          <w:rFonts w:ascii="宋体" w:hAnsi="宋体"/>
          <w:b/>
          <w:w w:val="99"/>
          <w:sz w:val="32"/>
        </w:rPr>
        <w:t>合同协议书</w:t>
      </w:r>
    </w:p>
    <w:p>
      <w:pPr>
        <w:jc w:val="center"/>
        <w:rPr>
          <w:rFonts w:hint="eastAsia" w:ascii="宋体" w:hAnsi="宋体"/>
          <w:b/>
          <w:w w:val="99"/>
          <w:sz w:val="32"/>
        </w:rPr>
      </w:pPr>
    </w:p>
    <w:p>
      <w:pPr>
        <w:spacing w:line="360" w:lineRule="auto"/>
        <w:rPr>
          <w:rFonts w:hint="eastAsia" w:ascii="宋体" w:hAnsi="宋体"/>
          <w:bCs/>
          <w:sz w:val="24"/>
        </w:rPr>
      </w:pPr>
      <w:r>
        <w:rPr>
          <w:rFonts w:hint="eastAsia" w:ascii="宋体" w:hAnsi="宋体"/>
          <w:b/>
          <w:sz w:val="24"/>
        </w:rPr>
        <w:t xml:space="preserve">     </w:t>
      </w:r>
      <w:bookmarkStart w:id="171" w:name="_Hlk131976055"/>
      <w:r>
        <w:rPr>
          <w:rFonts w:hint="eastAsia" w:ascii="宋体" w:hAnsi="宋体"/>
          <w:bCs/>
          <w:sz w:val="24"/>
        </w:rPr>
        <w:t xml:space="preserve">   甲方(采购单位)：                       住所：</w:t>
      </w:r>
    </w:p>
    <w:p>
      <w:pPr>
        <w:spacing w:line="360" w:lineRule="auto"/>
        <w:rPr>
          <w:rFonts w:hint="eastAsia" w:ascii="宋体" w:hAnsi="宋体"/>
          <w:bCs/>
          <w:sz w:val="24"/>
        </w:rPr>
      </w:pPr>
      <w:r>
        <w:rPr>
          <w:rFonts w:hint="eastAsia" w:ascii="宋体" w:hAnsi="宋体"/>
          <w:bCs/>
          <w:sz w:val="24"/>
        </w:rPr>
        <w:t xml:space="preserve">        乙方(供货单位)：                       住所：</w:t>
      </w:r>
    </w:p>
    <w:p>
      <w:pPr>
        <w:spacing w:line="360" w:lineRule="auto"/>
        <w:rPr>
          <w:rFonts w:hint="eastAsia" w:ascii="宋体" w:hAnsi="宋体"/>
          <w:bCs/>
          <w:sz w:val="24"/>
        </w:rPr>
      </w:pPr>
      <w:r>
        <w:rPr>
          <w:rFonts w:hint="eastAsia" w:ascii="宋体" w:hAnsi="宋体"/>
          <w:bCs/>
          <w:sz w:val="24"/>
        </w:rPr>
        <w:t xml:space="preserve">        甲、乙双方根据抚州市公共资源交易中心东乡分中心组织招标的招标结果和招标文件的要求，并经双方协商一致，同意按下述条件签订本合同。</w:t>
      </w:r>
    </w:p>
    <w:p>
      <w:pPr>
        <w:spacing w:line="360" w:lineRule="auto"/>
        <w:rPr>
          <w:rFonts w:hint="eastAsia" w:ascii="宋体" w:hAnsi="宋体"/>
          <w:bCs/>
          <w:sz w:val="24"/>
        </w:rPr>
      </w:pPr>
      <w:r>
        <w:rPr>
          <w:rFonts w:hint="eastAsia" w:ascii="宋体" w:hAnsi="宋体"/>
          <w:bCs/>
          <w:sz w:val="24"/>
        </w:rPr>
        <w:t xml:space="preserve">        1、合同文件：</w:t>
      </w:r>
    </w:p>
    <w:p>
      <w:pPr>
        <w:spacing w:line="360" w:lineRule="auto"/>
        <w:rPr>
          <w:rFonts w:hint="eastAsia" w:ascii="宋体" w:hAnsi="宋体"/>
          <w:bCs/>
          <w:sz w:val="24"/>
        </w:rPr>
      </w:pPr>
      <w:r>
        <w:rPr>
          <w:rFonts w:hint="eastAsia" w:ascii="宋体" w:hAnsi="宋体"/>
          <w:bCs/>
          <w:sz w:val="24"/>
        </w:rPr>
        <w:t xml:space="preserve">        《中标通知书》及下列招、投标文件中的文件是构成本合同不可分割的部分：</w:t>
      </w:r>
    </w:p>
    <w:p>
      <w:pPr>
        <w:spacing w:line="360" w:lineRule="auto"/>
        <w:rPr>
          <w:rFonts w:hint="eastAsia" w:ascii="宋体" w:hAnsi="宋体"/>
          <w:bCs/>
          <w:sz w:val="24"/>
        </w:rPr>
      </w:pPr>
      <w:r>
        <w:rPr>
          <w:rFonts w:hint="eastAsia" w:ascii="宋体" w:hAnsi="宋体"/>
          <w:bCs/>
          <w:sz w:val="24"/>
        </w:rPr>
        <w:t xml:space="preserve">        (1)合同条款；         (2)招标文件；</w:t>
      </w:r>
    </w:p>
    <w:p>
      <w:pPr>
        <w:spacing w:line="360" w:lineRule="auto"/>
        <w:rPr>
          <w:rFonts w:hint="eastAsia" w:ascii="宋体" w:hAnsi="宋体"/>
          <w:bCs/>
          <w:sz w:val="24"/>
        </w:rPr>
      </w:pPr>
      <w:r>
        <w:rPr>
          <w:rFonts w:hint="eastAsia" w:ascii="宋体" w:hAnsi="宋体"/>
          <w:bCs/>
          <w:sz w:val="24"/>
        </w:rPr>
        <w:t xml:space="preserve">        (3)投标文件；       (4)投标过程答疑函；</w:t>
      </w:r>
    </w:p>
    <w:p>
      <w:pPr>
        <w:spacing w:line="360" w:lineRule="auto"/>
        <w:rPr>
          <w:rFonts w:hint="eastAsia" w:ascii="宋体" w:hAnsi="宋体"/>
          <w:bCs/>
          <w:sz w:val="24"/>
        </w:rPr>
      </w:pPr>
      <w:r>
        <w:rPr>
          <w:rFonts w:hint="eastAsia" w:ascii="宋体" w:hAnsi="宋体"/>
          <w:bCs/>
          <w:sz w:val="24"/>
        </w:rPr>
        <w:t xml:space="preserve">        2、合同范围和条件：</w:t>
      </w:r>
    </w:p>
    <w:p>
      <w:pPr>
        <w:spacing w:line="360" w:lineRule="auto"/>
        <w:rPr>
          <w:rFonts w:hint="eastAsia" w:ascii="宋体" w:hAnsi="宋体"/>
          <w:bCs/>
          <w:sz w:val="24"/>
        </w:rPr>
      </w:pPr>
      <w:r>
        <w:rPr>
          <w:rFonts w:hint="eastAsia" w:ascii="宋体" w:hAnsi="宋体"/>
          <w:bCs/>
          <w:sz w:val="24"/>
        </w:rPr>
        <w:t xml:space="preserve">        本合同的范围和条件应与上述合同文件的规定一致。</w:t>
      </w:r>
    </w:p>
    <w:p>
      <w:pPr>
        <w:spacing w:line="360" w:lineRule="auto"/>
        <w:rPr>
          <w:rFonts w:hint="eastAsia" w:ascii="宋体" w:hAnsi="宋体"/>
          <w:bCs/>
          <w:sz w:val="24"/>
        </w:rPr>
      </w:pPr>
      <w:r>
        <w:rPr>
          <w:rFonts w:hint="eastAsia" w:ascii="宋体" w:hAnsi="宋体"/>
          <w:bCs/>
          <w:sz w:val="24"/>
        </w:rPr>
        <w:t xml:space="preserve">        3、标的及数量：</w:t>
      </w:r>
    </w:p>
    <w:p>
      <w:pPr>
        <w:spacing w:line="360" w:lineRule="auto"/>
        <w:rPr>
          <w:rFonts w:hint="eastAsia" w:ascii="宋体" w:hAnsi="宋体"/>
          <w:bCs/>
          <w:sz w:val="24"/>
        </w:rPr>
      </w:pPr>
      <w:r>
        <w:rPr>
          <w:rFonts w:hint="eastAsia" w:ascii="宋体" w:hAnsi="宋体"/>
          <w:bCs/>
          <w:sz w:val="24"/>
        </w:rPr>
        <w:t xml:space="preserve">        4、合同金额：</w:t>
      </w:r>
    </w:p>
    <w:p>
      <w:pPr>
        <w:spacing w:line="360" w:lineRule="auto"/>
        <w:rPr>
          <w:rFonts w:hint="eastAsia" w:ascii="宋体" w:hAnsi="宋体"/>
          <w:bCs/>
          <w:sz w:val="24"/>
        </w:rPr>
      </w:pPr>
      <w:r>
        <w:rPr>
          <w:rFonts w:hint="eastAsia" w:ascii="宋体" w:hAnsi="宋体"/>
          <w:bCs/>
          <w:sz w:val="24"/>
        </w:rPr>
        <w:t xml:space="preserve">        5、付款方式：</w:t>
      </w:r>
    </w:p>
    <w:p>
      <w:pPr>
        <w:spacing w:line="360" w:lineRule="auto"/>
        <w:rPr>
          <w:rFonts w:hint="eastAsia" w:ascii="宋体" w:hAnsi="宋体"/>
          <w:bCs/>
          <w:sz w:val="24"/>
        </w:rPr>
      </w:pPr>
      <w:r>
        <w:rPr>
          <w:rFonts w:hint="eastAsia" w:ascii="宋体" w:hAnsi="宋体"/>
          <w:bCs/>
          <w:sz w:val="24"/>
        </w:rPr>
        <w:t xml:space="preserve">        6、交货时间、交货地点：</w:t>
      </w:r>
    </w:p>
    <w:p>
      <w:pPr>
        <w:spacing w:line="360" w:lineRule="auto"/>
        <w:rPr>
          <w:rFonts w:hint="eastAsia" w:ascii="宋体" w:hAnsi="宋体"/>
          <w:bCs/>
          <w:sz w:val="24"/>
        </w:rPr>
      </w:pPr>
      <w:r>
        <w:rPr>
          <w:rFonts w:hint="eastAsia" w:ascii="宋体" w:hAnsi="宋体"/>
          <w:bCs/>
          <w:sz w:val="24"/>
        </w:rPr>
        <w:t xml:space="preserve">        7、验收要求：</w:t>
      </w:r>
    </w:p>
    <w:p>
      <w:pPr>
        <w:spacing w:line="360" w:lineRule="auto"/>
        <w:rPr>
          <w:rFonts w:hint="eastAsia" w:ascii="宋体" w:hAnsi="宋体"/>
          <w:bCs/>
          <w:sz w:val="24"/>
        </w:rPr>
      </w:pPr>
      <w:r>
        <w:rPr>
          <w:rFonts w:hint="eastAsia" w:ascii="宋体" w:hAnsi="宋体"/>
          <w:bCs/>
          <w:sz w:val="24"/>
        </w:rPr>
        <w:t xml:space="preserve">        8、保修事项：</w:t>
      </w:r>
    </w:p>
    <w:p>
      <w:pPr>
        <w:spacing w:line="360" w:lineRule="auto"/>
        <w:rPr>
          <w:rFonts w:ascii="宋体" w:hAnsi="宋体"/>
          <w:bCs/>
          <w:sz w:val="24"/>
        </w:rPr>
      </w:pPr>
      <w:r>
        <w:rPr>
          <w:rFonts w:hint="eastAsia" w:ascii="宋体" w:hAnsi="宋体"/>
          <w:bCs/>
          <w:sz w:val="24"/>
        </w:rPr>
        <w:t xml:space="preserve">        8、违约责任：</w:t>
      </w:r>
    </w:p>
    <w:p>
      <w:pPr>
        <w:spacing w:line="440" w:lineRule="exact"/>
        <w:ind w:firstLine="480" w:firstLineChars="200"/>
        <w:jc w:val="left"/>
        <w:rPr>
          <w:rFonts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1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①</w:t>
      </w:r>
      <w:r>
        <w:rPr>
          <w:rFonts w:ascii="宋体" w:hAnsi="宋体"/>
          <w:sz w:val="24"/>
        </w:rPr>
        <w:fldChar w:fldCharType="end"/>
      </w:r>
      <w:r>
        <w:rPr>
          <w:rFonts w:hint="eastAsia" w:ascii="宋体" w:hAnsi="宋体"/>
          <w:sz w:val="24"/>
        </w:rPr>
        <w:t>甲方无理由拒收商品，乙方可向甲方索赔违约部分 10% 的违约金；</w:t>
      </w:r>
    </w:p>
    <w:p>
      <w:pPr>
        <w:spacing w:line="440" w:lineRule="exact"/>
        <w:ind w:firstLine="480" w:firstLineChars="200"/>
        <w:jc w:val="left"/>
        <w:rPr>
          <w:rFonts w:hint="eastAsia"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2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②</w:t>
      </w:r>
      <w:r>
        <w:rPr>
          <w:rFonts w:ascii="宋体" w:hAnsi="宋体"/>
          <w:sz w:val="24"/>
        </w:rPr>
        <w:fldChar w:fldCharType="end"/>
      </w:r>
      <w:r>
        <w:rPr>
          <w:rFonts w:hint="eastAsia" w:ascii="宋体" w:hAnsi="宋体"/>
          <w:sz w:val="24"/>
        </w:rPr>
        <w:t>甲方逾期付款的，乙方可向甲方索赔逾期付款部分 0.5% /日的违约金；</w:t>
      </w:r>
    </w:p>
    <w:p>
      <w:pPr>
        <w:spacing w:line="440" w:lineRule="exact"/>
        <w:ind w:firstLine="480" w:firstLineChars="200"/>
        <w:jc w:val="left"/>
        <w:rPr>
          <w:rFonts w:hint="eastAsia"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3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③</w:t>
      </w:r>
      <w:r>
        <w:rPr>
          <w:rFonts w:ascii="宋体" w:hAnsi="宋体"/>
          <w:sz w:val="24"/>
        </w:rPr>
        <w:fldChar w:fldCharType="end"/>
      </w:r>
      <w:r>
        <w:rPr>
          <w:rFonts w:hint="eastAsia" w:ascii="宋体" w:hAnsi="宋体"/>
          <w:sz w:val="24"/>
        </w:rPr>
        <w:t>乙方提供与合同不符的商品,甲方有权拒收，并可向乙方索赔违约部分 10% 的违约金；</w:t>
      </w:r>
    </w:p>
    <w:p>
      <w:pPr>
        <w:spacing w:line="440" w:lineRule="exact"/>
        <w:ind w:firstLine="480" w:firstLineChars="200"/>
        <w:jc w:val="left"/>
        <w:rPr>
          <w:rFonts w:hint="eastAsia"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4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④</w:t>
      </w:r>
      <w:r>
        <w:rPr>
          <w:rFonts w:ascii="宋体" w:hAnsi="宋体"/>
          <w:sz w:val="24"/>
        </w:rPr>
        <w:fldChar w:fldCharType="end"/>
      </w:r>
      <w:r>
        <w:rPr>
          <w:rFonts w:hint="eastAsia" w:ascii="宋体" w:hAnsi="宋体"/>
          <w:sz w:val="24"/>
        </w:rPr>
        <w:t>乙方逾期交付商品的，甲方可向乙方索赔违约部分 0.5% /日的违约金。</w:t>
      </w:r>
    </w:p>
    <w:p>
      <w:pPr>
        <w:spacing w:line="440" w:lineRule="exact"/>
        <w:jc w:val="left"/>
        <w:rPr>
          <w:rFonts w:ascii="宋体" w:hAnsi="宋体"/>
          <w:sz w:val="24"/>
        </w:rPr>
      </w:pPr>
      <w:r>
        <w:rPr>
          <w:rFonts w:hint="eastAsia" w:ascii="宋体" w:hAnsi="宋体"/>
          <w:sz w:val="24"/>
        </w:rPr>
        <w:t>九、因商品质量发生争议时，由合同签订的技术监督部门裁定，败诉方承担所发生的全部费用，并按违约条款所列内容予以赔偿。</w:t>
      </w:r>
    </w:p>
    <w:p>
      <w:pPr>
        <w:pStyle w:val="31"/>
        <w:rPr>
          <w:rFonts w:hint="eastAsia"/>
        </w:rPr>
      </w:pPr>
    </w:p>
    <w:p>
      <w:pPr>
        <w:spacing w:line="360" w:lineRule="auto"/>
        <w:rPr>
          <w:rFonts w:hint="eastAsia" w:ascii="宋体" w:hAnsi="宋体"/>
          <w:bCs/>
          <w:sz w:val="24"/>
        </w:rPr>
      </w:pPr>
      <w:r>
        <w:rPr>
          <w:rFonts w:hint="eastAsia" w:ascii="宋体" w:hAnsi="宋体"/>
          <w:bCs/>
          <w:sz w:val="24"/>
        </w:rPr>
        <w:t xml:space="preserve">        9、其他约定：</w:t>
      </w:r>
    </w:p>
    <w:p>
      <w:pPr>
        <w:spacing w:line="360" w:lineRule="auto"/>
        <w:rPr>
          <w:rFonts w:hint="eastAsia" w:ascii="宋体" w:hAnsi="宋体"/>
          <w:bCs/>
          <w:sz w:val="24"/>
        </w:rPr>
      </w:pPr>
      <w:r>
        <w:rPr>
          <w:rFonts w:hint="eastAsia" w:ascii="宋体" w:hAnsi="宋体"/>
          <w:bCs/>
          <w:sz w:val="24"/>
        </w:rPr>
        <w:t xml:space="preserve">        10、解决争议的方法：</w:t>
      </w:r>
    </w:p>
    <w:p>
      <w:pPr>
        <w:spacing w:line="360" w:lineRule="auto"/>
        <w:rPr>
          <w:rFonts w:hint="eastAsia" w:ascii="宋体" w:hAnsi="宋体"/>
          <w:bCs/>
          <w:sz w:val="24"/>
        </w:rPr>
      </w:pPr>
      <w:r>
        <w:rPr>
          <w:rFonts w:hint="eastAsia" w:ascii="宋体" w:hAnsi="宋体"/>
          <w:bCs/>
          <w:sz w:val="24"/>
        </w:rPr>
        <w:t xml:space="preserve">        11、合同生效：</w:t>
      </w:r>
    </w:p>
    <w:p>
      <w:pPr>
        <w:spacing w:line="360" w:lineRule="auto"/>
        <w:rPr>
          <w:rFonts w:hint="eastAsia" w:ascii="宋体" w:hAnsi="宋体"/>
          <w:bCs/>
          <w:sz w:val="24"/>
        </w:rPr>
      </w:pPr>
      <w:r>
        <w:rPr>
          <w:rFonts w:hint="eastAsia" w:ascii="宋体" w:hAnsi="宋体"/>
          <w:bCs/>
          <w:sz w:val="24"/>
        </w:rPr>
        <w:t xml:space="preserve">      本合同经甲、乙双方签字盖章后生效。</w:t>
      </w:r>
    </w:p>
    <w:p>
      <w:pPr>
        <w:spacing w:line="360" w:lineRule="auto"/>
        <w:rPr>
          <w:rFonts w:hint="eastAsia" w:ascii="宋体" w:hAnsi="宋体"/>
          <w:bCs/>
          <w:sz w:val="24"/>
        </w:rPr>
      </w:pPr>
      <w:r>
        <w:rPr>
          <w:rFonts w:hint="eastAsia" w:ascii="宋体" w:hAnsi="宋体"/>
          <w:bCs/>
          <w:sz w:val="24"/>
        </w:rPr>
        <w:t xml:space="preserve">    甲方(公章)：                       乙方(公章)：</w:t>
      </w:r>
    </w:p>
    <w:p>
      <w:pPr>
        <w:spacing w:line="360" w:lineRule="auto"/>
        <w:rPr>
          <w:rFonts w:hint="eastAsia" w:ascii="宋体" w:hAnsi="宋体"/>
          <w:bCs/>
          <w:sz w:val="24"/>
        </w:rPr>
      </w:pPr>
      <w:r>
        <w:rPr>
          <w:rFonts w:hint="eastAsia" w:ascii="宋体" w:hAnsi="宋体"/>
          <w:bCs/>
          <w:sz w:val="24"/>
        </w:rPr>
        <w:t xml:space="preserve">    甲方代表：                           乙方代表：</w:t>
      </w:r>
    </w:p>
    <w:p>
      <w:pPr>
        <w:spacing w:line="360" w:lineRule="auto"/>
        <w:rPr>
          <w:rFonts w:hint="eastAsia" w:ascii="宋体" w:hAnsi="宋体"/>
          <w:bCs/>
          <w:sz w:val="24"/>
        </w:rPr>
      </w:pPr>
      <w:r>
        <w:rPr>
          <w:rFonts w:hint="eastAsia" w:ascii="宋体" w:hAnsi="宋体"/>
          <w:bCs/>
          <w:sz w:val="24"/>
        </w:rPr>
        <w:t xml:space="preserve">    开户行;                              开户行;</w:t>
      </w:r>
    </w:p>
    <w:p>
      <w:pPr>
        <w:spacing w:line="360" w:lineRule="auto"/>
        <w:rPr>
          <w:rFonts w:hint="eastAsia" w:ascii="宋体" w:hAnsi="宋体"/>
          <w:bCs/>
          <w:sz w:val="24"/>
        </w:rPr>
      </w:pPr>
      <w:r>
        <w:rPr>
          <w:rFonts w:hint="eastAsia" w:ascii="宋体" w:hAnsi="宋体"/>
          <w:bCs/>
          <w:sz w:val="24"/>
        </w:rPr>
        <w:t xml:space="preserve">    帐号：                               帐号：</w:t>
      </w:r>
    </w:p>
    <w:p>
      <w:pPr>
        <w:spacing w:line="360" w:lineRule="auto"/>
        <w:rPr>
          <w:rFonts w:hint="eastAsia" w:ascii="宋体" w:hAnsi="宋体"/>
          <w:bCs/>
          <w:sz w:val="24"/>
        </w:rPr>
      </w:pPr>
      <w:r>
        <w:rPr>
          <w:rFonts w:hint="eastAsia" w:ascii="宋体" w:hAnsi="宋体"/>
          <w:bCs/>
          <w:sz w:val="24"/>
        </w:rPr>
        <w:t xml:space="preserve">    日期：                               日期： </w:t>
      </w:r>
    </w:p>
    <w:bookmarkEnd w:id="171"/>
    <w:p>
      <w:pPr>
        <w:spacing w:line="360" w:lineRule="auto"/>
        <w:ind w:right="-139"/>
        <w:jc w:val="center"/>
        <w:rPr>
          <w:rFonts w:ascii="宋体" w:hAnsi="宋体"/>
          <w:sz w:val="18"/>
        </w:rPr>
        <w:sectPr>
          <w:pgSz w:w="11920" w:h="16841"/>
          <w:pgMar w:top="1440" w:right="1431" w:bottom="1276" w:left="1560" w:header="0" w:footer="0" w:gutter="0"/>
          <w:cols w:space="720" w:num="1"/>
          <w:docGrid w:linePitch="360" w:charSpace="0"/>
        </w:sectPr>
      </w:pPr>
    </w:p>
    <w:p>
      <w:pPr>
        <w:pStyle w:val="2"/>
        <w:jc w:val="center"/>
        <w:rPr>
          <w:rFonts w:hint="eastAsia" w:hAnsi="宋体" w:cs="宋体"/>
          <w:b/>
          <w:sz w:val="32"/>
          <w:szCs w:val="32"/>
        </w:rPr>
      </w:pPr>
      <w:bookmarkStart w:id="172" w:name="page88"/>
      <w:bookmarkEnd w:id="172"/>
      <w:bookmarkStart w:id="173" w:name="_Toc163636279"/>
      <w:bookmarkStart w:id="174" w:name="_Toc474492108"/>
      <w:r>
        <w:rPr>
          <w:rFonts w:hint="eastAsia" w:hAnsi="宋体" w:cs="宋体"/>
          <w:b/>
          <w:sz w:val="32"/>
          <w:szCs w:val="32"/>
        </w:rPr>
        <w:t>第四章  投标文件格式</w:t>
      </w:r>
      <w:bookmarkEnd w:id="173"/>
      <w:bookmarkEnd w:id="174"/>
    </w:p>
    <w:p>
      <w:pPr>
        <w:rPr>
          <w:rFonts w:hint="eastAsia" w:ascii="宋体" w:hAnsi="宋体" w:cs="宋体"/>
          <w:sz w:val="84"/>
          <w:szCs w:val="84"/>
        </w:rPr>
      </w:pPr>
    </w:p>
    <w:p>
      <w:pPr>
        <w:rPr>
          <w:rFonts w:hint="eastAsia" w:ascii="宋体" w:hAnsi="宋体" w:cs="宋体"/>
          <w:sz w:val="84"/>
          <w:szCs w:val="84"/>
        </w:rPr>
      </w:pPr>
    </w:p>
    <w:p>
      <w:pPr>
        <w:jc w:val="center"/>
        <w:rPr>
          <w:rFonts w:hint="eastAsia" w:ascii="宋体" w:hAnsi="宋体" w:cs="宋体"/>
          <w:sz w:val="84"/>
          <w:szCs w:val="84"/>
        </w:rPr>
      </w:pPr>
      <w:r>
        <w:rPr>
          <w:rFonts w:hint="eastAsia" w:ascii="宋体" w:hAnsi="宋体" w:cs="宋体"/>
          <w:sz w:val="84"/>
          <w:szCs w:val="84"/>
        </w:rPr>
        <w:t>投 标 文 件</w:t>
      </w: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8"/>
          <w:u w:val="single"/>
        </w:rPr>
      </w:pPr>
      <w:r>
        <w:rPr>
          <w:rFonts w:hint="eastAsia" w:ascii="宋体" w:hAnsi="宋体" w:cs="宋体"/>
          <w:sz w:val="28"/>
        </w:rPr>
        <w:t xml:space="preserve">               项目名称： </w:t>
      </w:r>
      <w:r>
        <w:rPr>
          <w:rFonts w:hint="eastAsia" w:ascii="宋体" w:hAnsi="宋体" w:cs="宋体"/>
          <w:sz w:val="28"/>
          <w:u w:val="single"/>
        </w:rPr>
        <w:t xml:space="preserve">                        </w:t>
      </w:r>
    </w:p>
    <w:p>
      <w:pPr>
        <w:rPr>
          <w:rFonts w:hint="eastAsia" w:ascii="宋体" w:hAnsi="宋体" w:cs="宋体"/>
          <w:sz w:val="28"/>
          <w:u w:val="single"/>
        </w:rPr>
      </w:pPr>
    </w:p>
    <w:p>
      <w:pPr>
        <w:rPr>
          <w:rFonts w:hint="eastAsia" w:ascii="宋体" w:hAnsi="宋体" w:cs="宋体"/>
          <w:sz w:val="28"/>
          <w:u w:val="single"/>
        </w:rPr>
      </w:pPr>
    </w:p>
    <w:p>
      <w:pPr>
        <w:rPr>
          <w:rFonts w:hint="eastAsia" w:ascii="宋体" w:hAnsi="宋体" w:cs="宋体"/>
          <w:sz w:val="28"/>
          <w:u w:val="single"/>
        </w:rPr>
      </w:pPr>
      <w:r>
        <w:rPr>
          <w:rFonts w:hint="eastAsia" w:ascii="宋体" w:hAnsi="宋体" w:cs="宋体"/>
          <w:sz w:val="28"/>
        </w:rPr>
        <w:t xml:space="preserve">               招标编号： </w:t>
      </w:r>
      <w:r>
        <w:rPr>
          <w:rFonts w:hint="eastAsia" w:ascii="宋体" w:hAnsi="宋体" w:cs="宋体"/>
          <w:sz w:val="28"/>
          <w:u w:val="single"/>
        </w:rPr>
        <w:t xml:space="preserve">                        </w:t>
      </w:r>
    </w:p>
    <w:p>
      <w:pPr>
        <w:rPr>
          <w:rFonts w:hint="eastAsia" w:ascii="宋体" w:hAnsi="宋体" w:cs="宋体"/>
          <w:sz w:val="28"/>
          <w:u w:val="single"/>
        </w:rPr>
      </w:pPr>
    </w:p>
    <w:p>
      <w:pPr>
        <w:rPr>
          <w:rFonts w:hint="eastAsia" w:ascii="宋体" w:hAnsi="宋体" w:cs="宋体"/>
          <w:sz w:val="28"/>
          <w:u w:val="single"/>
        </w:rPr>
      </w:pPr>
    </w:p>
    <w:p>
      <w:pPr>
        <w:rPr>
          <w:rFonts w:hint="eastAsia" w:ascii="宋体" w:hAnsi="宋体" w:cs="宋体"/>
          <w:sz w:val="28"/>
          <w:u w:val="single"/>
        </w:rPr>
      </w:pPr>
    </w:p>
    <w:p>
      <w:pPr>
        <w:rPr>
          <w:rFonts w:hint="eastAsia" w:ascii="宋体" w:hAnsi="宋体" w:cs="宋体"/>
          <w:sz w:val="28"/>
          <w:u w:val="single"/>
        </w:rPr>
      </w:pPr>
    </w:p>
    <w:p>
      <w:pPr>
        <w:jc w:val="center"/>
        <w:rPr>
          <w:rFonts w:hint="eastAsia" w:ascii="宋体" w:hAnsi="宋体" w:cs="宋体"/>
          <w:sz w:val="28"/>
        </w:rPr>
      </w:pPr>
      <w:r>
        <w:rPr>
          <w:rFonts w:hint="eastAsia" w:ascii="宋体" w:hAnsi="宋体" w:cs="宋体"/>
          <w:sz w:val="28"/>
        </w:rPr>
        <w:t>投标单位（签章）</w:t>
      </w:r>
    </w:p>
    <w:p>
      <w:pPr>
        <w:jc w:val="center"/>
        <w:rPr>
          <w:rFonts w:hint="eastAsia" w:ascii="宋体" w:hAnsi="宋体" w:cs="宋体"/>
          <w:sz w:val="28"/>
        </w:rPr>
      </w:pPr>
    </w:p>
    <w:p>
      <w:pPr>
        <w:jc w:val="center"/>
        <w:rPr>
          <w:rFonts w:hint="eastAsia" w:ascii="宋体" w:hAnsi="宋体" w:cs="宋体"/>
          <w:sz w:val="28"/>
        </w:rPr>
      </w:pPr>
      <w:r>
        <w:rPr>
          <w:rFonts w:hint="eastAsia" w:ascii="宋体" w:hAnsi="宋体" w:cs="宋体"/>
          <w:sz w:val="28"/>
        </w:rPr>
        <w:t xml:space="preserve">    年   月   日</w:t>
      </w:r>
    </w:p>
    <w:p>
      <w:pPr>
        <w:pStyle w:val="3"/>
        <w:jc w:val="center"/>
        <w:rPr>
          <w:rFonts w:hint="eastAsia" w:ascii="宋体" w:hAnsi="宋体" w:eastAsia="宋体" w:cs="宋体"/>
        </w:rPr>
      </w:pPr>
      <w:r>
        <w:rPr>
          <w:rFonts w:hint="eastAsia" w:ascii="宋体" w:hAnsi="宋体" w:eastAsia="宋体" w:cs="宋体"/>
          <w:sz w:val="28"/>
        </w:rPr>
        <w:br w:type="page"/>
      </w:r>
      <w:bookmarkStart w:id="175" w:name="_Toc281381182"/>
      <w:bookmarkStart w:id="176" w:name="_Toc163636280"/>
      <w:bookmarkStart w:id="177" w:name="_Toc474492109"/>
      <w:r>
        <w:rPr>
          <w:rFonts w:hint="eastAsia" w:ascii="宋体" w:hAnsi="宋体" w:eastAsia="宋体" w:cs="宋体"/>
        </w:rPr>
        <w:t>格式1．投标书</w:t>
      </w:r>
      <w:bookmarkEnd w:id="175"/>
      <w:bookmarkEnd w:id="176"/>
      <w:bookmarkEnd w:id="177"/>
    </w:p>
    <w:p>
      <w:pPr>
        <w:spacing w:line="400" w:lineRule="exact"/>
        <w:rPr>
          <w:rFonts w:hint="eastAsia" w:ascii="宋体" w:hAnsi="宋体" w:cs="宋体"/>
          <w:sz w:val="24"/>
          <w:szCs w:val="24"/>
        </w:rPr>
      </w:pPr>
      <w:r>
        <w:rPr>
          <w:rFonts w:hint="eastAsia" w:ascii="宋体" w:hAnsi="宋体" w:cs="宋体"/>
          <w:sz w:val="24"/>
        </w:rPr>
        <w:t>致</w:t>
      </w:r>
      <w:r>
        <w:rPr>
          <w:rFonts w:hint="eastAsia" w:ascii="宋体" w:hAnsi="宋体" w:cs="宋体"/>
          <w:sz w:val="24"/>
          <w:szCs w:val="24"/>
        </w:rPr>
        <w:t>：</w:t>
      </w:r>
    </w:p>
    <w:p>
      <w:pPr>
        <w:spacing w:line="380" w:lineRule="exact"/>
        <w:ind w:firstLine="480"/>
        <w:rPr>
          <w:rFonts w:hint="eastAsia" w:ascii="宋体" w:hAnsi="宋体" w:cs="宋体"/>
          <w:sz w:val="24"/>
        </w:rPr>
      </w:pPr>
      <w:r>
        <w:rPr>
          <w:rFonts w:hint="eastAsia" w:ascii="宋体" w:hAnsi="宋体" w:cs="宋体"/>
          <w:sz w:val="24"/>
        </w:rPr>
        <w:t>根据贵方为</w:t>
      </w:r>
      <w:r>
        <w:rPr>
          <w:rFonts w:hint="eastAsia" w:ascii="宋体" w:hAnsi="宋体" w:cs="宋体"/>
          <w:i/>
          <w:sz w:val="24"/>
        </w:rPr>
        <w:t>(</w:t>
      </w:r>
      <w:r>
        <w:rPr>
          <w:rFonts w:hint="eastAsia" w:ascii="宋体" w:hAnsi="宋体" w:cs="宋体"/>
          <w:i/>
          <w:sz w:val="24"/>
          <w:u w:val="single"/>
        </w:rPr>
        <w:t>项目名称</w:t>
      </w:r>
      <w:r>
        <w:rPr>
          <w:rFonts w:hint="eastAsia" w:ascii="宋体" w:hAnsi="宋体" w:cs="宋体"/>
          <w:i/>
          <w:sz w:val="24"/>
        </w:rPr>
        <w:t>)</w:t>
      </w:r>
      <w:r>
        <w:rPr>
          <w:rFonts w:hint="eastAsia" w:ascii="宋体" w:hAnsi="宋体" w:cs="宋体"/>
          <w:sz w:val="24"/>
        </w:rPr>
        <w:t>项目招标采购相关服务的投标邀请</w:t>
      </w:r>
      <w:r>
        <w:rPr>
          <w:rFonts w:hint="eastAsia" w:ascii="宋体" w:hAnsi="宋体" w:cs="宋体"/>
          <w:i/>
          <w:sz w:val="24"/>
        </w:rPr>
        <w:t>(</w:t>
      </w:r>
      <w:r>
        <w:rPr>
          <w:rFonts w:hint="eastAsia" w:ascii="宋体" w:hAnsi="宋体" w:cs="宋体"/>
          <w:i/>
          <w:sz w:val="24"/>
          <w:u w:val="single"/>
        </w:rPr>
        <w:t>招标编号</w:t>
      </w:r>
      <w:r>
        <w:rPr>
          <w:rFonts w:hint="eastAsia" w:ascii="宋体" w:hAnsi="宋体" w:cs="宋体"/>
          <w:sz w:val="24"/>
        </w:rPr>
        <w:t>)，签字代表</w:t>
      </w:r>
      <w:r>
        <w:rPr>
          <w:rFonts w:hint="eastAsia" w:ascii="宋体" w:hAnsi="宋体" w:cs="宋体"/>
          <w:i/>
          <w:sz w:val="24"/>
        </w:rPr>
        <w:t>(</w:t>
      </w:r>
      <w:r>
        <w:rPr>
          <w:rFonts w:hint="eastAsia" w:ascii="宋体" w:hAnsi="宋体" w:cs="宋体"/>
          <w:i/>
          <w:sz w:val="24"/>
          <w:u w:val="single"/>
        </w:rPr>
        <w:t>姓名、职务</w:t>
      </w:r>
      <w:r>
        <w:rPr>
          <w:rFonts w:hint="eastAsia" w:ascii="宋体" w:hAnsi="宋体" w:cs="宋体"/>
          <w:i/>
          <w:sz w:val="24"/>
        </w:rPr>
        <w:t>)</w:t>
      </w:r>
      <w:r>
        <w:rPr>
          <w:rFonts w:hint="eastAsia" w:ascii="宋体" w:hAnsi="宋体" w:cs="宋体"/>
          <w:sz w:val="24"/>
        </w:rPr>
        <w:t>经正式授权并代表投标人</w:t>
      </w:r>
      <w:r>
        <w:rPr>
          <w:rFonts w:hint="eastAsia" w:ascii="宋体" w:hAnsi="宋体" w:cs="宋体"/>
          <w:i/>
          <w:sz w:val="24"/>
          <w:u w:val="single"/>
        </w:rPr>
        <w:t>(投标人名称、地址)</w:t>
      </w:r>
      <w:r>
        <w:rPr>
          <w:rFonts w:hint="eastAsia" w:ascii="宋体" w:hAnsi="宋体" w:cs="宋体"/>
          <w:sz w:val="24"/>
        </w:rPr>
        <w:t>提交下述文件:</w:t>
      </w:r>
    </w:p>
    <w:p>
      <w:pPr>
        <w:spacing w:line="380" w:lineRule="exact"/>
        <w:ind w:left="707" w:hanging="283"/>
        <w:rPr>
          <w:rFonts w:hint="eastAsia" w:ascii="宋体" w:hAnsi="宋体" w:cs="宋体"/>
          <w:sz w:val="24"/>
        </w:rPr>
      </w:pPr>
      <w:r>
        <w:rPr>
          <w:rFonts w:hint="eastAsia" w:ascii="宋体" w:hAnsi="宋体" w:cs="宋体"/>
          <w:sz w:val="24"/>
        </w:rPr>
        <w:t>1、投标书</w:t>
      </w:r>
    </w:p>
    <w:p>
      <w:pPr>
        <w:spacing w:line="380" w:lineRule="exact"/>
        <w:ind w:left="707" w:hanging="283"/>
        <w:rPr>
          <w:rFonts w:hint="eastAsia" w:ascii="宋体" w:hAnsi="宋体" w:cs="宋体"/>
          <w:sz w:val="24"/>
        </w:rPr>
      </w:pPr>
      <w:r>
        <w:rPr>
          <w:rFonts w:hint="eastAsia" w:ascii="宋体" w:hAnsi="宋体" w:cs="宋体"/>
          <w:sz w:val="24"/>
        </w:rPr>
        <w:t>2、开标一览表</w:t>
      </w:r>
    </w:p>
    <w:p>
      <w:pPr>
        <w:spacing w:line="380" w:lineRule="exact"/>
        <w:ind w:left="707" w:hanging="283"/>
        <w:rPr>
          <w:rFonts w:hint="eastAsia" w:ascii="宋体" w:hAnsi="宋体" w:cs="宋体"/>
          <w:sz w:val="24"/>
        </w:rPr>
      </w:pPr>
      <w:r>
        <w:rPr>
          <w:rFonts w:hint="eastAsia" w:ascii="宋体" w:hAnsi="宋体" w:cs="宋体"/>
          <w:sz w:val="24"/>
        </w:rPr>
        <w:t>3、分项报价表</w:t>
      </w:r>
    </w:p>
    <w:p>
      <w:pPr>
        <w:spacing w:line="380" w:lineRule="exact"/>
        <w:ind w:left="707" w:hanging="283"/>
        <w:rPr>
          <w:rFonts w:hint="eastAsia" w:ascii="宋体" w:hAnsi="宋体" w:cs="宋体"/>
          <w:sz w:val="24"/>
        </w:rPr>
      </w:pPr>
      <w:r>
        <w:rPr>
          <w:rFonts w:hint="eastAsia" w:ascii="宋体" w:hAnsi="宋体" w:cs="宋体"/>
          <w:sz w:val="24"/>
        </w:rPr>
        <w:t>4、开标一览明细表</w:t>
      </w:r>
    </w:p>
    <w:p>
      <w:pPr>
        <w:spacing w:line="380" w:lineRule="exact"/>
        <w:ind w:left="707" w:hanging="283"/>
        <w:rPr>
          <w:rFonts w:hint="eastAsia" w:ascii="宋体" w:hAnsi="宋体" w:cs="宋体"/>
          <w:sz w:val="24"/>
        </w:rPr>
      </w:pPr>
      <w:r>
        <w:rPr>
          <w:rFonts w:hint="eastAsia" w:ascii="宋体" w:hAnsi="宋体" w:cs="宋体"/>
          <w:sz w:val="24"/>
        </w:rPr>
        <w:t>5、技术需求响应/偏离表</w:t>
      </w:r>
    </w:p>
    <w:p>
      <w:pPr>
        <w:spacing w:line="380" w:lineRule="exact"/>
        <w:ind w:left="707" w:hanging="283"/>
        <w:rPr>
          <w:rFonts w:hint="eastAsia" w:ascii="宋体" w:hAnsi="宋体" w:cs="宋体"/>
          <w:sz w:val="24"/>
        </w:rPr>
      </w:pPr>
      <w:r>
        <w:rPr>
          <w:rFonts w:hint="eastAsia" w:ascii="宋体" w:hAnsi="宋体" w:cs="宋体"/>
          <w:sz w:val="24"/>
        </w:rPr>
        <w:t>6、商务条款响应/偏离表</w:t>
      </w:r>
    </w:p>
    <w:p>
      <w:pPr>
        <w:spacing w:line="380" w:lineRule="exact"/>
        <w:ind w:left="707" w:hanging="283"/>
        <w:rPr>
          <w:rFonts w:hint="eastAsia" w:ascii="宋体" w:hAnsi="宋体" w:cs="宋体"/>
          <w:sz w:val="24"/>
        </w:rPr>
      </w:pPr>
      <w:r>
        <w:rPr>
          <w:rFonts w:hint="eastAsia" w:ascii="宋体" w:hAnsi="宋体" w:cs="宋体"/>
          <w:sz w:val="24"/>
        </w:rPr>
        <w:t>7、投标人应当提交的资格、资信证明文件</w:t>
      </w:r>
    </w:p>
    <w:p>
      <w:pPr>
        <w:spacing w:line="380" w:lineRule="exact"/>
        <w:ind w:left="707" w:hanging="283"/>
        <w:rPr>
          <w:rFonts w:hint="eastAsia" w:ascii="宋体" w:hAnsi="宋体" w:cs="宋体"/>
          <w:sz w:val="24"/>
        </w:rPr>
      </w:pPr>
      <w:r>
        <w:rPr>
          <w:rFonts w:hint="eastAsia" w:ascii="宋体" w:hAnsi="宋体" w:cs="宋体"/>
          <w:sz w:val="24"/>
        </w:rPr>
        <w:t>8、为落实政府采购政策投标人须提供的证明材料</w:t>
      </w:r>
    </w:p>
    <w:p>
      <w:pPr>
        <w:spacing w:line="380" w:lineRule="exact"/>
        <w:ind w:left="707" w:hanging="283"/>
        <w:rPr>
          <w:rFonts w:hint="eastAsia" w:ascii="宋体" w:hAnsi="宋体" w:cs="宋体"/>
          <w:sz w:val="24"/>
        </w:rPr>
      </w:pPr>
      <w:r>
        <w:rPr>
          <w:rFonts w:hint="eastAsia" w:ascii="宋体" w:hAnsi="宋体" w:cs="宋体"/>
          <w:sz w:val="24"/>
        </w:rPr>
        <w:t>9、技术文件</w:t>
      </w:r>
    </w:p>
    <w:p>
      <w:pPr>
        <w:spacing w:line="380" w:lineRule="exact"/>
        <w:ind w:left="707" w:hanging="283"/>
        <w:rPr>
          <w:rFonts w:hint="eastAsia" w:ascii="宋体" w:hAnsi="宋体" w:cs="宋体"/>
          <w:sz w:val="24"/>
        </w:rPr>
      </w:pPr>
      <w:r>
        <w:rPr>
          <w:rFonts w:hint="eastAsia" w:ascii="宋体" w:hAnsi="宋体" w:cs="宋体"/>
          <w:sz w:val="24"/>
        </w:rPr>
        <w:t>10、其他资料</w:t>
      </w:r>
    </w:p>
    <w:p>
      <w:pPr>
        <w:spacing w:line="380" w:lineRule="exact"/>
        <w:ind w:left="707" w:hanging="283"/>
        <w:rPr>
          <w:rFonts w:hint="eastAsia" w:ascii="宋体" w:hAnsi="宋体" w:cs="宋体"/>
          <w:sz w:val="24"/>
        </w:rPr>
      </w:pPr>
      <w:r>
        <w:rPr>
          <w:rFonts w:hint="eastAsia" w:ascii="宋体" w:hAnsi="宋体" w:cs="宋体"/>
          <w:sz w:val="24"/>
        </w:rPr>
        <w:t>据此函,签字代表宣布同意如下:</w:t>
      </w:r>
    </w:p>
    <w:p>
      <w:pPr>
        <w:spacing w:line="380" w:lineRule="exact"/>
        <w:ind w:left="707" w:hanging="283"/>
        <w:rPr>
          <w:rFonts w:hint="eastAsia" w:ascii="宋体" w:hAnsi="宋体" w:cs="宋体"/>
          <w:sz w:val="24"/>
        </w:rPr>
      </w:pPr>
      <w:r>
        <w:rPr>
          <w:rFonts w:hint="eastAsia" w:ascii="宋体" w:hAnsi="宋体" w:cs="宋体"/>
          <w:sz w:val="24"/>
        </w:rPr>
        <w:t>1. 我方完全理解并接受该项目招标文件所有要求。</w:t>
      </w:r>
    </w:p>
    <w:p>
      <w:pPr>
        <w:spacing w:line="380" w:lineRule="exact"/>
        <w:ind w:left="707" w:hanging="283"/>
        <w:rPr>
          <w:rFonts w:hint="eastAsia" w:ascii="宋体" w:hAnsi="宋体" w:cs="宋体"/>
          <w:sz w:val="24"/>
        </w:rPr>
      </w:pPr>
      <w:r>
        <w:rPr>
          <w:rFonts w:hint="eastAsia" w:ascii="宋体" w:hAnsi="宋体" w:cs="宋体"/>
          <w:sz w:val="24"/>
        </w:rPr>
        <w:t>2. 我方提交的所有投标文件、资料都是准确和真实的，如有虚假或隐瞒，我方愿意承担一切法律责任。</w:t>
      </w:r>
    </w:p>
    <w:p>
      <w:pPr>
        <w:spacing w:line="380" w:lineRule="exact"/>
        <w:ind w:left="707" w:hanging="283"/>
        <w:rPr>
          <w:rFonts w:hint="eastAsia" w:ascii="宋体" w:hAnsi="宋体" w:cs="宋体"/>
          <w:sz w:val="24"/>
        </w:rPr>
      </w:pPr>
      <w:r>
        <w:rPr>
          <w:rFonts w:hint="eastAsia" w:ascii="宋体" w:hAnsi="宋体" w:cs="宋体"/>
          <w:sz w:val="24"/>
        </w:rPr>
        <w:t>3. 我方承诺按照招标文件要求，提供招标项目的技术服务。</w:t>
      </w:r>
    </w:p>
    <w:p>
      <w:pPr>
        <w:spacing w:line="380" w:lineRule="exact"/>
        <w:ind w:left="707" w:hanging="283"/>
        <w:rPr>
          <w:rFonts w:hint="eastAsia" w:ascii="宋体" w:hAnsi="宋体" w:cs="宋体"/>
          <w:sz w:val="24"/>
        </w:rPr>
      </w:pPr>
      <w:r>
        <w:rPr>
          <w:rFonts w:hint="eastAsia" w:ascii="宋体" w:hAnsi="宋体" w:cs="宋体"/>
          <w:sz w:val="24"/>
        </w:rPr>
        <w:t>4. 本投标有效期为从提交投标文件截止之日起</w:t>
      </w:r>
      <w:r>
        <w:rPr>
          <w:rFonts w:hint="eastAsia" w:ascii="宋体" w:hAnsi="宋体" w:cs="宋体"/>
          <w:sz w:val="24"/>
          <w:u w:val="single"/>
        </w:rPr>
        <w:t xml:space="preserve">  90  </w:t>
      </w:r>
      <w:r>
        <w:rPr>
          <w:rFonts w:hint="eastAsia" w:ascii="宋体" w:hAnsi="宋体" w:cs="宋体"/>
          <w:sz w:val="24"/>
        </w:rPr>
        <w:t>天。</w:t>
      </w:r>
    </w:p>
    <w:p>
      <w:pPr>
        <w:spacing w:line="380" w:lineRule="exact"/>
        <w:ind w:left="707" w:hanging="283"/>
        <w:rPr>
          <w:rFonts w:hint="eastAsia" w:ascii="宋体" w:hAnsi="宋体" w:cs="宋体"/>
          <w:sz w:val="24"/>
        </w:rPr>
      </w:pPr>
      <w:r>
        <w:rPr>
          <w:rFonts w:hint="eastAsia" w:ascii="宋体" w:hAnsi="宋体" w:cs="宋体"/>
          <w:sz w:val="24"/>
        </w:rPr>
        <w:t>5. 我方投标报价为闭口价。即在投标有效期和合同有效期内，该报价固定不变。</w:t>
      </w:r>
    </w:p>
    <w:p>
      <w:pPr>
        <w:spacing w:line="380" w:lineRule="exact"/>
        <w:ind w:left="707" w:hanging="283"/>
        <w:rPr>
          <w:rFonts w:hint="eastAsia" w:ascii="宋体" w:hAnsi="宋体" w:cs="宋体"/>
          <w:sz w:val="24"/>
        </w:rPr>
      </w:pPr>
      <w:r>
        <w:rPr>
          <w:rFonts w:hint="eastAsia" w:ascii="宋体" w:hAnsi="宋体" w:cs="宋体"/>
          <w:sz w:val="24"/>
        </w:rPr>
        <w:t>6. 如果我方中标，我方将履行招标文件中规定的各项要求以及我方投标文件的各项承诺，按《中华人民共和国政府采购法》、《中华人民共和国民法典》及合同约定条款承担我方责任。</w:t>
      </w:r>
    </w:p>
    <w:p>
      <w:pPr>
        <w:spacing w:line="380" w:lineRule="exact"/>
        <w:ind w:left="707" w:hanging="283"/>
        <w:rPr>
          <w:rFonts w:hint="eastAsia" w:ascii="宋体" w:hAnsi="宋体" w:cs="宋体"/>
          <w:sz w:val="24"/>
        </w:rPr>
      </w:pPr>
      <w:r>
        <w:rPr>
          <w:rFonts w:hint="eastAsia" w:ascii="宋体" w:hAnsi="宋体" w:cs="宋体"/>
          <w:sz w:val="24"/>
        </w:rPr>
        <w:t>7. 与本投标有关的一切正式往来信函请寄:</w:t>
      </w:r>
    </w:p>
    <w:p>
      <w:pPr>
        <w:spacing w:line="360" w:lineRule="auto"/>
        <w:rPr>
          <w:rFonts w:hint="eastAsia" w:ascii="宋体" w:hAnsi="宋体" w:cs="宋体"/>
          <w:sz w:val="24"/>
        </w:rPr>
      </w:pPr>
    </w:p>
    <w:p>
      <w:pPr>
        <w:spacing w:line="360" w:lineRule="auto"/>
        <w:rPr>
          <w:rFonts w:hint="eastAsia" w:ascii="宋体" w:hAnsi="宋体" w:cs="宋体"/>
          <w:sz w:val="24"/>
          <w:u w:val="single"/>
        </w:rPr>
      </w:pPr>
      <w:r>
        <w:rPr>
          <w:rFonts w:hint="eastAsia" w:ascii="宋体" w:hAnsi="宋体" w:cs="宋体"/>
          <w:sz w:val="24"/>
        </w:rPr>
        <w:t>地址</w:t>
      </w:r>
      <w:r>
        <w:rPr>
          <w:rFonts w:hint="eastAsia" w:ascii="宋体" w:hAnsi="宋体" w:cs="宋体"/>
          <w:sz w:val="24"/>
          <w:u w:val="single"/>
        </w:rPr>
        <w:t xml:space="preserve">                              </w:t>
      </w:r>
      <w:r>
        <w:rPr>
          <w:rFonts w:hint="eastAsia" w:ascii="宋体" w:hAnsi="宋体" w:cs="宋体"/>
          <w:sz w:val="24"/>
        </w:rPr>
        <w:t xml:space="preserve">    传真</w:t>
      </w:r>
      <w:r>
        <w:rPr>
          <w:rFonts w:hint="eastAsia" w:ascii="宋体" w:hAnsi="宋体" w:cs="宋体"/>
          <w:sz w:val="24"/>
          <w:u w:val="single"/>
        </w:rPr>
        <w:t xml:space="preserve">                              </w:t>
      </w:r>
    </w:p>
    <w:p>
      <w:pPr>
        <w:spacing w:line="360" w:lineRule="auto"/>
        <w:rPr>
          <w:rFonts w:hint="eastAsia" w:ascii="宋体" w:hAnsi="宋体" w:cs="宋体"/>
          <w:sz w:val="24"/>
          <w:u w:val="single"/>
        </w:rPr>
      </w:pP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电子邮件</w:t>
      </w:r>
      <w:r>
        <w:rPr>
          <w:rFonts w:hint="eastAsia" w:ascii="宋体" w:hAnsi="宋体" w:cs="宋体"/>
          <w:sz w:val="24"/>
          <w:u w:val="single"/>
        </w:rPr>
        <w:t xml:space="preserve">                          </w:t>
      </w:r>
    </w:p>
    <w:p>
      <w:pPr>
        <w:spacing w:line="432" w:lineRule="auto"/>
        <w:rPr>
          <w:rFonts w:hint="eastAsia" w:ascii="宋体" w:hAnsi="宋体" w:cs="宋体"/>
          <w:sz w:val="24"/>
          <w:u w:val="single"/>
        </w:rPr>
      </w:pPr>
      <w:bookmarkStart w:id="178" w:name="_Toc474492110"/>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ascii="宋体" w:hAnsi="宋体" w:cs="宋体"/>
        </w:rPr>
        <w:sectPr>
          <w:headerReference r:id="rId11" w:type="first"/>
          <w:footerReference r:id="rId14" w:type="first"/>
          <w:headerReference r:id="rId9" w:type="default"/>
          <w:footerReference r:id="rId12" w:type="default"/>
          <w:headerReference r:id="rId10" w:type="even"/>
          <w:footerReference r:id="rId13" w:type="even"/>
          <w:pgSz w:w="11906" w:h="16838"/>
          <w:pgMar w:top="1361" w:right="1134" w:bottom="1361" w:left="1418" w:header="851" w:footer="992" w:gutter="0"/>
          <w:cols w:space="720" w:num="1"/>
          <w:docGrid w:type="lines" w:linePitch="312" w:charSpace="0"/>
        </w:sectPr>
      </w:pPr>
      <w:r>
        <w:rPr>
          <w:rFonts w:hint="eastAsia" w:ascii="宋体" w:hAnsi="宋体" w:cs="宋体"/>
          <w:sz w:val="24"/>
        </w:rPr>
        <w:t>日期</w:t>
      </w:r>
      <w:r>
        <w:rPr>
          <w:rFonts w:hint="eastAsia" w:ascii="宋体" w:hAnsi="宋体" w:cs="宋体"/>
          <w:sz w:val="24"/>
          <w:u w:val="single"/>
        </w:rPr>
        <w:t xml:space="preserve">                                             </w:t>
      </w:r>
    </w:p>
    <w:p>
      <w:pPr>
        <w:pStyle w:val="3"/>
        <w:jc w:val="center"/>
        <w:rPr>
          <w:rFonts w:hint="eastAsia" w:ascii="宋体" w:hAnsi="宋体" w:eastAsia="宋体" w:cs="宋体"/>
        </w:rPr>
      </w:pPr>
      <w:bookmarkStart w:id="179" w:name="_Toc163636281"/>
      <w:r>
        <w:rPr>
          <w:rFonts w:hint="eastAsia" w:ascii="宋体" w:hAnsi="宋体" w:eastAsia="宋体" w:cs="宋体"/>
        </w:rPr>
        <w:t>格式2.开标一览表</w:t>
      </w:r>
      <w:bookmarkEnd w:id="178"/>
      <w:bookmarkEnd w:id="179"/>
    </w:p>
    <w:p>
      <w:pPr>
        <w:spacing w:line="380" w:lineRule="exact"/>
        <w:ind w:left="707" w:hanging="283"/>
        <w:rPr>
          <w:rFonts w:ascii="宋体" w:hAnsi="宋体" w:cs="宋体"/>
          <w:sz w:val="24"/>
        </w:rPr>
      </w:pPr>
    </w:p>
    <w:p>
      <w:pPr>
        <w:spacing w:before="75" w:after="240" w:line="227" w:lineRule="auto"/>
        <w:ind w:left="373"/>
        <w:rPr>
          <w:rFonts w:ascii="宋体" w:hAnsi="宋体" w:cs="宋体"/>
          <w:sz w:val="24"/>
          <w:szCs w:val="24"/>
        </w:rPr>
      </w:pPr>
      <w:r>
        <w:rPr>
          <w:rFonts w:ascii="宋体" w:hAnsi="宋体" w:cs="宋体"/>
          <w:spacing w:val="-4"/>
          <w:sz w:val="24"/>
          <w:szCs w:val="24"/>
        </w:rPr>
        <w:t>项目名称：</w:t>
      </w:r>
      <w:r>
        <w:rPr>
          <w:rFonts w:ascii="宋体" w:hAnsi="宋体" w:cs="宋体"/>
          <w:spacing w:val="-4"/>
          <w:sz w:val="24"/>
          <w:szCs w:val="24"/>
          <w:u w:val="single"/>
        </w:rPr>
        <w:t xml:space="preserve">                                 </w:t>
      </w:r>
      <w:r>
        <w:rPr>
          <w:rFonts w:ascii="宋体" w:hAnsi="宋体" w:cs="宋体"/>
          <w:spacing w:val="-2"/>
          <w:sz w:val="24"/>
          <w:szCs w:val="24"/>
          <w:u w:val="single"/>
        </w:rPr>
        <w:t xml:space="preserve">        </w:t>
      </w:r>
      <w:r>
        <w:rPr>
          <w:rFonts w:ascii="宋体" w:hAnsi="宋体" w:cs="宋体"/>
          <w:spacing w:val="-2"/>
          <w:sz w:val="24"/>
          <w:szCs w:val="24"/>
        </w:rPr>
        <w:t>招标编号：</w:t>
      </w:r>
      <w:r>
        <w:rPr>
          <w:rFonts w:ascii="宋体" w:hAnsi="宋体" w:cs="宋体"/>
          <w:spacing w:val="-2"/>
          <w:sz w:val="24"/>
          <w:szCs w:val="24"/>
          <w:u w:val="single"/>
        </w:rPr>
        <w:t xml:space="preserve">                                 </w:t>
      </w:r>
      <w:r>
        <w:rPr>
          <w:rFonts w:ascii="宋体" w:hAnsi="宋体" w:cs="宋体"/>
          <w:spacing w:val="-2"/>
          <w:sz w:val="24"/>
          <w:szCs w:val="24"/>
        </w:rPr>
        <w:t xml:space="preserve">   </w:t>
      </w:r>
    </w:p>
    <w:tbl>
      <w:tblPr>
        <w:tblStyle w:val="51"/>
        <w:tblW w:w="1326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jc w:val="center"/>
        </w:trPr>
        <w:tc>
          <w:tcPr>
            <w:tcW w:w="2896" w:type="dxa"/>
            <w:noWrap w:val="0"/>
            <w:vAlign w:val="center"/>
          </w:tcPr>
          <w:p>
            <w:pPr>
              <w:spacing w:before="74" w:line="229" w:lineRule="auto"/>
              <w:ind w:left="1214"/>
              <w:rPr>
                <w:rFonts w:ascii="宋体" w:hAnsi="宋体" w:cs="宋体"/>
                <w:sz w:val="23"/>
                <w:szCs w:val="23"/>
              </w:rPr>
            </w:pPr>
            <w:r>
              <w:rPr>
                <w:rFonts w:ascii="宋体" w:hAnsi="宋体" w:cs="宋体"/>
                <w:spacing w:val="6"/>
                <w:sz w:val="23"/>
                <w:szCs w:val="23"/>
              </w:rPr>
              <w:t>序</w:t>
            </w:r>
            <w:r>
              <w:rPr>
                <w:rFonts w:ascii="宋体" w:hAnsi="宋体" w:cs="宋体"/>
                <w:spacing w:val="5"/>
                <w:sz w:val="23"/>
                <w:szCs w:val="23"/>
              </w:rPr>
              <w:t>号</w:t>
            </w:r>
          </w:p>
        </w:tc>
        <w:tc>
          <w:tcPr>
            <w:tcW w:w="1617" w:type="dxa"/>
            <w:noWrap w:val="0"/>
            <w:vAlign w:val="center"/>
          </w:tcPr>
          <w:p>
            <w:pPr>
              <w:spacing w:before="226" w:line="383" w:lineRule="auto"/>
              <w:ind w:left="79" w:right="206"/>
              <w:jc w:val="center"/>
              <w:rPr>
                <w:rFonts w:ascii="宋体" w:hAnsi="宋体" w:cs="宋体"/>
                <w:sz w:val="23"/>
                <w:szCs w:val="23"/>
              </w:rPr>
            </w:pPr>
            <w:r>
              <w:rPr>
                <w:rFonts w:ascii="宋体" w:hAnsi="宋体" w:cs="宋体"/>
                <w:spacing w:val="10"/>
                <w:sz w:val="23"/>
                <w:szCs w:val="23"/>
              </w:rPr>
              <w:t>投</w:t>
            </w:r>
            <w:r>
              <w:rPr>
                <w:rFonts w:ascii="宋体" w:hAnsi="宋体" w:cs="宋体"/>
                <w:spacing w:val="8"/>
                <w:sz w:val="23"/>
                <w:szCs w:val="23"/>
              </w:rPr>
              <w:t>标供应商</w:t>
            </w:r>
            <w:r>
              <w:rPr>
                <w:rFonts w:ascii="宋体" w:hAnsi="宋体" w:cs="宋体"/>
                <w:sz w:val="23"/>
                <w:szCs w:val="23"/>
              </w:rPr>
              <w:t xml:space="preserve"> </w:t>
            </w:r>
            <w:r>
              <w:rPr>
                <w:rFonts w:ascii="宋体" w:hAnsi="宋体" w:cs="宋体"/>
                <w:spacing w:val="4"/>
                <w:sz w:val="23"/>
                <w:szCs w:val="23"/>
              </w:rPr>
              <w:t>名</w:t>
            </w:r>
            <w:r>
              <w:rPr>
                <w:rFonts w:ascii="宋体" w:hAnsi="宋体" w:cs="宋体"/>
                <w:spacing w:val="3"/>
                <w:sz w:val="23"/>
                <w:szCs w:val="23"/>
              </w:rPr>
              <w:t>称</w:t>
            </w:r>
          </w:p>
        </w:tc>
        <w:tc>
          <w:tcPr>
            <w:tcW w:w="3166" w:type="dxa"/>
            <w:noWrap w:val="0"/>
            <w:vAlign w:val="center"/>
          </w:tcPr>
          <w:p>
            <w:pPr>
              <w:spacing w:before="226" w:line="226" w:lineRule="auto"/>
              <w:ind w:left="1109"/>
              <w:rPr>
                <w:rFonts w:ascii="宋体" w:hAnsi="宋体" w:cs="宋体"/>
                <w:sz w:val="23"/>
                <w:szCs w:val="23"/>
              </w:rPr>
            </w:pPr>
            <w:r>
              <w:rPr>
                <w:rFonts w:ascii="宋体" w:hAnsi="宋体" w:cs="宋体"/>
                <w:spacing w:val="9"/>
                <w:sz w:val="23"/>
                <w:szCs w:val="23"/>
              </w:rPr>
              <w:t>投</w:t>
            </w:r>
            <w:r>
              <w:rPr>
                <w:rFonts w:ascii="宋体" w:hAnsi="宋体" w:cs="宋体"/>
                <w:spacing w:val="7"/>
                <w:sz w:val="23"/>
                <w:szCs w:val="23"/>
              </w:rPr>
              <w:t>标总价</w:t>
            </w:r>
            <w:r>
              <w:rPr>
                <w:rFonts w:ascii="宋体" w:hAnsi="宋体" w:cs="宋体"/>
                <w:spacing w:val="38"/>
                <w:sz w:val="23"/>
                <w:szCs w:val="23"/>
              </w:rPr>
              <w:t>(元)</w:t>
            </w:r>
          </w:p>
        </w:tc>
        <w:tc>
          <w:tcPr>
            <w:tcW w:w="1635" w:type="dxa"/>
            <w:noWrap w:val="0"/>
            <w:vAlign w:val="center"/>
          </w:tcPr>
          <w:p>
            <w:pPr>
              <w:spacing w:before="75" w:line="227" w:lineRule="auto"/>
              <w:ind w:left="347"/>
              <w:rPr>
                <w:rFonts w:ascii="宋体" w:hAnsi="宋体" w:cs="宋体"/>
                <w:sz w:val="23"/>
                <w:szCs w:val="23"/>
              </w:rPr>
            </w:pPr>
            <w:r>
              <w:rPr>
                <w:rFonts w:ascii="宋体" w:hAnsi="宋体" w:cs="宋体"/>
                <w:spacing w:val="7"/>
                <w:sz w:val="23"/>
                <w:szCs w:val="23"/>
              </w:rPr>
              <w:t>交货时间</w:t>
            </w:r>
          </w:p>
        </w:tc>
        <w:tc>
          <w:tcPr>
            <w:tcW w:w="2548" w:type="dxa"/>
            <w:noWrap w:val="0"/>
            <w:vAlign w:val="center"/>
          </w:tcPr>
          <w:p>
            <w:pPr>
              <w:spacing w:before="75" w:line="227" w:lineRule="auto"/>
              <w:ind w:left="805"/>
              <w:rPr>
                <w:rFonts w:ascii="宋体" w:hAnsi="宋体" w:cs="宋体"/>
                <w:sz w:val="23"/>
                <w:szCs w:val="23"/>
              </w:rPr>
            </w:pPr>
            <w:r>
              <w:rPr>
                <w:rFonts w:ascii="宋体" w:hAnsi="宋体" w:cs="宋体"/>
                <w:spacing w:val="7"/>
                <w:sz w:val="23"/>
                <w:szCs w:val="23"/>
              </w:rPr>
              <w:t>交货地点</w:t>
            </w:r>
          </w:p>
        </w:tc>
        <w:tc>
          <w:tcPr>
            <w:tcW w:w="1399" w:type="dxa"/>
            <w:noWrap w:val="0"/>
            <w:vAlign w:val="center"/>
          </w:tcPr>
          <w:p>
            <w:pPr>
              <w:spacing w:before="74" w:line="229" w:lineRule="auto"/>
              <w:ind w:left="468"/>
              <w:rPr>
                <w:rFonts w:ascii="宋体" w:hAnsi="宋体" w:cs="宋体"/>
                <w:sz w:val="23"/>
                <w:szCs w:val="23"/>
              </w:rPr>
            </w:pPr>
            <w:r>
              <w:rPr>
                <w:rFonts w:ascii="宋体" w:hAnsi="宋体" w:cs="宋体"/>
                <w:spacing w:val="4"/>
                <w:sz w:val="23"/>
                <w:szCs w:val="23"/>
              </w:rPr>
              <w:t>备</w:t>
            </w:r>
            <w:r>
              <w:rPr>
                <w:rFonts w:ascii="宋体" w:hAnsi="宋体" w:cs="宋体"/>
                <w:spacing w:val="3"/>
                <w:sz w:val="23"/>
                <w:szCs w:val="2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jc w:val="center"/>
        </w:trPr>
        <w:tc>
          <w:tcPr>
            <w:tcW w:w="2896" w:type="dxa"/>
            <w:noWrap w:val="0"/>
            <w:vAlign w:val="center"/>
          </w:tcPr>
          <w:p>
            <w:pPr>
              <w:spacing w:before="74" w:line="229" w:lineRule="auto"/>
              <w:jc w:val="center"/>
              <w:rPr>
                <w:rFonts w:hint="eastAsia" w:ascii="宋体" w:hAnsi="宋体" w:cs="宋体"/>
                <w:spacing w:val="6"/>
                <w:sz w:val="23"/>
                <w:szCs w:val="23"/>
              </w:rPr>
            </w:pPr>
          </w:p>
        </w:tc>
        <w:tc>
          <w:tcPr>
            <w:tcW w:w="1617" w:type="dxa"/>
            <w:noWrap w:val="0"/>
            <w:vAlign w:val="center"/>
          </w:tcPr>
          <w:p>
            <w:pPr>
              <w:spacing w:before="74" w:line="229" w:lineRule="auto"/>
              <w:jc w:val="center"/>
              <w:rPr>
                <w:rFonts w:hint="eastAsia" w:ascii="宋体" w:hAnsi="宋体" w:cs="宋体"/>
                <w:spacing w:val="6"/>
                <w:sz w:val="23"/>
                <w:szCs w:val="23"/>
              </w:rPr>
            </w:pPr>
          </w:p>
        </w:tc>
        <w:tc>
          <w:tcPr>
            <w:tcW w:w="3166" w:type="dxa"/>
            <w:noWrap w:val="0"/>
            <w:vAlign w:val="center"/>
          </w:tcPr>
          <w:p>
            <w:pPr>
              <w:spacing w:before="74" w:line="229" w:lineRule="auto"/>
              <w:jc w:val="center"/>
              <w:rPr>
                <w:rFonts w:hint="eastAsia" w:ascii="宋体" w:hAnsi="宋体" w:cs="宋体"/>
                <w:spacing w:val="6"/>
                <w:sz w:val="23"/>
                <w:szCs w:val="23"/>
              </w:rPr>
            </w:pPr>
          </w:p>
        </w:tc>
        <w:tc>
          <w:tcPr>
            <w:tcW w:w="1635" w:type="dxa"/>
            <w:noWrap w:val="0"/>
            <w:vAlign w:val="center"/>
          </w:tcPr>
          <w:p>
            <w:pPr>
              <w:spacing w:before="74" w:line="229" w:lineRule="auto"/>
              <w:jc w:val="center"/>
              <w:rPr>
                <w:rFonts w:hint="eastAsia" w:ascii="宋体" w:hAnsi="宋体" w:cs="宋体"/>
                <w:spacing w:val="6"/>
                <w:sz w:val="23"/>
                <w:szCs w:val="23"/>
              </w:rPr>
            </w:pPr>
          </w:p>
        </w:tc>
        <w:tc>
          <w:tcPr>
            <w:tcW w:w="2548" w:type="dxa"/>
            <w:noWrap w:val="0"/>
            <w:vAlign w:val="center"/>
          </w:tcPr>
          <w:p>
            <w:pPr>
              <w:spacing w:before="74" w:line="229" w:lineRule="auto"/>
              <w:jc w:val="center"/>
              <w:rPr>
                <w:rFonts w:hint="eastAsia" w:ascii="宋体" w:hAnsi="宋体" w:cs="宋体"/>
                <w:spacing w:val="6"/>
                <w:sz w:val="23"/>
                <w:szCs w:val="23"/>
              </w:rPr>
            </w:pPr>
          </w:p>
        </w:tc>
        <w:tc>
          <w:tcPr>
            <w:tcW w:w="1399" w:type="dxa"/>
            <w:noWrap w:val="0"/>
            <w:vAlign w:val="center"/>
          </w:tcPr>
          <w:p>
            <w:pPr>
              <w:spacing w:before="74" w:line="229" w:lineRule="auto"/>
              <w:jc w:val="center"/>
              <w:rPr>
                <w:rFonts w:hint="eastAsia" w:ascii="宋体" w:hAnsi="宋体" w:cs="宋体"/>
                <w:spacing w:val="6"/>
                <w:sz w:val="23"/>
                <w:szCs w:val="23"/>
              </w:rPr>
            </w:pPr>
          </w:p>
        </w:tc>
      </w:tr>
    </w:tbl>
    <w:p>
      <w:pPr>
        <w:spacing w:line="432" w:lineRule="auto"/>
        <w:ind w:firstLine="480" w:firstLineChars="200"/>
        <w:rPr>
          <w:rFonts w:ascii="宋体" w:hAnsi="宋体" w:cs="宋体"/>
          <w:sz w:val="24"/>
        </w:rPr>
      </w:pPr>
      <w:r>
        <w:rPr>
          <w:rFonts w:ascii="宋体" w:hAnsi="宋体" w:cs="宋体"/>
          <w:sz w:val="24"/>
        </w:rPr>
        <w:t>注：1. 报价应是最终用户验收合格后的总价，包括货物运输、保险、代理、税费和招标文件规定的其它费用。</w:t>
      </w:r>
    </w:p>
    <w:p>
      <w:pPr>
        <w:spacing w:line="432" w:lineRule="auto"/>
        <w:rPr>
          <w:rFonts w:ascii="宋体" w:hAnsi="宋体" w:cs="宋体"/>
          <w:sz w:val="24"/>
        </w:rPr>
      </w:pPr>
    </w:p>
    <w:p>
      <w:pPr>
        <w:spacing w:line="432" w:lineRule="auto"/>
        <w:ind w:firstLine="240" w:firstLineChars="100"/>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ind w:firstLine="240" w:firstLineChars="100"/>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ind w:firstLine="240" w:firstLineChars="100"/>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pStyle w:val="3"/>
        <w:jc w:val="center"/>
        <w:rPr>
          <w:rFonts w:ascii="宋体" w:hAnsi="宋体" w:eastAsia="宋体" w:cs="宋体"/>
        </w:rPr>
      </w:pPr>
      <w:r>
        <w:rPr>
          <w:rFonts w:ascii="宋体" w:hAnsi="宋体" w:cs="宋体"/>
          <w:sz w:val="24"/>
        </w:rPr>
        <w:br w:type="page"/>
      </w:r>
      <w:bookmarkStart w:id="180" w:name="_Toc163636282"/>
      <w:r>
        <w:rPr>
          <w:rFonts w:hint="eastAsia" w:ascii="宋体" w:hAnsi="宋体" w:eastAsia="宋体" w:cs="宋体"/>
        </w:rPr>
        <w:t>格式</w:t>
      </w:r>
      <w:r>
        <w:rPr>
          <w:rFonts w:ascii="宋体" w:hAnsi="宋体" w:eastAsia="宋体" w:cs="宋体"/>
        </w:rPr>
        <w:t>3</w:t>
      </w:r>
      <w:r>
        <w:rPr>
          <w:rFonts w:hint="eastAsia" w:ascii="宋体" w:hAnsi="宋体" w:eastAsia="宋体" w:cs="宋体"/>
        </w:rPr>
        <w:t>.</w:t>
      </w:r>
      <w:r>
        <w:rPr>
          <w:rFonts w:ascii="宋体" w:hAnsi="宋体" w:eastAsia="宋体" w:cs="宋体"/>
        </w:rPr>
        <w:t>分项报价明细表</w:t>
      </w:r>
      <w:bookmarkEnd w:id="180"/>
    </w:p>
    <w:p>
      <w:pPr>
        <w:spacing w:before="75" w:after="240" w:line="227" w:lineRule="auto"/>
        <w:ind w:left="373"/>
        <w:rPr>
          <w:rFonts w:ascii="宋体" w:hAnsi="宋体" w:cs="宋体"/>
          <w:sz w:val="24"/>
          <w:szCs w:val="24"/>
        </w:rPr>
      </w:pPr>
      <w:r>
        <w:rPr>
          <w:rFonts w:ascii="宋体" w:hAnsi="宋体" w:cs="宋体"/>
          <w:spacing w:val="-4"/>
          <w:sz w:val="24"/>
          <w:szCs w:val="24"/>
        </w:rPr>
        <w:t>项目名称：</w:t>
      </w:r>
      <w:r>
        <w:rPr>
          <w:rFonts w:ascii="宋体" w:hAnsi="宋体" w:cs="宋体"/>
          <w:spacing w:val="-4"/>
          <w:sz w:val="24"/>
          <w:szCs w:val="24"/>
          <w:u w:val="single"/>
        </w:rPr>
        <w:t xml:space="preserve">                                 </w:t>
      </w:r>
      <w:r>
        <w:rPr>
          <w:rFonts w:ascii="宋体" w:hAnsi="宋体" w:cs="宋体"/>
          <w:spacing w:val="-2"/>
          <w:sz w:val="24"/>
          <w:szCs w:val="24"/>
          <w:u w:val="single"/>
        </w:rPr>
        <w:t xml:space="preserve">        </w:t>
      </w:r>
      <w:r>
        <w:rPr>
          <w:rFonts w:ascii="宋体" w:hAnsi="宋体" w:cs="宋体"/>
          <w:spacing w:val="-2"/>
          <w:sz w:val="24"/>
          <w:szCs w:val="24"/>
        </w:rPr>
        <w:t>招标编号：</w:t>
      </w:r>
      <w:r>
        <w:rPr>
          <w:rFonts w:ascii="宋体" w:hAnsi="宋体" w:cs="宋体"/>
          <w:spacing w:val="-2"/>
          <w:sz w:val="24"/>
          <w:szCs w:val="24"/>
          <w:u w:val="single"/>
        </w:rPr>
        <w:t xml:space="preserve">                                 </w:t>
      </w:r>
      <w:r>
        <w:rPr>
          <w:rFonts w:ascii="宋体" w:hAnsi="宋体" w:cs="宋体"/>
          <w:spacing w:val="-2"/>
          <w:sz w:val="24"/>
          <w:szCs w:val="24"/>
        </w:rPr>
        <w:t xml:space="preserve">   </w:t>
      </w:r>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1303"/>
        <w:gridCol w:w="1303"/>
        <w:gridCol w:w="1303"/>
        <w:gridCol w:w="1303"/>
        <w:gridCol w:w="1303"/>
        <w:gridCol w:w="1303"/>
        <w:gridCol w:w="1303"/>
        <w:gridCol w:w="1303"/>
        <w:gridCol w:w="1303"/>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pPr>
              <w:jc w:val="center"/>
            </w:pPr>
            <w:r>
              <w:rPr>
                <w:rFonts w:ascii="宋体" w:hAnsi="宋体" w:cs="宋体"/>
                <w:spacing w:val="6"/>
                <w:sz w:val="23"/>
                <w:szCs w:val="23"/>
              </w:rPr>
              <w:t>序</w:t>
            </w:r>
            <w:r>
              <w:rPr>
                <w:rFonts w:ascii="宋体" w:hAnsi="宋体" w:cs="宋体"/>
                <w:spacing w:val="5"/>
                <w:sz w:val="23"/>
                <w:szCs w:val="23"/>
              </w:rPr>
              <w:t>号</w:t>
            </w:r>
          </w:p>
        </w:tc>
        <w:tc>
          <w:tcPr>
            <w:tcW w:w="1303" w:type="dxa"/>
            <w:noWrap w:val="0"/>
            <w:vAlign w:val="center"/>
          </w:tcPr>
          <w:p>
            <w:pPr>
              <w:jc w:val="center"/>
            </w:pPr>
            <w:r>
              <w:rPr>
                <w:rFonts w:ascii="宋体" w:hAnsi="宋体" w:cs="宋体"/>
                <w:spacing w:val="9"/>
                <w:sz w:val="23"/>
                <w:szCs w:val="23"/>
              </w:rPr>
              <w:t>产</w:t>
            </w:r>
            <w:r>
              <w:rPr>
                <w:rFonts w:ascii="宋体" w:hAnsi="宋体" w:cs="宋体"/>
                <w:spacing w:val="7"/>
                <w:sz w:val="23"/>
                <w:szCs w:val="23"/>
              </w:rPr>
              <w:t>品名称</w:t>
            </w:r>
          </w:p>
        </w:tc>
        <w:tc>
          <w:tcPr>
            <w:tcW w:w="1303" w:type="dxa"/>
            <w:noWrap w:val="0"/>
            <w:vAlign w:val="center"/>
          </w:tcPr>
          <w:p>
            <w:pPr>
              <w:jc w:val="center"/>
            </w:pPr>
            <w:r>
              <w:rPr>
                <w:rFonts w:ascii="宋体" w:hAnsi="宋体" w:cs="宋体"/>
                <w:spacing w:val="8"/>
                <w:sz w:val="23"/>
                <w:szCs w:val="23"/>
              </w:rPr>
              <w:t>规</w:t>
            </w:r>
            <w:r>
              <w:rPr>
                <w:rFonts w:ascii="宋体" w:hAnsi="宋体" w:cs="宋体"/>
                <w:spacing w:val="7"/>
                <w:sz w:val="23"/>
                <w:szCs w:val="23"/>
              </w:rPr>
              <w:t>格型号</w:t>
            </w:r>
          </w:p>
        </w:tc>
        <w:tc>
          <w:tcPr>
            <w:tcW w:w="1303" w:type="dxa"/>
            <w:noWrap w:val="0"/>
            <w:vAlign w:val="center"/>
          </w:tcPr>
          <w:p>
            <w:pPr>
              <w:jc w:val="center"/>
            </w:pPr>
            <w:r>
              <w:rPr>
                <w:rFonts w:ascii="宋体" w:hAnsi="宋体" w:cs="宋体"/>
                <w:spacing w:val="-6"/>
                <w:sz w:val="23"/>
                <w:szCs w:val="23"/>
              </w:rPr>
              <w:t>品</w:t>
            </w:r>
            <w:r>
              <w:rPr>
                <w:rFonts w:ascii="宋体" w:hAnsi="宋体" w:cs="宋体"/>
                <w:spacing w:val="-4"/>
                <w:sz w:val="23"/>
                <w:szCs w:val="23"/>
              </w:rPr>
              <w:t>牌</w:t>
            </w:r>
          </w:p>
        </w:tc>
        <w:tc>
          <w:tcPr>
            <w:tcW w:w="1303" w:type="dxa"/>
            <w:noWrap w:val="0"/>
            <w:vAlign w:val="center"/>
          </w:tcPr>
          <w:p>
            <w:pPr>
              <w:jc w:val="center"/>
            </w:pPr>
            <w:r>
              <w:rPr>
                <w:rFonts w:ascii="宋体" w:hAnsi="宋体" w:cs="宋体"/>
                <w:spacing w:val="4"/>
                <w:sz w:val="23"/>
                <w:szCs w:val="23"/>
              </w:rPr>
              <w:t>单位</w:t>
            </w:r>
          </w:p>
        </w:tc>
        <w:tc>
          <w:tcPr>
            <w:tcW w:w="1303" w:type="dxa"/>
            <w:noWrap w:val="0"/>
            <w:vAlign w:val="center"/>
          </w:tcPr>
          <w:p>
            <w:pPr>
              <w:jc w:val="center"/>
            </w:pPr>
            <w:r>
              <w:rPr>
                <w:rFonts w:ascii="宋体" w:hAnsi="宋体" w:cs="宋体"/>
                <w:spacing w:val="4"/>
                <w:sz w:val="23"/>
                <w:szCs w:val="23"/>
              </w:rPr>
              <w:t>数量</w:t>
            </w:r>
          </w:p>
        </w:tc>
        <w:tc>
          <w:tcPr>
            <w:tcW w:w="1303" w:type="dxa"/>
            <w:noWrap w:val="0"/>
            <w:vAlign w:val="center"/>
          </w:tcPr>
          <w:p>
            <w:pPr>
              <w:jc w:val="center"/>
            </w:pPr>
            <w:r>
              <w:rPr>
                <w:rFonts w:ascii="宋体" w:hAnsi="宋体" w:cs="宋体"/>
                <w:spacing w:val="4"/>
                <w:sz w:val="23"/>
                <w:szCs w:val="23"/>
              </w:rPr>
              <w:t>单价</w:t>
            </w:r>
            <w:r>
              <w:rPr>
                <w:rFonts w:hint="eastAsia" w:ascii="宋体" w:hAnsi="宋体" w:cs="宋体"/>
                <w:spacing w:val="4"/>
                <w:sz w:val="23"/>
                <w:szCs w:val="23"/>
              </w:rPr>
              <w:t>(元</w:t>
            </w:r>
            <w:r>
              <w:rPr>
                <w:rFonts w:ascii="宋体" w:hAnsi="宋体" w:cs="宋体"/>
                <w:spacing w:val="4"/>
                <w:sz w:val="23"/>
                <w:szCs w:val="23"/>
              </w:rPr>
              <w:t>)</w:t>
            </w:r>
          </w:p>
        </w:tc>
        <w:tc>
          <w:tcPr>
            <w:tcW w:w="1303" w:type="dxa"/>
            <w:noWrap w:val="0"/>
            <w:vAlign w:val="center"/>
          </w:tcPr>
          <w:p>
            <w:pPr>
              <w:jc w:val="center"/>
            </w:pPr>
            <w:r>
              <w:rPr>
                <w:rFonts w:hint="eastAsia" w:ascii="宋体" w:hAnsi="宋体" w:cs="宋体"/>
                <w:spacing w:val="4"/>
                <w:sz w:val="23"/>
                <w:szCs w:val="23"/>
              </w:rPr>
              <w:t>总价(元</w:t>
            </w:r>
            <w:r>
              <w:rPr>
                <w:rFonts w:ascii="宋体" w:hAnsi="宋体" w:cs="宋体"/>
                <w:spacing w:val="4"/>
                <w:sz w:val="23"/>
                <w:szCs w:val="23"/>
              </w:rPr>
              <w:t>)</w:t>
            </w:r>
          </w:p>
        </w:tc>
        <w:tc>
          <w:tcPr>
            <w:tcW w:w="1303" w:type="dxa"/>
            <w:noWrap w:val="0"/>
            <w:vAlign w:val="center"/>
          </w:tcPr>
          <w:p>
            <w:pPr>
              <w:jc w:val="center"/>
            </w:pPr>
            <w:r>
              <w:rPr>
                <w:rFonts w:hint="eastAsia" w:ascii="宋体" w:hAnsi="宋体" w:cs="宋体"/>
                <w:sz w:val="20"/>
              </w:rPr>
              <w:t>是否属于小、微企业或监狱企业</w:t>
            </w:r>
          </w:p>
        </w:tc>
        <w:tc>
          <w:tcPr>
            <w:tcW w:w="1303" w:type="dxa"/>
            <w:noWrap w:val="0"/>
            <w:vAlign w:val="center"/>
          </w:tcPr>
          <w:p>
            <w:pPr>
              <w:jc w:val="center"/>
            </w:pPr>
            <w:r>
              <w:rPr>
                <w:rFonts w:hint="eastAsia" w:ascii="宋体" w:hAnsi="宋体" w:cs="宋体"/>
                <w:spacing w:val="4"/>
                <w:sz w:val="20"/>
              </w:rPr>
              <w:t>是否属于节能、环保产品</w:t>
            </w:r>
          </w:p>
        </w:tc>
        <w:tc>
          <w:tcPr>
            <w:tcW w:w="1303" w:type="dxa"/>
            <w:noWrap w:val="0"/>
            <w:vAlign w:val="center"/>
          </w:tcPr>
          <w:p>
            <w:pPr>
              <w:jc w:val="center"/>
            </w:pPr>
            <w:r>
              <w:rPr>
                <w:rFonts w:ascii="宋体" w:hAnsi="宋体" w:cs="宋体"/>
                <w:spacing w:val="4"/>
                <w:sz w:val="23"/>
                <w:szCs w:val="23"/>
              </w:rPr>
              <w:t>备</w:t>
            </w:r>
            <w:r>
              <w:rPr>
                <w:rFonts w:ascii="宋体" w:hAnsi="宋体" w:cs="宋体"/>
                <w:spacing w:val="3"/>
                <w:sz w:val="23"/>
                <w:szCs w:val="23"/>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tc>
        <w:tc>
          <w:tcPr>
            <w:tcW w:w="7818" w:type="dxa"/>
            <w:gridSpan w:val="6"/>
            <w:noWrap w:val="0"/>
            <w:vAlign w:val="center"/>
          </w:tcPr>
          <w:p>
            <w:r>
              <w:rPr>
                <w:rFonts w:ascii="宋体" w:hAnsi="宋体" w:cs="宋体"/>
                <w:spacing w:val="2"/>
                <w:sz w:val="23"/>
                <w:szCs w:val="23"/>
              </w:rPr>
              <w:t>分项报价合计 (元) ：</w:t>
            </w:r>
            <w:r>
              <w:rPr>
                <w:rFonts w:ascii="宋体" w:hAnsi="宋体" w:cs="宋体"/>
                <w:spacing w:val="1"/>
                <w:sz w:val="23"/>
                <w:szCs w:val="23"/>
              </w:rPr>
              <w:t xml:space="preserve">        大写：</w:t>
            </w:r>
          </w:p>
        </w:tc>
        <w:tc>
          <w:tcPr>
            <w:tcW w:w="1303" w:type="dxa"/>
            <w:noWrap w:val="0"/>
            <w:vAlign w:val="center"/>
          </w:tcPr>
          <w:p/>
        </w:tc>
        <w:tc>
          <w:tcPr>
            <w:tcW w:w="1303" w:type="dxa"/>
            <w:noWrap w:val="0"/>
            <w:vAlign w:val="center"/>
          </w:tcPr>
          <w:p/>
        </w:tc>
        <w:tc>
          <w:tcPr>
            <w:tcW w:w="1303" w:type="dxa"/>
            <w:noWrap w:val="0"/>
            <w:vAlign w:val="center"/>
          </w:tcPr>
          <w:p/>
        </w:tc>
        <w:tc>
          <w:tcPr>
            <w:tcW w:w="1303" w:type="dxa"/>
            <w:noWrap w:val="0"/>
            <w:vAlign w:val="center"/>
          </w:tcPr>
          <w:p/>
        </w:tc>
      </w:tr>
    </w:tbl>
    <w:p>
      <w:pPr>
        <w:spacing w:line="240" w:lineRule="atLeast"/>
        <w:ind w:left="480"/>
        <w:rPr>
          <w:rFonts w:ascii="宋体" w:hAnsi="宋体" w:cs="宋体"/>
          <w:sz w:val="24"/>
          <w:szCs w:val="24"/>
        </w:rPr>
      </w:pPr>
      <w:r>
        <w:rPr>
          <w:rFonts w:ascii="宋体" w:hAnsi="宋体" w:cs="宋体"/>
          <w:spacing w:val="16"/>
          <w:sz w:val="24"/>
          <w:szCs w:val="24"/>
        </w:rPr>
        <w:t>注</w:t>
      </w:r>
      <w:r>
        <w:rPr>
          <w:rFonts w:ascii="宋体" w:hAnsi="宋体" w:cs="宋体"/>
          <w:spacing w:val="14"/>
          <w:sz w:val="24"/>
          <w:szCs w:val="24"/>
        </w:rPr>
        <w:t>：</w:t>
      </w:r>
      <w:r>
        <w:rPr>
          <w:rFonts w:ascii="宋体" w:hAnsi="宋体" w:cs="宋体"/>
          <w:spacing w:val="8"/>
          <w:sz w:val="24"/>
          <w:szCs w:val="24"/>
        </w:rPr>
        <w:t>1、投标人必须按“分项报价明细表”的格式详细报出投标总价的各个组成部分</w:t>
      </w:r>
      <w:r>
        <w:rPr>
          <w:rFonts w:ascii="宋体" w:hAnsi="宋体" w:cs="宋体"/>
          <w:sz w:val="24"/>
          <w:szCs w:val="24"/>
        </w:rPr>
        <w:t>的报价。</w:t>
      </w:r>
    </w:p>
    <w:p>
      <w:pPr>
        <w:spacing w:line="240" w:lineRule="atLeast"/>
        <w:ind w:left="963"/>
        <w:outlineLvl w:val="1"/>
        <w:rPr>
          <w:rFonts w:ascii="宋体" w:hAnsi="宋体" w:cs="宋体"/>
          <w:sz w:val="24"/>
          <w:szCs w:val="24"/>
        </w:rPr>
      </w:pPr>
      <w:bookmarkStart w:id="181" w:name="_Toc163636283"/>
      <w:r>
        <w:rPr>
          <w:rFonts w:ascii="宋体" w:hAnsi="宋体" w:cs="宋体"/>
          <w:spacing w:val="16"/>
          <w:position w:val="1"/>
          <w:sz w:val="24"/>
          <w:szCs w:val="24"/>
        </w:rPr>
        <w:t>2</w:t>
      </w:r>
      <w:r>
        <w:rPr>
          <w:rFonts w:ascii="宋体" w:hAnsi="宋体" w:cs="宋体"/>
          <w:spacing w:val="9"/>
          <w:position w:val="1"/>
          <w:sz w:val="24"/>
          <w:szCs w:val="24"/>
        </w:rPr>
        <w:t>、“分项报价明细表”各分项报价合计应当与“开标一览表”报价合计相等。</w:t>
      </w:r>
      <w:bookmarkEnd w:id="181"/>
    </w:p>
    <w:p>
      <w:pPr>
        <w:spacing w:line="240" w:lineRule="atLeast"/>
        <w:ind w:left="965"/>
        <w:outlineLvl w:val="1"/>
        <w:rPr>
          <w:rFonts w:ascii="宋体" w:hAnsi="宋体" w:cs="宋体"/>
          <w:spacing w:val="7"/>
          <w:position w:val="1"/>
          <w:sz w:val="24"/>
          <w:szCs w:val="24"/>
        </w:rPr>
      </w:pPr>
      <w:bookmarkStart w:id="182" w:name="_Toc163636284"/>
      <w:r>
        <w:rPr>
          <w:rFonts w:ascii="宋体" w:hAnsi="宋体" w:cs="宋体"/>
          <w:spacing w:val="7"/>
          <w:position w:val="1"/>
          <w:sz w:val="24"/>
          <w:szCs w:val="24"/>
        </w:rPr>
        <w:t>3、需按此格式填写。</w:t>
      </w:r>
      <w:bookmarkEnd w:id="182"/>
    </w:p>
    <w:p>
      <w:pPr>
        <w:spacing w:line="240" w:lineRule="atLeast"/>
        <w:ind w:left="965"/>
        <w:outlineLvl w:val="1"/>
        <w:rPr>
          <w:rFonts w:ascii="宋体" w:hAnsi="宋体" w:cs="宋体"/>
          <w:spacing w:val="7"/>
          <w:position w:val="1"/>
          <w:sz w:val="24"/>
          <w:szCs w:val="24"/>
        </w:rPr>
      </w:pPr>
      <w:bookmarkStart w:id="183" w:name="_Toc163636285"/>
      <w:r>
        <w:rPr>
          <w:rFonts w:hint="eastAsia" w:ascii="宋体" w:hAnsi="宋体" w:cs="宋体"/>
          <w:spacing w:val="7"/>
          <w:position w:val="1"/>
          <w:sz w:val="24"/>
          <w:szCs w:val="24"/>
        </w:rPr>
        <w:t>4、小、微企业产品或监狱企业产品须在明细表中注明，并在投标文件中提供相应证明材料，否则产生的一切后果由投标人承担。</w:t>
      </w:r>
      <w:bookmarkEnd w:id="183"/>
    </w:p>
    <w:p>
      <w:pPr>
        <w:spacing w:line="240" w:lineRule="atLeast"/>
        <w:ind w:left="965"/>
        <w:outlineLvl w:val="1"/>
        <w:rPr>
          <w:rFonts w:ascii="宋体" w:hAnsi="宋体" w:cs="宋体"/>
          <w:spacing w:val="7"/>
          <w:position w:val="1"/>
          <w:sz w:val="24"/>
          <w:szCs w:val="24"/>
        </w:rPr>
      </w:pPr>
      <w:bookmarkStart w:id="184" w:name="_Toc163636286"/>
      <w:r>
        <w:rPr>
          <w:rFonts w:hint="eastAsia" w:ascii="宋体" w:hAnsi="宋体" w:cs="宋体"/>
          <w:spacing w:val="7"/>
          <w:position w:val="1"/>
          <w:sz w:val="24"/>
          <w:szCs w:val="24"/>
        </w:rPr>
        <w:t>5、节能、环保产品需备注注明，同时标明该产品在节能、环保政府采购清单中的页码，并提供复印件或截图，否则产生的一切后果由投标人承担。（不属于节能、环保产品的不需提供）</w:t>
      </w:r>
      <w:bookmarkEnd w:id="184"/>
    </w:p>
    <w:p>
      <w:pPr>
        <w:spacing w:line="400" w:lineRule="exact"/>
        <w:rPr>
          <w:rFonts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pStyle w:val="31"/>
        <w:rPr>
          <w:rFonts w:hint="eastAsia"/>
        </w:rPr>
        <w:sectPr>
          <w:pgSz w:w="16838" w:h="11906" w:orient="landscape"/>
          <w:pgMar w:top="1418" w:right="1361" w:bottom="1134" w:left="1361" w:header="851" w:footer="992" w:gutter="0"/>
          <w:cols w:space="720" w:num="1"/>
          <w:docGrid w:type="lines" w:linePitch="312" w:charSpace="0"/>
        </w:sectPr>
      </w:pPr>
      <w:r>
        <w:rPr>
          <w:rFonts w:hint="eastAsia" w:ascii="宋体" w:hAnsi="宋体" w:cs="宋体"/>
          <w:sz w:val="24"/>
        </w:rPr>
        <w:t>日期</w:t>
      </w:r>
      <w:r>
        <w:rPr>
          <w:rFonts w:hint="eastAsia" w:ascii="宋体" w:hAnsi="宋体" w:cs="宋体"/>
          <w:sz w:val="24"/>
          <w:u w:val="single"/>
        </w:rPr>
        <w:t xml:space="preserve">                                             </w:t>
      </w:r>
    </w:p>
    <w:p>
      <w:pPr>
        <w:pStyle w:val="3"/>
        <w:jc w:val="center"/>
        <w:rPr>
          <w:rFonts w:ascii="宋体" w:hAnsi="宋体" w:eastAsia="宋体" w:cs="宋体"/>
        </w:rPr>
      </w:pPr>
      <w:bookmarkStart w:id="185" w:name="_Toc474492113"/>
      <w:bookmarkStart w:id="186" w:name="_Toc163636287"/>
      <w:r>
        <w:rPr>
          <w:rFonts w:hint="eastAsia" w:ascii="宋体" w:hAnsi="宋体" w:eastAsia="宋体" w:cs="宋体"/>
        </w:rPr>
        <w:t>格式</w:t>
      </w:r>
      <w:r>
        <w:rPr>
          <w:rFonts w:ascii="宋体" w:hAnsi="宋体" w:eastAsia="宋体" w:cs="宋体"/>
        </w:rPr>
        <w:t>4</w:t>
      </w:r>
      <w:r>
        <w:rPr>
          <w:rFonts w:hint="eastAsia" w:ascii="宋体" w:hAnsi="宋体" w:eastAsia="宋体" w:cs="宋体"/>
        </w:rPr>
        <w:t>.技术需求响应/偏离表</w:t>
      </w:r>
      <w:bookmarkEnd w:id="185"/>
      <w:bookmarkEnd w:id="186"/>
    </w:p>
    <w:p>
      <w:pPr>
        <w:adjustRightInd w:val="0"/>
        <w:snapToGrid w:val="0"/>
        <w:spacing w:before="120" w:after="120" w:line="400" w:lineRule="exact"/>
        <w:ind w:left="1200" w:hanging="1200"/>
        <w:rPr>
          <w:rFonts w:hint="eastAsia" w:ascii="宋体" w:hAnsi="宋体"/>
          <w:bCs/>
          <w:snapToGrid w:val="0"/>
          <w:kern w:val="0"/>
          <w:sz w:val="24"/>
          <w:szCs w:val="24"/>
          <w:u w:val="single"/>
        </w:rPr>
      </w:pPr>
      <w:r>
        <w:rPr>
          <w:rFonts w:hint="eastAsia" w:ascii="宋体" w:hAnsi="宋体"/>
          <w:bCs/>
          <w:snapToGrid w:val="0"/>
          <w:kern w:val="0"/>
          <w:sz w:val="24"/>
          <w:szCs w:val="24"/>
        </w:rPr>
        <w:t>项目名称：</w:t>
      </w:r>
      <w:r>
        <w:rPr>
          <w:rFonts w:hint="eastAsia" w:ascii="宋体" w:hAnsi="宋体"/>
          <w:bCs/>
          <w:snapToGrid w:val="0"/>
          <w:kern w:val="0"/>
          <w:sz w:val="24"/>
          <w:szCs w:val="24"/>
          <w:u w:val="single"/>
        </w:rPr>
        <w:t xml:space="preserve">                                    </w:t>
      </w:r>
    </w:p>
    <w:p>
      <w:pPr>
        <w:spacing w:line="460" w:lineRule="exact"/>
        <w:rPr>
          <w:rFonts w:hint="eastAsia" w:ascii="宋体" w:hAnsi="宋体"/>
          <w:b/>
          <w:bCs/>
          <w:sz w:val="24"/>
          <w:szCs w:val="24"/>
          <w:u w:val="single"/>
        </w:rPr>
      </w:pPr>
      <w:r>
        <w:rPr>
          <w:rFonts w:hint="eastAsia" w:ascii="宋体" w:hAnsi="宋体"/>
          <w:bCs/>
          <w:snapToGrid w:val="0"/>
          <w:kern w:val="0"/>
          <w:sz w:val="24"/>
          <w:szCs w:val="24"/>
        </w:rPr>
        <w:t>采购编号：</w:t>
      </w:r>
      <w:r>
        <w:rPr>
          <w:rFonts w:hint="eastAsia" w:ascii="宋体" w:hAnsi="宋体"/>
          <w:bCs/>
          <w:snapToGrid w:val="0"/>
          <w:kern w:val="0"/>
          <w:sz w:val="24"/>
          <w:szCs w:val="24"/>
          <w:u w:val="single"/>
        </w:rPr>
        <w:t xml:space="preserve">                                    </w:t>
      </w:r>
    </w:p>
    <w:p>
      <w:pPr>
        <w:rPr>
          <w:rFonts w:hint="eastAsia"/>
        </w:rPr>
      </w:pPr>
    </w:p>
    <w:tbl>
      <w:tblPr>
        <w:tblStyle w:val="5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266"/>
        <w:gridCol w:w="2073"/>
        <w:gridCol w:w="2268"/>
        <w:gridCol w:w="156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82" w:hRule="atLeast"/>
        </w:trPr>
        <w:tc>
          <w:tcPr>
            <w:tcW w:w="738" w:type="dxa"/>
            <w:noWrap w:val="0"/>
            <w:vAlign w:val="center"/>
          </w:tcPr>
          <w:p>
            <w:pPr>
              <w:spacing w:line="400" w:lineRule="exact"/>
              <w:jc w:val="center"/>
              <w:rPr>
                <w:rFonts w:hint="eastAsia" w:ascii="宋体" w:hAnsi="宋体" w:cs="宋体"/>
                <w:sz w:val="24"/>
              </w:rPr>
            </w:pPr>
            <w:r>
              <w:rPr>
                <w:rFonts w:hint="eastAsia" w:ascii="宋体" w:hAnsi="宋体" w:cs="宋体"/>
                <w:sz w:val="24"/>
              </w:rPr>
              <w:t>序号</w:t>
            </w:r>
          </w:p>
        </w:tc>
        <w:tc>
          <w:tcPr>
            <w:tcW w:w="1266"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招标文件条目号</w:t>
            </w:r>
          </w:p>
        </w:tc>
        <w:tc>
          <w:tcPr>
            <w:tcW w:w="2073"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招标技术需求</w:t>
            </w:r>
          </w:p>
        </w:tc>
        <w:tc>
          <w:tcPr>
            <w:tcW w:w="2268" w:type="dxa"/>
            <w:noWrap w:val="0"/>
            <w:vAlign w:val="center"/>
          </w:tcPr>
          <w:p>
            <w:pPr>
              <w:spacing w:line="400" w:lineRule="exact"/>
              <w:jc w:val="center"/>
              <w:rPr>
                <w:rFonts w:hint="eastAsia" w:ascii="宋体" w:hAnsi="宋体" w:cs="宋体"/>
                <w:sz w:val="24"/>
              </w:rPr>
            </w:pPr>
            <w:r>
              <w:rPr>
                <w:rFonts w:hint="eastAsia" w:ascii="宋体" w:hAnsi="宋体" w:cs="宋体"/>
                <w:sz w:val="24"/>
              </w:rPr>
              <w:t>投标技术响应</w:t>
            </w:r>
          </w:p>
        </w:tc>
        <w:tc>
          <w:tcPr>
            <w:tcW w:w="1560" w:type="dxa"/>
            <w:noWrap w:val="0"/>
            <w:vAlign w:val="center"/>
          </w:tcPr>
          <w:p>
            <w:pPr>
              <w:spacing w:line="400" w:lineRule="exact"/>
              <w:jc w:val="center"/>
              <w:rPr>
                <w:rFonts w:hint="eastAsia" w:ascii="宋体" w:hAnsi="宋体" w:cs="宋体"/>
                <w:sz w:val="24"/>
              </w:rPr>
            </w:pPr>
            <w:r>
              <w:rPr>
                <w:rFonts w:hint="eastAsia" w:ascii="宋体" w:hAnsi="宋体" w:cs="宋体"/>
                <w:sz w:val="24"/>
              </w:rPr>
              <w:t>响应/偏离</w:t>
            </w:r>
          </w:p>
        </w:tc>
        <w:tc>
          <w:tcPr>
            <w:tcW w:w="1417" w:type="dxa"/>
            <w:noWrap w:val="0"/>
            <w:vAlign w:val="center"/>
          </w:tcPr>
          <w:p>
            <w:pPr>
              <w:spacing w:line="400" w:lineRule="exact"/>
              <w:jc w:val="center"/>
              <w:rPr>
                <w:rFonts w:hint="eastAsia" w:ascii="宋体" w:hAnsi="宋体" w:cs="宋体"/>
                <w:sz w:val="24"/>
              </w:rPr>
            </w:pPr>
            <w:r>
              <w:rPr>
                <w:rFonts w:hint="eastAsia" w:ascii="宋体" w:hAnsi="宋体" w:cs="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15"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15"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bl>
    <w:p>
      <w:pPr>
        <w:spacing w:line="400" w:lineRule="exact"/>
        <w:ind w:firstLine="480" w:firstLineChars="200"/>
        <w:rPr>
          <w:rFonts w:hint="eastAsia" w:ascii="宋体" w:hAnsi="宋体" w:cs="宋体"/>
          <w:sz w:val="24"/>
        </w:rPr>
      </w:pPr>
    </w:p>
    <w:p>
      <w:pPr>
        <w:rPr>
          <w:rFonts w:hint="eastAsia" w:ascii="宋体" w:hAnsi="宋体" w:cs="宋体"/>
          <w:sz w:val="24"/>
          <w:szCs w:val="24"/>
        </w:rPr>
      </w:pPr>
      <w:r>
        <w:rPr>
          <w:rFonts w:hint="eastAsia" w:ascii="宋体" w:hAnsi="宋体" w:cs="宋体"/>
          <w:b/>
          <w:sz w:val="24"/>
          <w:szCs w:val="24"/>
        </w:rPr>
        <w:t>注：</w:t>
      </w:r>
      <w:r>
        <w:rPr>
          <w:rFonts w:hint="eastAsia" w:ascii="宋体" w:hAnsi="宋体" w:cs="宋体"/>
          <w:sz w:val="24"/>
          <w:szCs w:val="24"/>
        </w:rPr>
        <w:t xml:space="preserve"> 1、投标单位应对照招标文件技术规格，逐条说明所提供服务已对招标文件的技术规范做出了响应或偏离。2、投标单位所投服务如与招标文件要求的规格及配置不一致，则需在上表说明栏中注明。</w:t>
      </w:r>
      <w:bookmarkStart w:id="187" w:name="_Toc136162860"/>
      <w:r>
        <w:rPr>
          <w:rFonts w:hint="eastAsia" w:ascii="宋体" w:hAnsi="宋体" w:cs="宋体"/>
          <w:sz w:val="24"/>
          <w:szCs w:val="24"/>
        </w:rPr>
        <w:t>3、如不按要求填写，产生的一切后果由投标单位负责。</w:t>
      </w:r>
      <w:bookmarkEnd w:id="187"/>
    </w:p>
    <w:p>
      <w:pPr>
        <w:spacing w:line="432" w:lineRule="auto"/>
        <w:rPr>
          <w:rFonts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szCs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szCs w:val="24"/>
        </w:rPr>
        <w:t xml:space="preserve">                 </w:t>
      </w:r>
    </w:p>
    <w:p>
      <w:pPr>
        <w:pStyle w:val="3"/>
        <w:jc w:val="center"/>
        <w:rPr>
          <w:rFonts w:hint="eastAsia" w:ascii="宋体" w:hAnsi="宋体" w:eastAsia="宋体" w:cs="宋体"/>
        </w:rPr>
      </w:pPr>
      <w:bookmarkStart w:id="188" w:name="_Toc163636288"/>
      <w:bookmarkStart w:id="189" w:name="_Toc474492114"/>
      <w:r>
        <w:rPr>
          <w:rFonts w:hint="eastAsia" w:ascii="宋体" w:hAnsi="宋体" w:eastAsia="宋体" w:cs="宋体"/>
        </w:rPr>
        <w:t>格式</w:t>
      </w:r>
      <w:r>
        <w:rPr>
          <w:rFonts w:ascii="宋体" w:hAnsi="宋体" w:eastAsia="宋体" w:cs="宋体"/>
        </w:rPr>
        <w:t>5</w:t>
      </w:r>
      <w:r>
        <w:rPr>
          <w:rFonts w:hint="eastAsia" w:ascii="宋体" w:hAnsi="宋体" w:eastAsia="宋体" w:cs="宋体"/>
        </w:rPr>
        <w:t>.商务条款响应/偏离表</w:t>
      </w:r>
      <w:bookmarkEnd w:id="188"/>
      <w:bookmarkEnd w:id="189"/>
    </w:p>
    <w:p>
      <w:pPr>
        <w:adjustRightInd w:val="0"/>
        <w:snapToGrid w:val="0"/>
        <w:spacing w:before="120" w:after="120" w:line="400" w:lineRule="exact"/>
        <w:ind w:left="1200" w:hanging="1200"/>
        <w:rPr>
          <w:rFonts w:hint="eastAsia" w:ascii="宋体" w:hAnsi="宋体"/>
          <w:bCs/>
          <w:snapToGrid w:val="0"/>
          <w:kern w:val="0"/>
          <w:sz w:val="24"/>
          <w:szCs w:val="24"/>
          <w:u w:val="single"/>
        </w:rPr>
      </w:pPr>
      <w:r>
        <w:rPr>
          <w:rFonts w:hint="eastAsia" w:ascii="宋体" w:hAnsi="宋体"/>
          <w:bCs/>
          <w:snapToGrid w:val="0"/>
          <w:kern w:val="0"/>
          <w:sz w:val="24"/>
          <w:szCs w:val="24"/>
        </w:rPr>
        <w:t>项目名称：</w:t>
      </w:r>
      <w:r>
        <w:rPr>
          <w:rFonts w:hint="eastAsia" w:ascii="宋体" w:hAnsi="宋体"/>
          <w:bCs/>
          <w:snapToGrid w:val="0"/>
          <w:kern w:val="0"/>
          <w:sz w:val="24"/>
          <w:szCs w:val="24"/>
          <w:u w:val="single"/>
        </w:rPr>
        <w:t xml:space="preserve">                                    </w:t>
      </w:r>
    </w:p>
    <w:p>
      <w:pPr>
        <w:spacing w:line="460" w:lineRule="exact"/>
        <w:rPr>
          <w:rFonts w:hint="eastAsia" w:ascii="宋体" w:hAnsi="宋体"/>
          <w:b/>
          <w:bCs/>
          <w:sz w:val="24"/>
          <w:szCs w:val="24"/>
          <w:u w:val="single"/>
        </w:rPr>
      </w:pPr>
      <w:r>
        <w:rPr>
          <w:rFonts w:hint="eastAsia" w:ascii="宋体" w:hAnsi="宋体"/>
          <w:bCs/>
          <w:snapToGrid w:val="0"/>
          <w:kern w:val="0"/>
          <w:sz w:val="24"/>
          <w:szCs w:val="24"/>
        </w:rPr>
        <w:t>采购编号：</w:t>
      </w:r>
      <w:r>
        <w:rPr>
          <w:rFonts w:hint="eastAsia" w:ascii="宋体" w:hAnsi="宋体"/>
          <w:bCs/>
          <w:snapToGrid w:val="0"/>
          <w:kern w:val="0"/>
          <w:sz w:val="24"/>
          <w:szCs w:val="24"/>
          <w:u w:val="single"/>
        </w:rPr>
        <w:t xml:space="preserve">                                    </w:t>
      </w:r>
    </w:p>
    <w:p>
      <w:pPr>
        <w:spacing w:line="400" w:lineRule="exact"/>
        <w:rPr>
          <w:rFonts w:hint="eastAsia" w:ascii="宋体" w:hAnsi="宋体" w:cs="宋体"/>
          <w:sz w:val="24"/>
          <w:u w:val="single"/>
        </w:rPr>
      </w:pPr>
    </w:p>
    <w:tbl>
      <w:tblPr>
        <w:tblStyle w:val="51"/>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974"/>
        <w:gridCol w:w="2457"/>
        <w:gridCol w:w="2457"/>
        <w:gridCol w:w="97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center"/>
          </w:tcPr>
          <w:p>
            <w:pPr>
              <w:spacing w:line="400" w:lineRule="exact"/>
              <w:jc w:val="center"/>
              <w:rPr>
                <w:rFonts w:hint="eastAsia" w:ascii="宋体" w:hAnsi="宋体" w:cs="宋体"/>
                <w:sz w:val="24"/>
              </w:rPr>
            </w:pPr>
            <w:r>
              <w:rPr>
                <w:rFonts w:hint="eastAsia" w:ascii="宋体" w:hAnsi="宋体" w:cs="宋体"/>
                <w:sz w:val="24"/>
              </w:rPr>
              <w:t>序号</w:t>
            </w:r>
          </w:p>
        </w:tc>
        <w:tc>
          <w:tcPr>
            <w:tcW w:w="1974"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招标文件条目号</w:t>
            </w:r>
          </w:p>
        </w:tc>
        <w:tc>
          <w:tcPr>
            <w:tcW w:w="2457"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招标文件的商务条款</w:t>
            </w:r>
          </w:p>
        </w:tc>
        <w:tc>
          <w:tcPr>
            <w:tcW w:w="2457" w:type="dxa"/>
            <w:noWrap w:val="0"/>
            <w:vAlign w:val="center"/>
          </w:tcPr>
          <w:p>
            <w:pPr>
              <w:spacing w:line="400" w:lineRule="exact"/>
              <w:jc w:val="center"/>
              <w:rPr>
                <w:rFonts w:hint="eastAsia" w:ascii="宋体" w:hAnsi="宋体" w:cs="宋体"/>
                <w:sz w:val="24"/>
              </w:rPr>
            </w:pPr>
            <w:r>
              <w:rPr>
                <w:rFonts w:hint="eastAsia" w:ascii="宋体" w:hAnsi="宋体" w:cs="宋体"/>
                <w:sz w:val="24"/>
              </w:rPr>
              <w:t>投标文件的商务响应</w:t>
            </w:r>
          </w:p>
        </w:tc>
        <w:tc>
          <w:tcPr>
            <w:tcW w:w="975" w:type="dxa"/>
            <w:noWrap w:val="0"/>
            <w:vAlign w:val="center"/>
          </w:tcPr>
          <w:p>
            <w:pPr>
              <w:spacing w:line="400" w:lineRule="exact"/>
              <w:jc w:val="center"/>
              <w:rPr>
                <w:rFonts w:hint="eastAsia" w:ascii="宋体" w:hAnsi="宋体" w:cs="宋体"/>
                <w:sz w:val="24"/>
              </w:rPr>
            </w:pPr>
            <w:r>
              <w:rPr>
                <w:rFonts w:hint="eastAsia" w:ascii="宋体" w:hAnsi="宋体" w:cs="宋体"/>
                <w:sz w:val="24"/>
              </w:rPr>
              <w:t>响应/偏离</w:t>
            </w:r>
          </w:p>
        </w:tc>
        <w:tc>
          <w:tcPr>
            <w:tcW w:w="900" w:type="dxa"/>
            <w:noWrap w:val="0"/>
            <w:vAlign w:val="center"/>
          </w:tcPr>
          <w:p>
            <w:pPr>
              <w:spacing w:line="400" w:lineRule="exact"/>
              <w:jc w:val="center"/>
              <w:rPr>
                <w:rFonts w:hint="eastAsia" w:ascii="宋体" w:hAnsi="宋体" w:cs="宋体"/>
                <w:sz w:val="24"/>
              </w:rPr>
            </w:pPr>
            <w:r>
              <w:rPr>
                <w:rFonts w:hint="eastAsia" w:ascii="宋体" w:hAnsi="宋体" w:cs="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bl>
    <w:p>
      <w:pPr>
        <w:rPr>
          <w:rFonts w:hint="eastAsia" w:ascii="宋体" w:hAnsi="宋体" w:cs="宋体"/>
          <w:sz w:val="24"/>
          <w:szCs w:val="24"/>
        </w:rPr>
      </w:pPr>
      <w:r>
        <w:rPr>
          <w:rFonts w:hint="eastAsia" w:ascii="宋体" w:hAnsi="宋体" w:cs="宋体"/>
          <w:b/>
          <w:sz w:val="24"/>
          <w:szCs w:val="24"/>
        </w:rPr>
        <w:t>注：</w:t>
      </w:r>
      <w:r>
        <w:rPr>
          <w:rFonts w:hint="eastAsia" w:ascii="宋体" w:hAnsi="宋体" w:cs="宋体"/>
          <w:sz w:val="24"/>
          <w:szCs w:val="24"/>
        </w:rPr>
        <w:t>1、投标单位应对照招标文件要求的商务条款内容，逐条说明已对招标文件要求的商务条款作出了响应或偏离；2、投标单位所投服务如与招标文件要求的商务条款不一致，则需在上表说明栏中注明；3、如不按要求填写，产生的一切后果由投标单位负责。</w:t>
      </w:r>
    </w:p>
    <w:p>
      <w:pPr>
        <w:spacing w:line="400" w:lineRule="exact"/>
        <w:ind w:firstLine="540"/>
        <w:rPr>
          <w:rFonts w:hint="eastAsia" w:ascii="宋体" w:hAnsi="宋体" w:cs="宋体"/>
          <w:sz w:val="28"/>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pStyle w:val="2"/>
        <w:jc w:val="center"/>
        <w:rPr>
          <w:rFonts w:hint="eastAsia" w:hAnsi="宋体" w:cs="宋体"/>
          <w:b/>
        </w:rPr>
      </w:pPr>
      <w:r>
        <w:rPr>
          <w:rFonts w:hint="eastAsia" w:hAnsi="宋体" w:cs="宋体"/>
          <w:sz w:val="24"/>
          <w:u w:val="single"/>
        </w:rPr>
        <w:br w:type="page"/>
      </w:r>
      <w:bookmarkStart w:id="190" w:name="_Toc163636289"/>
      <w:r>
        <w:rPr>
          <w:rFonts w:hAnsi="宋体" w:cs="宋体"/>
          <w:b/>
        </w:rPr>
        <w:t>6</w:t>
      </w:r>
      <w:r>
        <w:rPr>
          <w:rFonts w:hint="eastAsia" w:hAnsi="宋体" w:cs="宋体"/>
          <w:b/>
        </w:rPr>
        <w:t>、投标人应当提交的资格、资信证明文件</w:t>
      </w:r>
      <w:bookmarkEnd w:id="190"/>
    </w:p>
    <w:p>
      <w:pPr>
        <w:rPr>
          <w:rFonts w:hint="eastAsia" w:ascii="宋体" w:hAnsi="宋体" w:cs="宋体"/>
          <w:b/>
          <w:i/>
          <w:sz w:val="24"/>
          <w:szCs w:val="24"/>
        </w:rPr>
      </w:pPr>
      <w:bookmarkStart w:id="191" w:name="_Toc494292928"/>
      <w:bookmarkStart w:id="192" w:name="_Toc494138640"/>
    </w:p>
    <w:bookmarkEnd w:id="191"/>
    <w:bookmarkEnd w:id="192"/>
    <w:p>
      <w:pPr>
        <w:pStyle w:val="31"/>
        <w:rPr>
          <w:rFonts w:hint="eastAsia"/>
        </w:rPr>
      </w:pPr>
    </w:p>
    <w:p>
      <w:pPr>
        <w:pStyle w:val="2"/>
        <w:jc w:val="center"/>
        <w:rPr>
          <w:rFonts w:hAnsi="宋体" w:cs="宋体"/>
          <w:b/>
        </w:rPr>
      </w:pPr>
      <w:bookmarkStart w:id="193" w:name="_Toc163636290"/>
      <w:bookmarkStart w:id="194" w:name="_Toc494138645"/>
      <w:bookmarkStart w:id="195" w:name="_Toc494292933"/>
      <w:r>
        <w:rPr>
          <w:rFonts w:hAnsi="宋体" w:cs="宋体"/>
          <w:b/>
        </w:rPr>
        <w:t>6.1</w:t>
      </w:r>
      <w:r>
        <w:rPr>
          <w:rFonts w:hint="eastAsia" w:hAnsi="宋体" w:cs="宋体"/>
          <w:b/>
        </w:rPr>
        <w:t>、江西省政府采购供应商资格信用承诺函</w:t>
      </w:r>
      <w:bookmarkEnd w:id="193"/>
    </w:p>
    <w:p>
      <w:pPr>
        <w:pStyle w:val="154"/>
        <w:spacing w:line="610" w:lineRule="exact"/>
        <w:ind w:firstLine="0"/>
        <w:jc w:val="both"/>
        <w:rPr>
          <w:color w:val="auto"/>
          <w:sz w:val="24"/>
          <w:szCs w:val="24"/>
          <w:u w:val="single"/>
          <w:lang w:val="en-US" w:eastAsia="zh-CN"/>
        </w:rPr>
      </w:pPr>
      <w:r>
        <w:rPr>
          <w:color w:val="auto"/>
          <w:sz w:val="24"/>
          <w:szCs w:val="24"/>
        </w:rPr>
        <w:t>致（采购人或政府采购代理机构）:</w:t>
      </w:r>
    </w:p>
    <w:p>
      <w:pPr>
        <w:pStyle w:val="154"/>
        <w:spacing w:line="610" w:lineRule="exact"/>
        <w:ind w:firstLine="480" w:firstLineChars="200"/>
        <w:jc w:val="both"/>
        <w:rPr>
          <w:color w:val="auto"/>
          <w:sz w:val="24"/>
          <w:szCs w:val="24"/>
          <w:u w:val="single"/>
          <w:lang w:val="en-US" w:eastAsia="zh-CN"/>
        </w:rPr>
      </w:pPr>
      <w:r>
        <w:rPr>
          <w:color w:val="auto"/>
          <w:sz w:val="24"/>
          <w:szCs w:val="24"/>
        </w:rPr>
        <w:t>单位名称（自然人姓名）:</w:t>
      </w:r>
    </w:p>
    <w:p>
      <w:pPr>
        <w:pStyle w:val="154"/>
        <w:spacing w:line="610" w:lineRule="exact"/>
        <w:ind w:firstLine="480" w:firstLineChars="200"/>
        <w:jc w:val="both"/>
        <w:rPr>
          <w:color w:val="auto"/>
          <w:sz w:val="24"/>
          <w:szCs w:val="24"/>
          <w:u w:val="single"/>
          <w:lang w:val="en-US" w:eastAsia="zh-CN"/>
        </w:rPr>
      </w:pPr>
      <w:r>
        <w:rPr>
          <w:color w:val="auto"/>
          <w:sz w:val="24"/>
          <w:szCs w:val="24"/>
        </w:rPr>
        <w:t>统一社会信用代码（身份证号码）：</w:t>
      </w:r>
    </w:p>
    <w:p>
      <w:pPr>
        <w:pStyle w:val="154"/>
        <w:spacing w:line="610" w:lineRule="exact"/>
        <w:ind w:firstLine="480" w:firstLineChars="200"/>
        <w:jc w:val="both"/>
        <w:rPr>
          <w:color w:val="auto"/>
          <w:sz w:val="24"/>
          <w:szCs w:val="24"/>
          <w:u w:val="single"/>
          <w:lang w:val="en-US" w:eastAsia="zh-CN"/>
        </w:rPr>
      </w:pPr>
      <w:r>
        <w:rPr>
          <w:color w:val="auto"/>
          <w:sz w:val="24"/>
          <w:szCs w:val="24"/>
        </w:rPr>
        <w:t>法定代表人（负责人）：</w:t>
      </w:r>
    </w:p>
    <w:p>
      <w:pPr>
        <w:pStyle w:val="154"/>
        <w:spacing w:line="610" w:lineRule="exact"/>
        <w:ind w:firstLine="480" w:firstLineChars="200"/>
        <w:jc w:val="both"/>
        <w:rPr>
          <w:color w:val="auto"/>
          <w:sz w:val="24"/>
          <w:szCs w:val="24"/>
          <w:u w:val="single"/>
          <w:lang w:val="en-US" w:eastAsia="zh-CN"/>
        </w:rPr>
      </w:pPr>
      <w:r>
        <w:rPr>
          <w:color w:val="auto"/>
          <w:sz w:val="24"/>
          <w:szCs w:val="24"/>
        </w:rPr>
        <w:t>联系地址和电话：</w:t>
      </w:r>
    </w:p>
    <w:p>
      <w:pPr>
        <w:pStyle w:val="154"/>
        <w:spacing w:line="600" w:lineRule="exact"/>
        <w:ind w:firstLine="480" w:firstLineChars="200"/>
        <w:jc w:val="both"/>
        <w:rPr>
          <w:color w:val="auto"/>
          <w:sz w:val="24"/>
          <w:szCs w:val="24"/>
        </w:rPr>
      </w:pPr>
      <w:r>
        <w:rPr>
          <w:color w:val="auto"/>
          <w:sz w:val="24"/>
          <w:szCs w:val="24"/>
        </w:rPr>
        <w:t>我单位（本人）自愿参加本次政府采购活动，严格遵守《中华人民共和国政府采购法》及相关法律法规，坚守公开、公平、公正和诚实信用等原则，依法诚信经营，并郑重承诺：</w:t>
      </w:r>
    </w:p>
    <w:p>
      <w:pPr>
        <w:pStyle w:val="154"/>
        <w:spacing w:line="610" w:lineRule="exact"/>
        <w:ind w:firstLine="480" w:firstLineChars="200"/>
        <w:jc w:val="both"/>
        <w:rPr>
          <w:color w:val="auto"/>
          <w:sz w:val="24"/>
          <w:szCs w:val="24"/>
        </w:rPr>
      </w:pPr>
      <w:r>
        <w:rPr>
          <w:color w:val="auto"/>
          <w:sz w:val="24"/>
          <w:szCs w:val="24"/>
        </w:rPr>
        <w:t>（一）我单位（本人）符合采购文件要求以及《中华人民共和国政府采购法》第二十二条规定的条件：</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1、</w:t>
      </w:r>
      <w:r>
        <w:rPr>
          <w:color w:val="auto"/>
          <w:sz w:val="24"/>
          <w:szCs w:val="24"/>
        </w:rPr>
        <w:t>具有独立承担民事责任的能力；</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2、</w:t>
      </w:r>
      <w:r>
        <w:rPr>
          <w:color w:val="auto"/>
          <w:sz w:val="24"/>
          <w:szCs w:val="24"/>
        </w:rPr>
        <w:t>具有良好的商业信誉和健全的财务会计制度；</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3、</w:t>
      </w:r>
      <w:r>
        <w:rPr>
          <w:color w:val="auto"/>
          <w:sz w:val="24"/>
          <w:szCs w:val="24"/>
        </w:rPr>
        <w:t>具有履行合同所必需的设备和专业技术能力；</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4、</w:t>
      </w:r>
      <w:r>
        <w:rPr>
          <w:color w:val="auto"/>
          <w:sz w:val="24"/>
          <w:szCs w:val="24"/>
        </w:rPr>
        <w:t>有依法缴纳税收和社会保障资金的良好记录；</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5、</w:t>
      </w:r>
      <w:r>
        <w:rPr>
          <w:color w:val="auto"/>
          <w:sz w:val="24"/>
          <w:szCs w:val="24"/>
        </w:rPr>
        <w:t>参加政府采购活动前三年内，在经营活动中没有重大违法记录；</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6、</w:t>
      </w:r>
      <w:r>
        <w:rPr>
          <w:color w:val="auto"/>
          <w:sz w:val="24"/>
          <w:szCs w:val="24"/>
        </w:rPr>
        <w:t>符合法律、行政法规规定的其他条件。</w:t>
      </w:r>
    </w:p>
    <w:p>
      <w:pPr>
        <w:pStyle w:val="154"/>
        <w:spacing w:line="653" w:lineRule="exact"/>
        <w:ind w:firstLine="480" w:firstLineChars="200"/>
        <w:jc w:val="both"/>
        <w:rPr>
          <w:color w:val="auto"/>
          <w:sz w:val="24"/>
          <w:szCs w:val="24"/>
        </w:rPr>
      </w:pPr>
      <w:r>
        <w:rPr>
          <w:color w:val="auto"/>
          <w:sz w:val="24"/>
          <w:szCs w:val="24"/>
        </w:rPr>
        <w:t>（二）我单位（本人）未被列入严重失信主体名单、失信被执行人、</w:t>
      </w:r>
      <w:r>
        <w:rPr>
          <w:rFonts w:hint="eastAsia"/>
          <w:color w:val="auto"/>
          <w:sz w:val="24"/>
          <w:szCs w:val="24"/>
          <w:lang w:val="en-US" w:eastAsia="zh-CN"/>
        </w:rPr>
        <w:t>税收违法黑名单</w:t>
      </w:r>
      <w:r>
        <w:rPr>
          <w:rFonts w:hint="eastAsia"/>
          <w:color w:val="auto"/>
          <w:sz w:val="24"/>
          <w:szCs w:val="24"/>
          <w:lang w:eastAsia="zh-CN"/>
        </w:rPr>
        <w:t>（</w:t>
      </w:r>
      <w:r>
        <w:rPr>
          <w:rFonts w:hint="eastAsia"/>
          <w:color w:val="auto"/>
          <w:sz w:val="24"/>
          <w:szCs w:val="24"/>
          <w:lang w:val="en-US" w:eastAsia="zh-CN"/>
        </w:rPr>
        <w:t>重大</w:t>
      </w:r>
      <w:r>
        <w:rPr>
          <w:color w:val="auto"/>
          <w:sz w:val="24"/>
          <w:szCs w:val="24"/>
        </w:rPr>
        <w:t>税收违法</w:t>
      </w:r>
      <w:r>
        <w:rPr>
          <w:rFonts w:hint="eastAsia"/>
          <w:color w:val="auto"/>
          <w:sz w:val="24"/>
          <w:szCs w:val="24"/>
          <w:lang w:val="en-US" w:eastAsia="zh-CN"/>
        </w:rPr>
        <w:t>失信主体）</w:t>
      </w:r>
      <w:r>
        <w:rPr>
          <w:color w:val="auto"/>
          <w:sz w:val="24"/>
          <w:szCs w:val="24"/>
        </w:rPr>
        <w:t>、政府采购严重违法失信行为记录名单。</w:t>
      </w:r>
    </w:p>
    <w:p>
      <w:pPr>
        <w:pStyle w:val="154"/>
        <w:spacing w:after="580" w:line="605" w:lineRule="exact"/>
        <w:ind w:firstLine="480" w:firstLineChars="200"/>
        <w:jc w:val="both"/>
        <w:rPr>
          <w:color w:val="auto"/>
          <w:sz w:val="24"/>
          <w:szCs w:val="24"/>
        </w:rPr>
      </w:pPr>
      <w:r>
        <w:rPr>
          <w:color w:val="auto"/>
          <w:sz w:val="24"/>
          <w:szCs w:val="24"/>
        </w:rPr>
        <w:t xml:space="preserve">我单位（本人）对本承诺函及所承诺事项的真实性、合法性及有效性负责，并已知晓如所作信用承诺不实，可能涉嫌《中华人民共和国政府采购法》第七十七条第一款第（一）项规定的 </w:t>
      </w:r>
      <w:r>
        <w:rPr>
          <w:color w:val="auto"/>
          <w:sz w:val="24"/>
          <w:szCs w:val="24"/>
          <w:lang w:val="zh-CN" w:eastAsia="zh-CN" w:bidi="zh-CN"/>
        </w:rPr>
        <w:t>“提供</w:t>
      </w:r>
      <w:r>
        <w:rPr>
          <w:color w:val="auto"/>
          <w:sz w:val="24"/>
          <w:szCs w:val="24"/>
        </w:rPr>
        <w:t>虚假材料谋取中标、成交”违法情形。经调查属实的，自觉接受政府采购行政监管部门按照《中华人民共和国政府采购法》第七十七条：</w:t>
      </w:r>
      <w:r>
        <w:rPr>
          <w:color w:val="auto"/>
          <w:sz w:val="24"/>
          <w:szCs w:val="24"/>
          <w:lang w:val="zh-CN" w:eastAsia="zh-CN" w:bidi="zh-CN"/>
        </w:rPr>
        <w:t>“处</w:t>
      </w:r>
      <w:r>
        <w:rPr>
          <w:color w:val="auto"/>
          <w:sz w:val="24"/>
          <w:szCs w:val="24"/>
        </w:rPr>
        <w:t>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pPr>
        <w:pStyle w:val="154"/>
        <w:spacing w:line="605" w:lineRule="exact"/>
        <w:ind w:firstLine="0"/>
        <w:jc w:val="center"/>
        <w:rPr>
          <w:color w:val="auto"/>
          <w:sz w:val="24"/>
          <w:szCs w:val="24"/>
          <w:u w:val="single"/>
          <w:lang w:val="en-US" w:eastAsia="zh-CN"/>
        </w:rPr>
      </w:pPr>
      <w:r>
        <w:rPr>
          <w:color w:val="auto"/>
          <w:sz w:val="24"/>
          <w:szCs w:val="24"/>
        </w:rPr>
        <w:t>供应商名称（单位公章）：</w:t>
      </w:r>
    </w:p>
    <w:p>
      <w:pPr>
        <w:pStyle w:val="154"/>
        <w:spacing w:line="605" w:lineRule="exact"/>
        <w:ind w:firstLine="0"/>
        <w:jc w:val="center"/>
        <w:rPr>
          <w:color w:val="auto"/>
          <w:sz w:val="24"/>
          <w:szCs w:val="24"/>
          <w:u w:val="single"/>
          <w:lang w:val="en-US" w:eastAsia="zh-CN"/>
        </w:rPr>
      </w:pPr>
      <w:r>
        <w:rPr>
          <w:color w:val="auto"/>
          <w:sz w:val="24"/>
          <w:szCs w:val="24"/>
        </w:rPr>
        <w:t>或自然人（签字）：</w:t>
      </w:r>
    </w:p>
    <w:p>
      <w:pPr>
        <w:pStyle w:val="154"/>
        <w:spacing w:after="520" w:line="605" w:lineRule="exact"/>
        <w:ind w:firstLine="0"/>
        <w:jc w:val="right"/>
        <w:rPr>
          <w:color w:val="auto"/>
          <w:sz w:val="24"/>
          <w:szCs w:val="24"/>
          <w:lang w:val="en-US" w:eastAsia="zh-CN"/>
        </w:rPr>
      </w:pPr>
    </w:p>
    <w:p>
      <w:pPr>
        <w:pStyle w:val="154"/>
        <w:spacing w:after="520" w:line="605" w:lineRule="exact"/>
        <w:ind w:firstLine="0"/>
        <w:jc w:val="center"/>
        <w:rPr>
          <w:color w:val="auto"/>
          <w:sz w:val="24"/>
          <w:szCs w:val="24"/>
        </w:rPr>
      </w:pPr>
      <w:r>
        <w:rPr>
          <w:color w:val="auto"/>
          <w:sz w:val="24"/>
          <w:szCs w:val="24"/>
        </w:rPr>
        <w:t>年月日</w:t>
      </w:r>
    </w:p>
    <w:p>
      <w:pPr>
        <w:pStyle w:val="155"/>
        <w:spacing w:line="602" w:lineRule="exact"/>
        <w:jc w:val="both"/>
        <w:rPr>
          <w:color w:val="auto"/>
          <w:sz w:val="24"/>
          <w:szCs w:val="24"/>
        </w:rPr>
      </w:pPr>
      <w:r>
        <w:rPr>
          <w:color w:val="auto"/>
          <w:sz w:val="24"/>
          <w:szCs w:val="24"/>
        </w:rPr>
        <w:t>注:</w:t>
      </w:r>
    </w:p>
    <w:p>
      <w:pPr>
        <w:pStyle w:val="155"/>
        <w:spacing w:line="602" w:lineRule="exact"/>
        <w:jc w:val="both"/>
        <w:rPr>
          <w:color w:val="auto"/>
          <w:sz w:val="24"/>
          <w:szCs w:val="24"/>
        </w:rPr>
      </w:pPr>
      <w:r>
        <w:rPr>
          <w:rFonts w:hint="eastAsia"/>
          <w:color w:val="auto"/>
          <w:sz w:val="24"/>
          <w:szCs w:val="24"/>
          <w:lang w:val="en-US" w:eastAsia="zh-CN"/>
        </w:rPr>
        <w:t>1、</w:t>
      </w:r>
      <w:r>
        <w:rPr>
          <w:color w:val="auto"/>
          <w:sz w:val="24"/>
          <w:szCs w:val="24"/>
        </w:rPr>
        <w:t>我单位（本人）专指参加政府采购活动的供应商（含自然人）</w:t>
      </w:r>
    </w:p>
    <w:p>
      <w:pPr>
        <w:spacing w:line="420" w:lineRule="exact"/>
        <w:ind w:left="12" w:hanging="12" w:hangingChars="5"/>
        <w:rPr>
          <w:rFonts w:ascii="宋体" w:hAnsi="宋体" w:cs="宋体"/>
          <w:sz w:val="24"/>
          <w:szCs w:val="24"/>
        </w:rPr>
      </w:pPr>
      <w:r>
        <w:rPr>
          <w:rFonts w:hint="eastAsia" w:ascii="宋体" w:hAnsi="宋体" w:cs="宋体"/>
          <w:sz w:val="24"/>
          <w:szCs w:val="24"/>
        </w:rPr>
        <w:t>2、</w:t>
      </w:r>
      <w:r>
        <w:rPr>
          <w:rFonts w:ascii="宋体" w:hAnsi="宋体" w:cs="宋体"/>
          <w:sz w:val="24"/>
          <w:szCs w:val="24"/>
        </w:rPr>
        <w:t>供应商须在投标文件中按此模板提供承诺函，既未提供</w:t>
      </w:r>
      <w:r>
        <w:rPr>
          <w:rFonts w:hint="eastAsia" w:ascii="宋体" w:hAnsi="宋体" w:cs="宋体"/>
          <w:sz w:val="24"/>
          <w:szCs w:val="24"/>
        </w:rPr>
        <w:t>上</w:t>
      </w:r>
      <w:r>
        <w:rPr>
          <w:rFonts w:ascii="宋体" w:hAnsi="宋体" w:cs="宋体"/>
          <w:sz w:val="24"/>
          <w:szCs w:val="24"/>
        </w:rPr>
        <w:t>述承诺函又未提供对应事项证明材料的，视为未实质响应招标文件要求，按无效投标处理</w:t>
      </w:r>
      <w:r>
        <w:rPr>
          <w:rFonts w:hint="eastAsia" w:ascii="宋体" w:hAnsi="宋体" w:cs="宋体"/>
          <w:sz w:val="24"/>
          <w:szCs w:val="24"/>
        </w:rPr>
        <w:t>。</w:t>
      </w:r>
    </w:p>
    <w:p>
      <w:pPr>
        <w:spacing w:line="420" w:lineRule="exact"/>
        <w:ind w:left="12" w:hanging="12" w:hangingChars="5"/>
        <w:rPr>
          <w:rFonts w:ascii="宋体" w:hAnsi="宋体" w:cs="宋体"/>
          <w:sz w:val="24"/>
          <w:szCs w:val="24"/>
        </w:rPr>
      </w:pPr>
      <w:r>
        <w:rPr>
          <w:rFonts w:hint="eastAsia" w:ascii="宋体" w:hAnsi="宋体" w:cs="宋体"/>
          <w:sz w:val="24"/>
          <w:szCs w:val="24"/>
        </w:rPr>
        <w:t>3、采购人可以在公告中标结果后、签订政府采购合同前, 核实中标供应商所作信用承诺事项的真实性。</w:t>
      </w:r>
    </w:p>
    <w:p>
      <w:pPr>
        <w:spacing w:before="78" w:line="360" w:lineRule="auto"/>
        <w:ind w:left="40"/>
        <w:outlineLvl w:val="1"/>
        <w:rPr>
          <w:rFonts w:ascii="宋体" w:hAnsi="宋体" w:cs="宋体"/>
          <w:b/>
          <w:bCs/>
          <w:spacing w:val="-46"/>
          <w:sz w:val="24"/>
          <w:szCs w:val="24"/>
        </w:rPr>
      </w:pPr>
      <w:r>
        <w:br w:type="page"/>
      </w:r>
      <w:bookmarkStart w:id="196" w:name="_Toc163636291"/>
      <w:r>
        <w:rPr>
          <w:rFonts w:hint="eastAsia" w:ascii="宋体" w:hAnsi="宋体" w:cs="宋体"/>
          <w:b/>
          <w:bCs/>
          <w:sz w:val="24"/>
          <w:szCs w:val="24"/>
        </w:rPr>
        <w:t>说明：如投标人提供了《江西省政府采购供应商资格信用承诺函》的，视同提供了“满足《中华人民共和国政府采购法》第二十二条规定须提供的证明文件”中（1）～（6）资格要求的证明材料，无需再提供下列项证明文件</w:t>
      </w:r>
      <w:r>
        <w:rPr>
          <w:rFonts w:hint="eastAsia" w:ascii="宋体" w:hAnsi="宋体" w:cs="宋体"/>
          <w:b/>
          <w:sz w:val="24"/>
          <w:szCs w:val="24"/>
        </w:rPr>
        <w:t>。</w:t>
      </w:r>
      <w:bookmarkEnd w:id="196"/>
    </w:p>
    <w:p>
      <w:pPr>
        <w:spacing w:line="276" w:lineRule="auto"/>
        <w:ind w:left="40"/>
        <w:outlineLvl w:val="1"/>
        <w:rPr>
          <w:rFonts w:ascii="宋体" w:hAnsi="宋体" w:cs="宋体"/>
          <w:sz w:val="24"/>
          <w:szCs w:val="24"/>
        </w:rPr>
      </w:pPr>
      <w:bookmarkStart w:id="197" w:name="_Toc163636292"/>
      <w:r>
        <w:rPr>
          <w:rFonts w:hint="eastAsia" w:ascii="宋体" w:hAnsi="宋体" w:cs="宋体"/>
          <w:b/>
          <w:bCs/>
          <w:spacing w:val="-46"/>
          <w:sz w:val="24"/>
          <w:szCs w:val="24"/>
        </w:rPr>
        <w:t>1、</w:t>
      </w:r>
      <w:r>
        <w:rPr>
          <w:rFonts w:ascii="宋体" w:hAnsi="宋体" w:cs="宋体"/>
          <w:spacing w:val="-1"/>
          <w:sz w:val="24"/>
          <w:szCs w:val="24"/>
        </w:rPr>
        <w:t>具有独立承担民事责任的能力的资格证明文件</w:t>
      </w:r>
      <w:bookmarkEnd w:id="197"/>
    </w:p>
    <w:p>
      <w:pPr>
        <w:spacing w:line="276" w:lineRule="auto"/>
        <w:ind w:left="456" w:right="99" w:firstLine="4"/>
      </w:pPr>
      <w:r>
        <w:rPr>
          <w:rFonts w:ascii="宋体" w:hAnsi="宋体" w:cs="宋体"/>
          <w:spacing w:val="-1"/>
          <w:sz w:val="24"/>
          <w:szCs w:val="24"/>
        </w:rPr>
        <w:t>如投标人是企业的（包括合伙企业）应提供有效的“企业法人营业执照”或“营</w:t>
      </w:r>
      <w:r>
        <w:rPr>
          <w:rFonts w:ascii="宋体" w:hAnsi="宋体" w:cs="宋体"/>
          <w:spacing w:val="-2"/>
          <w:sz w:val="24"/>
          <w:szCs w:val="24"/>
        </w:rPr>
        <w:t>业执照”；如投标人是事业单位的应提供“事业单位法人证书”；如投标人是非</w:t>
      </w:r>
      <w:r>
        <w:rPr>
          <w:rFonts w:ascii="宋体" w:hAnsi="宋体" w:cs="宋体"/>
          <w:sz w:val="24"/>
          <w:szCs w:val="24"/>
        </w:rPr>
        <w:t>企业专业服务机构的应提供执业许可证等证明文件；投标人是个体工商户的应提</w:t>
      </w:r>
      <w:r>
        <w:rPr>
          <w:rFonts w:ascii="宋体" w:hAnsi="宋体" w:cs="宋体"/>
          <w:spacing w:val="-1"/>
          <w:sz w:val="24"/>
          <w:szCs w:val="24"/>
        </w:rPr>
        <w:t>供有效的“个体工商户营业执照”、组织机构代码证证明文件（实行“统一社会信用代码”的不需单独提供组织机构代码证</w:t>
      </w:r>
      <w:r>
        <w:rPr>
          <w:rFonts w:ascii="宋体" w:hAnsi="宋体" w:cs="宋体"/>
          <w:spacing w:val="7"/>
          <w:sz w:val="24"/>
          <w:szCs w:val="24"/>
        </w:rPr>
        <w:t>）；</w:t>
      </w:r>
      <w:r>
        <w:rPr>
          <w:rFonts w:ascii="宋体" w:hAnsi="宋体" w:cs="宋体"/>
          <w:spacing w:val="-1"/>
          <w:sz w:val="24"/>
          <w:szCs w:val="24"/>
        </w:rPr>
        <w:t>如投标人是自然人的，应提供有效的自然人的身份证明(中国公民)。</w:t>
      </w:r>
    </w:p>
    <w:p>
      <w:pPr>
        <w:spacing w:line="276" w:lineRule="auto"/>
        <w:ind w:left="37"/>
        <w:outlineLvl w:val="1"/>
        <w:rPr>
          <w:rFonts w:ascii="宋体" w:hAnsi="宋体" w:cs="宋体"/>
          <w:sz w:val="24"/>
          <w:szCs w:val="24"/>
        </w:rPr>
      </w:pPr>
      <w:bookmarkStart w:id="198" w:name="bookmark62"/>
      <w:bookmarkEnd w:id="198"/>
      <w:bookmarkStart w:id="199" w:name="_Toc163636293"/>
      <w:r>
        <w:rPr>
          <w:rFonts w:hint="eastAsia" w:ascii="宋体" w:hAnsi="宋体" w:cs="宋体"/>
          <w:b/>
          <w:bCs/>
          <w:spacing w:val="-46"/>
          <w:sz w:val="24"/>
          <w:szCs w:val="24"/>
        </w:rPr>
        <w:t>2、</w:t>
      </w:r>
      <w:r>
        <w:rPr>
          <w:rFonts w:ascii="宋体" w:hAnsi="宋体" w:cs="宋体"/>
          <w:spacing w:val="-1"/>
          <w:sz w:val="24"/>
          <w:szCs w:val="24"/>
        </w:rPr>
        <w:t>具有良好的商业信誉和健全的财务会计制度的证明文件</w:t>
      </w:r>
      <w:bookmarkEnd w:id="199"/>
    </w:p>
    <w:p>
      <w:pPr>
        <w:spacing w:line="276" w:lineRule="auto"/>
        <w:ind w:left="457" w:right="99" w:firstLine="2"/>
      </w:pPr>
      <w:r>
        <w:rPr>
          <w:rFonts w:ascii="宋体" w:hAnsi="宋体" w:cs="宋体"/>
          <w:sz w:val="24"/>
          <w:szCs w:val="24"/>
        </w:rPr>
        <w:t>投标人是法人的，提供开标前二个年度内任一年度经审计的财务状况报告，或在开标前三个月内其基本开户银行出具的资信证明；其他组织和自然人，没有经审计的财务报告，可以提供在开标前三个月内银行出具的资信证明；个体工商户提</w:t>
      </w:r>
      <w:r>
        <w:rPr>
          <w:rFonts w:ascii="宋体" w:hAnsi="宋体" w:cs="宋体"/>
          <w:spacing w:val="-1"/>
          <w:sz w:val="24"/>
          <w:szCs w:val="24"/>
        </w:rPr>
        <w:t>供开标前三个月中国人民银行征信中心开具个人信用报告。</w:t>
      </w:r>
    </w:p>
    <w:p>
      <w:pPr>
        <w:spacing w:line="276" w:lineRule="auto"/>
        <w:ind w:left="37"/>
        <w:outlineLvl w:val="1"/>
        <w:rPr>
          <w:rFonts w:ascii="宋体" w:hAnsi="宋体" w:cs="宋体"/>
          <w:sz w:val="24"/>
          <w:szCs w:val="24"/>
        </w:rPr>
      </w:pPr>
      <w:bookmarkStart w:id="200" w:name="bookmark63"/>
      <w:bookmarkEnd w:id="200"/>
      <w:bookmarkStart w:id="201" w:name="_Toc163636294"/>
      <w:r>
        <w:rPr>
          <w:rFonts w:ascii="宋体" w:hAnsi="宋体" w:cs="宋体"/>
          <w:sz w:val="24"/>
          <w:szCs w:val="24"/>
        </w:rPr>
        <w:t>3</w:t>
      </w:r>
      <w:r>
        <w:rPr>
          <w:rFonts w:hint="eastAsia" w:ascii="宋体" w:hAnsi="宋体" w:cs="宋体"/>
          <w:sz w:val="24"/>
          <w:szCs w:val="24"/>
        </w:rPr>
        <w:t>、</w:t>
      </w:r>
      <w:r>
        <w:rPr>
          <w:rFonts w:ascii="宋体" w:hAnsi="宋体" w:cs="宋体"/>
          <w:sz w:val="24"/>
          <w:szCs w:val="24"/>
        </w:rPr>
        <w:t>具有履行合同所必需的设备和专业技术能力的证明</w:t>
      </w:r>
      <w:r>
        <w:rPr>
          <w:rFonts w:ascii="宋体" w:hAnsi="宋体" w:cs="宋体"/>
          <w:spacing w:val="-1"/>
          <w:sz w:val="24"/>
          <w:szCs w:val="24"/>
        </w:rPr>
        <w:t>文件</w:t>
      </w:r>
      <w:bookmarkEnd w:id="201"/>
    </w:p>
    <w:p>
      <w:pPr>
        <w:spacing w:line="276" w:lineRule="auto"/>
        <w:ind w:firstLine="480" w:firstLineChars="200"/>
      </w:pPr>
      <w:r>
        <w:rPr>
          <w:rFonts w:ascii="宋体" w:hAnsi="宋体" w:cs="宋体"/>
          <w:sz w:val="24"/>
          <w:szCs w:val="24"/>
        </w:rPr>
        <w:t>投标人提供具有履行合同所必须的设备和专业</w:t>
      </w:r>
      <w:r>
        <w:rPr>
          <w:rFonts w:ascii="宋体" w:hAnsi="宋体" w:cs="宋体"/>
          <w:spacing w:val="-1"/>
          <w:sz w:val="24"/>
          <w:szCs w:val="24"/>
        </w:rPr>
        <w:t>技术能力的承诺函</w:t>
      </w:r>
      <w:r>
        <w:rPr>
          <w:rFonts w:ascii="宋体" w:hAnsi="宋体" w:cs="宋体"/>
          <w:spacing w:val="-2"/>
          <w:sz w:val="24"/>
          <w:szCs w:val="24"/>
        </w:rPr>
        <w:t>；</w:t>
      </w:r>
    </w:p>
    <w:p>
      <w:pPr>
        <w:spacing w:line="276" w:lineRule="auto"/>
        <w:ind w:left="37"/>
        <w:outlineLvl w:val="1"/>
        <w:rPr>
          <w:rFonts w:ascii="宋体" w:hAnsi="宋体" w:cs="宋体"/>
          <w:sz w:val="24"/>
          <w:szCs w:val="24"/>
        </w:rPr>
      </w:pPr>
      <w:bookmarkStart w:id="202" w:name="bookmark64"/>
      <w:bookmarkEnd w:id="202"/>
      <w:bookmarkStart w:id="203" w:name="_Toc163636295"/>
      <w:r>
        <w:rPr>
          <w:rFonts w:ascii="宋体" w:hAnsi="宋体" w:cs="宋体"/>
          <w:sz w:val="24"/>
          <w:szCs w:val="24"/>
        </w:rPr>
        <w:t>4</w:t>
      </w:r>
      <w:r>
        <w:rPr>
          <w:rFonts w:hint="eastAsia" w:ascii="宋体" w:hAnsi="宋体" w:cs="宋体"/>
          <w:sz w:val="24"/>
          <w:szCs w:val="24"/>
        </w:rPr>
        <w:t>、</w:t>
      </w:r>
      <w:r>
        <w:rPr>
          <w:rFonts w:ascii="宋体" w:hAnsi="宋体" w:cs="宋体"/>
          <w:sz w:val="24"/>
          <w:szCs w:val="24"/>
        </w:rPr>
        <w:t>有依法缴纳税收和社会保障资金的良好记录的证明文件</w:t>
      </w:r>
      <w:bookmarkEnd w:id="203"/>
    </w:p>
    <w:p>
      <w:pPr>
        <w:spacing w:line="276" w:lineRule="auto"/>
        <w:ind w:left="463" w:right="99" w:hanging="7"/>
        <w:rPr>
          <w:rFonts w:ascii="宋体" w:hAnsi="宋体" w:cs="宋体"/>
          <w:sz w:val="24"/>
          <w:szCs w:val="24"/>
        </w:rPr>
      </w:pPr>
      <w:r>
        <w:rPr>
          <w:rFonts w:ascii="宋体" w:hAnsi="宋体" w:cs="宋体"/>
          <w:spacing w:val="-1"/>
          <w:sz w:val="24"/>
          <w:szCs w:val="24"/>
        </w:rPr>
        <w:t>税务登记证（实行“统一社会信用代码”的不需单独提供）和开标前六个月内任</w:t>
      </w:r>
      <w:r>
        <w:rPr>
          <w:rFonts w:ascii="宋体" w:hAnsi="宋体" w:cs="宋体"/>
          <w:spacing w:val="-2"/>
          <w:sz w:val="24"/>
          <w:szCs w:val="24"/>
        </w:rPr>
        <w:t>意一个月的企业缴税凭证或证明；</w:t>
      </w:r>
    </w:p>
    <w:p>
      <w:pPr>
        <w:spacing w:line="276" w:lineRule="auto"/>
        <w:ind w:left="455" w:right="99" w:firstLine="2"/>
      </w:pPr>
      <w:r>
        <w:rPr>
          <w:rFonts w:ascii="宋体" w:hAnsi="宋体" w:cs="宋体"/>
          <w:sz w:val="24"/>
          <w:szCs w:val="24"/>
        </w:rPr>
        <w:t>开标前六个月内任意一个月的缴纳社会保障资金的凭证或当地社会保障局出具的缴纳明细。依法免税或不需要缴纳社会保障资金的投标人，应当提供相关文件证</w:t>
      </w:r>
      <w:r>
        <w:rPr>
          <w:rFonts w:ascii="宋体" w:hAnsi="宋体" w:cs="宋体"/>
          <w:spacing w:val="-1"/>
          <w:sz w:val="24"/>
          <w:szCs w:val="24"/>
        </w:rPr>
        <w:t>明其依法免税或不需要缴纳社会保障资金。</w:t>
      </w:r>
    </w:p>
    <w:p>
      <w:pPr>
        <w:spacing w:line="276" w:lineRule="auto"/>
        <w:ind w:left="37"/>
        <w:outlineLvl w:val="1"/>
        <w:rPr>
          <w:rFonts w:ascii="宋体" w:hAnsi="宋体" w:cs="宋体"/>
          <w:sz w:val="24"/>
          <w:szCs w:val="24"/>
        </w:rPr>
      </w:pPr>
      <w:bookmarkStart w:id="204" w:name="bookmark65"/>
      <w:bookmarkEnd w:id="204"/>
      <w:bookmarkStart w:id="205" w:name="_Toc163636296"/>
      <w:r>
        <w:rPr>
          <w:rFonts w:ascii="宋体" w:hAnsi="宋体" w:cs="宋体"/>
          <w:sz w:val="24"/>
          <w:szCs w:val="24"/>
        </w:rPr>
        <w:t>5</w:t>
      </w:r>
      <w:r>
        <w:rPr>
          <w:rFonts w:hint="eastAsia" w:ascii="宋体" w:hAnsi="宋体" w:cs="宋体"/>
          <w:sz w:val="24"/>
          <w:szCs w:val="24"/>
        </w:rPr>
        <w:t>、</w:t>
      </w:r>
      <w:r>
        <w:rPr>
          <w:rFonts w:ascii="宋体" w:hAnsi="宋体" w:cs="宋体"/>
          <w:sz w:val="24"/>
          <w:szCs w:val="24"/>
        </w:rPr>
        <w:t>参加政府采购前三年内，在经营活动中没有重大</w:t>
      </w:r>
      <w:r>
        <w:rPr>
          <w:rFonts w:ascii="宋体" w:hAnsi="宋体" w:cs="宋体"/>
          <w:spacing w:val="-1"/>
          <w:sz w:val="24"/>
          <w:szCs w:val="24"/>
        </w:rPr>
        <w:t>违法记录的证明文件</w:t>
      </w:r>
      <w:bookmarkEnd w:id="205"/>
    </w:p>
    <w:p>
      <w:pPr>
        <w:spacing w:line="276" w:lineRule="auto"/>
        <w:ind w:left="458" w:right="99" w:hanging="59"/>
        <w:rPr>
          <w:rFonts w:ascii="宋体" w:hAnsi="宋体" w:cs="宋体"/>
          <w:spacing w:val="-1"/>
          <w:sz w:val="24"/>
          <w:szCs w:val="24"/>
        </w:rPr>
      </w:pPr>
      <w:r>
        <w:rPr>
          <w:rFonts w:ascii="宋体" w:hAnsi="宋体" w:cs="宋体"/>
          <w:sz w:val="24"/>
          <w:szCs w:val="24"/>
        </w:rPr>
        <w:t>参加政府采购前三年内,在经营活动中没有重大违法记录承</w:t>
      </w:r>
      <w:r>
        <w:rPr>
          <w:rFonts w:ascii="宋体" w:hAnsi="宋体" w:cs="宋体"/>
          <w:spacing w:val="-1"/>
          <w:sz w:val="24"/>
          <w:szCs w:val="24"/>
        </w:rPr>
        <w:t>诺函</w:t>
      </w:r>
      <w:r>
        <w:rPr>
          <w:rFonts w:ascii="宋体" w:hAnsi="宋体" w:cs="宋体"/>
          <w:spacing w:val="-18"/>
          <w:sz w:val="24"/>
          <w:szCs w:val="24"/>
        </w:rPr>
        <w:t>；</w:t>
      </w:r>
      <w:r>
        <w:rPr>
          <w:rFonts w:ascii="宋体" w:hAnsi="宋体" w:cs="宋体"/>
          <w:sz w:val="24"/>
          <w:szCs w:val="24"/>
        </w:rPr>
        <w:t>重大违法记录，是指投标人因违法经营受到刑事处罚或者责令停产停业、吊销许</w:t>
      </w:r>
      <w:r>
        <w:rPr>
          <w:rFonts w:ascii="宋体" w:hAnsi="宋体" w:cs="宋体"/>
          <w:spacing w:val="-1"/>
          <w:sz w:val="24"/>
          <w:szCs w:val="24"/>
        </w:rPr>
        <w:t>可证或者执照、较大罚款等行政处罚。</w:t>
      </w:r>
    </w:p>
    <w:p>
      <w:pPr>
        <w:spacing w:line="276" w:lineRule="auto"/>
        <w:ind w:right="99"/>
        <w:rPr>
          <w:rFonts w:ascii="仿宋" w:hAnsi="仿宋" w:eastAsia="仿宋" w:cs="仿宋"/>
        </w:rPr>
      </w:pPr>
      <w:r>
        <w:rPr>
          <w:rFonts w:hint="eastAsia" w:ascii="宋体" w:hAnsi="宋体" w:cs="宋体"/>
          <w:sz w:val="24"/>
          <w:szCs w:val="24"/>
        </w:rPr>
        <w:t>6、法律、行政法规规定的其他条件的证明文件</w:t>
      </w:r>
    </w:p>
    <w:p>
      <w:pPr>
        <w:pStyle w:val="3"/>
        <w:spacing w:before="0" w:after="0" w:line="420" w:lineRule="exact"/>
        <w:ind w:left="1084" w:hanging="1084" w:hangingChars="400"/>
        <w:jc w:val="center"/>
        <w:rPr>
          <w:rFonts w:hint="eastAsia" w:ascii="宋体" w:hAnsi="宋体" w:eastAsia="宋体" w:cs="宋体"/>
          <w:sz w:val="28"/>
          <w:szCs w:val="28"/>
        </w:rPr>
      </w:pPr>
      <w:r>
        <w:rPr>
          <w:rFonts w:ascii="仿宋" w:hAnsi="仿宋" w:eastAsia="仿宋" w:cs="仿宋"/>
          <w:sz w:val="27"/>
          <w:szCs w:val="27"/>
        </w:rPr>
        <w:br w:type="page"/>
      </w:r>
      <w:bookmarkStart w:id="206" w:name="_Toc163636297"/>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-2. 法定代表人授权书</w:t>
      </w:r>
      <w:bookmarkEnd w:id="194"/>
      <w:bookmarkEnd w:id="195"/>
      <w:bookmarkEnd w:id="206"/>
    </w:p>
    <w:p>
      <w:pPr>
        <w:spacing w:line="432" w:lineRule="auto"/>
        <w:jc w:val="center"/>
        <w:rPr>
          <w:rFonts w:hint="eastAsia" w:ascii="宋体" w:hAnsi="宋体" w:cs="宋体"/>
          <w:sz w:val="24"/>
        </w:rPr>
      </w:pPr>
    </w:p>
    <w:p>
      <w:pPr>
        <w:spacing w:line="440" w:lineRule="exact"/>
        <w:rPr>
          <w:rFonts w:hint="eastAsia" w:ascii="宋体" w:hAnsi="宋体" w:cs="宋体"/>
          <w:sz w:val="28"/>
          <w:szCs w:val="28"/>
        </w:rPr>
      </w:pPr>
      <w:r>
        <w:rPr>
          <w:rFonts w:hint="eastAsia" w:ascii="宋体" w:hAnsi="宋体" w:cs="宋体"/>
          <w:sz w:val="24"/>
          <w:szCs w:val="24"/>
        </w:rPr>
        <w:t>致：江西中铖工程管理有限公司</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（投标人全称）法定代表人</w:t>
      </w:r>
      <w:r>
        <w:rPr>
          <w:rFonts w:hint="eastAsia" w:ascii="宋体" w:hAnsi="宋体" w:cs="宋体"/>
          <w:sz w:val="24"/>
          <w:u w:val="single"/>
        </w:rPr>
        <w:t xml:space="preserve">           </w:t>
      </w:r>
      <w:r>
        <w:rPr>
          <w:rFonts w:hint="eastAsia" w:ascii="宋体" w:hAnsi="宋体" w:cs="宋体"/>
          <w:sz w:val="24"/>
        </w:rPr>
        <w:t>授权</w:t>
      </w:r>
      <w:r>
        <w:rPr>
          <w:rFonts w:hint="eastAsia" w:ascii="宋体" w:hAnsi="宋体" w:cs="宋体"/>
          <w:sz w:val="24"/>
          <w:u w:val="single"/>
        </w:rPr>
        <w:t xml:space="preserve">         </w:t>
      </w:r>
      <w:r>
        <w:rPr>
          <w:rFonts w:hint="eastAsia" w:ascii="宋体" w:hAnsi="宋体" w:cs="宋体"/>
          <w:sz w:val="24"/>
        </w:rPr>
        <w:t>（全权代表姓名）为全权代表,参加贵处组织的</w:t>
      </w:r>
      <w:r>
        <w:rPr>
          <w:rFonts w:hint="eastAsia" w:ascii="宋体" w:hAnsi="宋体" w:cs="宋体"/>
          <w:sz w:val="24"/>
          <w:u w:val="single"/>
        </w:rPr>
        <w:t xml:space="preserve"> </w:t>
      </w:r>
      <w:r>
        <w:rPr>
          <w:rFonts w:hint="eastAsia" w:ascii="宋体" w:hAnsi="宋体" w:cs="宋体"/>
          <w:i/>
          <w:spacing w:val="-2"/>
          <w:sz w:val="24"/>
          <w:u w:val="single"/>
        </w:rPr>
        <w:t>（项目名称、招标编号）</w:t>
      </w:r>
      <w:r>
        <w:rPr>
          <w:rFonts w:hint="eastAsia" w:ascii="宋体" w:hAnsi="宋体" w:cs="宋体"/>
          <w:sz w:val="24"/>
        </w:rPr>
        <w:t>项目招标活动，全权代表我方处理招标活动中的一切事宜。</w:t>
      </w:r>
    </w:p>
    <w:p>
      <w:pPr>
        <w:spacing w:line="440" w:lineRule="exact"/>
        <w:rPr>
          <w:rFonts w:hint="eastAsia" w:ascii="宋体" w:hAnsi="宋体" w:cs="宋体"/>
          <w:sz w:val="24"/>
        </w:rPr>
      </w:pPr>
    </w:p>
    <w:p>
      <w:pPr>
        <w:spacing w:line="440" w:lineRule="exact"/>
        <w:rPr>
          <w:rFonts w:hint="eastAsia" w:ascii="宋体" w:hAnsi="宋体" w:cs="宋体"/>
          <w:sz w:val="24"/>
        </w:rPr>
      </w:pP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法定代表人签字或盖章：</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投标人签章：</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日  期：</w:t>
      </w:r>
    </w:p>
    <w:p>
      <w:pPr>
        <w:spacing w:line="440" w:lineRule="exact"/>
        <w:rPr>
          <w:rFonts w:hint="eastAsia" w:ascii="宋体" w:hAnsi="宋体" w:cs="宋体"/>
          <w:sz w:val="24"/>
        </w:rPr>
      </w:pP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附：</w:t>
      </w:r>
    </w:p>
    <w:p>
      <w:pPr>
        <w:spacing w:line="440" w:lineRule="exact"/>
        <w:rPr>
          <w:rFonts w:hint="eastAsia" w:ascii="宋体" w:hAnsi="宋体" w:cs="宋体"/>
          <w:sz w:val="24"/>
          <w:u w:val="single"/>
        </w:rPr>
      </w:pPr>
      <w:r>
        <w:rPr>
          <w:rFonts w:hint="eastAsia" w:ascii="宋体" w:hAnsi="宋体" w:cs="宋体"/>
          <w:sz w:val="24"/>
        </w:rPr>
        <w:t>全权代表姓名：</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职        务：</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电        话：</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详细通讯地址：</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邮 政 编 码 ：</w:t>
      </w:r>
      <w:r>
        <w:rPr>
          <w:rFonts w:hint="eastAsia" w:ascii="宋体" w:hAnsi="宋体" w:cs="宋体"/>
          <w:sz w:val="24"/>
          <w:u w:val="single"/>
        </w:rPr>
        <w:t xml:space="preserve">                   </w:t>
      </w:r>
    </w:p>
    <w:p>
      <w:pPr>
        <w:rPr>
          <w:rFonts w:hint="eastAsia" w:ascii="宋体" w:hAnsi="宋体" w:cs="宋体"/>
        </w:rPr>
      </w:pPr>
    </w:p>
    <w:p>
      <w:pPr>
        <w:spacing w:line="440" w:lineRule="exact"/>
        <w:rPr>
          <w:rFonts w:hint="eastAsia" w:ascii="宋体" w:hAnsi="宋体" w:cs="宋体"/>
        </w:rPr>
      </w:pPr>
    </w:p>
    <w:p>
      <w:pPr>
        <w:spacing w:line="440" w:lineRule="exact"/>
        <w:rPr>
          <w:rFonts w:hint="eastAsia" w:ascii="宋体" w:hAnsi="宋体" w:cs="宋体"/>
        </w:rPr>
      </w:pPr>
    </w:p>
    <w:p>
      <w:pPr>
        <w:spacing w:line="440" w:lineRule="exact"/>
        <w:rPr>
          <w:rFonts w:hint="eastAsia" w:ascii="宋体" w:hAnsi="宋体" w:cs="宋体"/>
        </w:rPr>
      </w:pPr>
    </w:p>
    <w:p>
      <w:pPr>
        <w:rPr>
          <w:rFonts w:hint="eastAsia" w:ascii="宋体" w:hAnsi="宋体" w:cs="宋体"/>
          <w:b/>
          <w:sz w:val="24"/>
        </w:rPr>
        <w:sectPr>
          <w:footerReference r:id="rId15" w:type="default"/>
          <w:footerReference r:id="rId16" w:type="even"/>
          <w:pgSz w:w="11906" w:h="16838"/>
          <w:pgMar w:top="1418" w:right="1247" w:bottom="1418" w:left="1814" w:header="851" w:footer="992" w:gutter="0"/>
          <w:cols w:space="720" w:num="1"/>
          <w:docGrid w:linePitch="312" w:charSpace="0"/>
        </w:sectPr>
      </w:pPr>
      <w:r>
        <w:rPr>
          <w:rFonts w:hint="eastAsia" w:ascii="宋体" w:hAnsi="宋体" w:cs="宋体"/>
          <w:b/>
          <w:sz w:val="24"/>
        </w:rPr>
        <w:t>附：法定代表人身份证及被授权人身份证（正、反面扫描件）</w:t>
      </w:r>
    </w:p>
    <w:p>
      <w:pPr>
        <w:pStyle w:val="3"/>
        <w:spacing w:before="0" w:after="0" w:line="420" w:lineRule="exact"/>
        <w:ind w:left="1124" w:hanging="1124" w:hangingChars="400"/>
        <w:jc w:val="center"/>
        <w:rPr>
          <w:rFonts w:hint="eastAsia" w:ascii="宋体" w:hAnsi="宋体" w:eastAsia="宋体" w:cs="宋体"/>
          <w:sz w:val="28"/>
          <w:szCs w:val="28"/>
        </w:rPr>
      </w:pPr>
      <w:bookmarkStart w:id="207" w:name="_Toc494292934"/>
      <w:bookmarkStart w:id="208" w:name="_Toc163636298"/>
      <w:bookmarkStart w:id="209" w:name="_Toc494138646"/>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-3．投标人的资格声明</w:t>
      </w:r>
      <w:bookmarkEnd w:id="207"/>
      <w:bookmarkEnd w:id="208"/>
      <w:bookmarkEnd w:id="209"/>
    </w:p>
    <w:p>
      <w:pPr>
        <w:spacing w:line="440" w:lineRule="exact"/>
        <w:rPr>
          <w:rFonts w:hint="eastAsia" w:ascii="宋体" w:hAnsi="宋体" w:cs="宋体"/>
          <w:sz w:val="28"/>
          <w:szCs w:val="28"/>
        </w:rPr>
      </w:pPr>
      <w:r>
        <w:rPr>
          <w:rFonts w:hint="eastAsia" w:ascii="宋体" w:hAnsi="宋体" w:cs="宋体"/>
          <w:sz w:val="28"/>
          <w:szCs w:val="28"/>
        </w:rPr>
        <w:t>致：</w:t>
      </w:r>
    </w:p>
    <w:p>
      <w:pPr>
        <w:spacing w:line="560" w:lineRule="exact"/>
        <w:ind w:left="2" w:firstLine="476" w:firstLineChars="202"/>
        <w:rPr>
          <w:rFonts w:hint="eastAsia" w:ascii="宋体" w:hAnsi="宋体" w:cs="宋体"/>
          <w:spacing w:val="-2"/>
          <w:sz w:val="24"/>
        </w:rPr>
      </w:pPr>
    </w:p>
    <w:p>
      <w:pPr>
        <w:spacing w:line="560" w:lineRule="exact"/>
        <w:ind w:left="2" w:firstLine="476" w:firstLineChars="202"/>
        <w:rPr>
          <w:rFonts w:hint="eastAsia" w:ascii="宋体" w:hAnsi="宋体" w:cs="宋体"/>
          <w:sz w:val="24"/>
        </w:rPr>
      </w:pPr>
      <w:r>
        <w:rPr>
          <w:rFonts w:hint="eastAsia" w:ascii="宋体" w:hAnsi="宋体" w:cs="宋体"/>
          <w:spacing w:val="-2"/>
          <w:sz w:val="24"/>
        </w:rPr>
        <w:t>为响应贵方</w:t>
      </w:r>
      <w:r>
        <w:rPr>
          <w:rFonts w:hint="eastAsia" w:ascii="宋体" w:hAnsi="宋体" w:cs="宋体"/>
          <w:i/>
          <w:spacing w:val="-2"/>
          <w:sz w:val="24"/>
          <w:u w:val="single"/>
        </w:rPr>
        <w:t>（项目名称、招标编号）</w:t>
      </w:r>
      <w:r>
        <w:rPr>
          <w:rFonts w:hint="eastAsia" w:ascii="宋体" w:hAnsi="宋体" w:cs="宋体"/>
          <w:spacing w:val="-2"/>
          <w:sz w:val="24"/>
        </w:rPr>
        <w:t>投标邀请，下述签字人愿参与投标，提供采购需求表和采购要求</w:t>
      </w:r>
      <w:r>
        <w:rPr>
          <w:rFonts w:hint="eastAsia" w:ascii="宋体" w:hAnsi="宋体" w:cs="宋体"/>
          <w:sz w:val="24"/>
          <w:szCs w:val="24"/>
        </w:rPr>
        <w:t>规定的相关服务</w:t>
      </w:r>
      <w:r>
        <w:rPr>
          <w:rFonts w:hint="eastAsia" w:ascii="宋体" w:hAnsi="宋体" w:cs="宋体"/>
          <w:spacing w:val="-2"/>
          <w:sz w:val="24"/>
        </w:rPr>
        <w:t>，提交下述文件并声明全</w:t>
      </w:r>
      <w:r>
        <w:rPr>
          <w:rFonts w:hint="eastAsia" w:ascii="宋体" w:hAnsi="宋体" w:cs="宋体"/>
          <w:sz w:val="24"/>
        </w:rPr>
        <w:t>部说明是真实的和正确的。</w:t>
      </w:r>
    </w:p>
    <w:p>
      <w:pPr>
        <w:spacing w:line="560" w:lineRule="exact"/>
        <w:ind w:firstLine="240" w:firstLineChars="100"/>
        <w:rPr>
          <w:rFonts w:hint="eastAsia" w:ascii="宋体" w:hAnsi="宋体" w:cs="宋体"/>
          <w:sz w:val="24"/>
          <w:szCs w:val="24"/>
        </w:rPr>
      </w:pPr>
      <w:r>
        <w:rPr>
          <w:rFonts w:hint="eastAsia" w:ascii="宋体" w:hAnsi="宋体" w:cs="宋体"/>
          <w:sz w:val="24"/>
          <w:szCs w:val="24"/>
        </w:rPr>
        <w:t>1.我方具有履行合同所必需的设备和专业技术能力。</w:t>
      </w:r>
    </w:p>
    <w:p>
      <w:pPr>
        <w:spacing w:line="560" w:lineRule="exact"/>
        <w:ind w:firstLine="240" w:firstLineChars="100"/>
        <w:rPr>
          <w:rFonts w:hint="eastAsia" w:ascii="宋体" w:hAnsi="宋体" w:cs="宋体"/>
          <w:sz w:val="24"/>
          <w:szCs w:val="22"/>
        </w:rPr>
      </w:pPr>
      <w:r>
        <w:rPr>
          <w:rFonts w:hint="eastAsia" w:ascii="宋体" w:hAnsi="宋体" w:cs="宋体"/>
          <w:sz w:val="24"/>
          <w:szCs w:val="22"/>
        </w:rPr>
        <w:t>2.我方在参加政府采购前三年内,在经营活动中没有重大违法记录。</w:t>
      </w:r>
    </w:p>
    <w:p>
      <w:pPr>
        <w:spacing w:line="560" w:lineRule="exact"/>
        <w:ind w:firstLine="240" w:firstLineChars="100"/>
        <w:rPr>
          <w:rFonts w:hint="eastAsia" w:ascii="宋体" w:hAnsi="宋体" w:cs="宋体"/>
          <w:sz w:val="24"/>
          <w:szCs w:val="22"/>
        </w:rPr>
      </w:pPr>
      <w:r>
        <w:rPr>
          <w:rFonts w:hint="eastAsia" w:ascii="宋体" w:hAnsi="宋体" w:cs="宋体"/>
          <w:sz w:val="24"/>
          <w:szCs w:val="22"/>
        </w:rPr>
        <w:t>3.下述签字人在证书中证明本资格文件中的内容是真实的和正确的。</w:t>
      </w:r>
    </w:p>
    <w:p>
      <w:pPr>
        <w:spacing w:line="560" w:lineRule="exact"/>
        <w:ind w:firstLine="240" w:firstLineChars="100"/>
        <w:rPr>
          <w:rFonts w:hint="eastAsia" w:ascii="宋体" w:hAnsi="宋体" w:cs="宋体"/>
          <w:sz w:val="24"/>
          <w:szCs w:val="22"/>
        </w:rPr>
      </w:pPr>
      <w:r>
        <w:rPr>
          <w:rFonts w:hint="eastAsia" w:ascii="宋体" w:hAnsi="宋体" w:cs="宋体"/>
          <w:sz w:val="24"/>
          <w:szCs w:val="22"/>
        </w:rPr>
        <w:t>我方对以上声明负全部法律责任。</w:t>
      </w:r>
    </w:p>
    <w:p>
      <w:pPr>
        <w:spacing w:line="560" w:lineRule="exact"/>
        <w:ind w:firstLine="480" w:firstLineChars="200"/>
        <w:rPr>
          <w:rFonts w:hint="eastAsia" w:ascii="宋体" w:hAnsi="宋体" w:cs="宋体"/>
          <w:sz w:val="24"/>
          <w:szCs w:val="24"/>
        </w:rPr>
      </w:pPr>
    </w:p>
    <w:p>
      <w:pPr>
        <w:spacing w:line="432" w:lineRule="auto"/>
        <w:rPr>
          <w:rFonts w:hint="eastAsia" w:ascii="宋体" w:hAnsi="宋体" w:cs="宋体"/>
          <w:sz w:val="24"/>
        </w:rPr>
      </w:pPr>
    </w:p>
    <w:p>
      <w:pPr>
        <w:spacing w:line="432" w:lineRule="auto"/>
        <w:rPr>
          <w:rFonts w:hint="eastAsia"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spacing w:line="432" w:lineRule="auto"/>
        <w:rPr>
          <w:rFonts w:hint="eastAsia" w:ascii="宋体" w:hAnsi="宋体" w:cs="宋体"/>
          <w:sz w:val="24"/>
          <w:u w:val="single"/>
        </w:rPr>
      </w:pPr>
    </w:p>
    <w:p>
      <w:pPr>
        <w:tabs>
          <w:tab w:val="left" w:pos="1470"/>
        </w:tabs>
        <w:spacing w:line="432" w:lineRule="auto"/>
        <w:rPr>
          <w:rFonts w:hint="eastAsia" w:ascii="宋体" w:hAnsi="宋体" w:cs="宋体"/>
          <w:b/>
          <w:sz w:val="24"/>
        </w:rPr>
      </w:pPr>
    </w:p>
    <w:p>
      <w:pPr>
        <w:rPr>
          <w:rFonts w:hint="eastAsia" w:ascii="宋体" w:hAnsi="宋体" w:cs="宋体"/>
          <w:sz w:val="24"/>
        </w:rPr>
      </w:pPr>
    </w:p>
    <w:p>
      <w:pPr>
        <w:pStyle w:val="3"/>
        <w:jc w:val="center"/>
        <w:rPr>
          <w:rFonts w:ascii="宋体" w:hAnsi="宋体" w:eastAsia="宋体" w:cs="宋体"/>
          <w:sz w:val="28"/>
          <w:szCs w:val="28"/>
        </w:rPr>
      </w:pPr>
      <w:r>
        <w:rPr>
          <w:rFonts w:hint="eastAsia" w:ascii="宋体" w:hAnsi="宋体" w:eastAsia="宋体" w:cs="宋体"/>
          <w:sz w:val="24"/>
        </w:rPr>
        <w:br w:type="page"/>
      </w:r>
      <w:bookmarkStart w:id="210" w:name="_Toc358980722"/>
      <w:bookmarkStart w:id="211" w:name="_Toc520937565"/>
      <w:bookmarkStart w:id="212" w:name="_Toc163636299"/>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4　交纳投标保证金的银行凭证</w:t>
      </w:r>
      <w:bookmarkEnd w:id="210"/>
      <w:bookmarkEnd w:id="211"/>
      <w:bookmarkEnd w:id="212"/>
    </w:p>
    <w:p>
      <w:pPr>
        <w:spacing w:line="420" w:lineRule="exact"/>
        <w:outlineLvl w:val="1"/>
        <w:rPr>
          <w:rFonts w:ascii="宋体"/>
          <w:b/>
          <w:kern w:val="28"/>
          <w:sz w:val="24"/>
          <w:szCs w:val="28"/>
        </w:rPr>
      </w:pPr>
      <w:r>
        <w:rPr>
          <w:rFonts w:ascii="宋体"/>
          <w:sz w:val="24"/>
          <w:szCs w:val="24"/>
        </w:rPr>
        <w:tab/>
      </w:r>
      <w:r>
        <w:rPr>
          <w:rFonts w:ascii="宋体"/>
          <w:sz w:val="24"/>
          <w:szCs w:val="24"/>
        </w:rPr>
        <w:tab/>
      </w:r>
      <w:r>
        <w:rPr>
          <w:rFonts w:ascii="宋体"/>
          <w:sz w:val="24"/>
          <w:szCs w:val="24"/>
        </w:rPr>
        <w:tab/>
      </w:r>
      <w:r>
        <w:rPr>
          <w:rFonts w:ascii="宋体"/>
          <w:sz w:val="24"/>
          <w:szCs w:val="24"/>
        </w:rPr>
        <w:tab/>
      </w:r>
      <w:r>
        <w:rPr>
          <w:rFonts w:ascii="宋体"/>
          <w:sz w:val="24"/>
          <w:szCs w:val="24"/>
        </w:rPr>
        <w:tab/>
      </w:r>
      <w:r>
        <w:rPr>
          <w:rFonts w:ascii="宋体"/>
          <w:sz w:val="24"/>
          <w:szCs w:val="24"/>
        </w:rPr>
        <w:tab/>
      </w:r>
      <w:r>
        <w:rPr>
          <w:rFonts w:ascii="宋体"/>
          <w:sz w:val="24"/>
          <w:szCs w:val="24"/>
        </w:rPr>
        <w:tab/>
      </w:r>
    </w:p>
    <w:p>
      <w:pPr>
        <w:spacing w:line="480" w:lineRule="auto"/>
        <w:rPr>
          <w:rFonts w:ascii="宋体"/>
          <w:b/>
          <w:sz w:val="24"/>
        </w:rPr>
      </w:pPr>
      <w:r>
        <w:rPr>
          <w:rFonts w:hint="eastAsia" w:ascii="宋体"/>
          <w:b/>
          <w:sz w:val="24"/>
        </w:rPr>
        <w:t>致：江西中铖工程管理有限公司</w:t>
      </w:r>
    </w:p>
    <w:p>
      <w:pPr>
        <w:spacing w:line="480" w:lineRule="auto"/>
        <w:ind w:firstLine="960" w:firstLineChars="400"/>
        <w:rPr>
          <w:rFonts w:ascii="宋体" w:hAnsi="宋体" w:cs="宋体"/>
          <w:sz w:val="24"/>
        </w:rPr>
      </w:pPr>
      <w:r>
        <w:rPr>
          <w:rFonts w:hint="eastAsia" w:ascii="宋体" w:hAnsi="宋体" w:cs="宋体"/>
          <w:sz w:val="24"/>
          <w:u w:val="single"/>
        </w:rPr>
        <w:t>（供应商名称）</w:t>
      </w:r>
      <w:r>
        <w:rPr>
          <w:rFonts w:hint="eastAsia" w:ascii="宋体" w:hAnsi="宋体" w:cs="宋体"/>
          <w:sz w:val="24"/>
        </w:rPr>
        <w:t>参加贵方组织的_</w:t>
      </w:r>
      <w:r>
        <w:rPr>
          <w:rFonts w:ascii="宋体" w:hAnsi="宋体" w:cs="宋体"/>
          <w:sz w:val="24"/>
        </w:rPr>
        <w:t>________________</w:t>
      </w:r>
      <w:r>
        <w:rPr>
          <w:rFonts w:hint="eastAsia" w:ascii="宋体" w:hAnsi="宋体" w:cs="宋体"/>
          <w:sz w:val="24"/>
        </w:rPr>
        <w:t>采购项目（采购编号：_</w:t>
      </w:r>
      <w:r>
        <w:rPr>
          <w:rFonts w:ascii="宋体" w:hAnsi="宋体" w:cs="宋体"/>
          <w:sz w:val="24"/>
        </w:rPr>
        <w:t>_______</w:t>
      </w:r>
      <w:r>
        <w:rPr>
          <w:rFonts w:hint="eastAsia" w:ascii="宋体" w:hAnsi="宋体" w:cs="宋体"/>
          <w:sz w:val="24"/>
        </w:rPr>
        <w:t>）的政府采购活动，我单位按招标文件有关规定，于202_年月 日以_</w:t>
      </w:r>
      <w:r>
        <w:rPr>
          <w:rFonts w:ascii="宋体" w:hAnsi="宋体" w:cs="宋体"/>
          <w:sz w:val="24"/>
        </w:rPr>
        <w:t>_____</w:t>
      </w:r>
      <w:r>
        <w:rPr>
          <w:rFonts w:hint="eastAsia" w:ascii="宋体" w:hAnsi="宋体" w:cs="宋体"/>
          <w:sz w:val="24"/>
        </w:rPr>
        <w:t>（转账、电汇或其他）方式向指定的账户一次性缴纳投标保证金_</w:t>
      </w:r>
      <w:r>
        <w:rPr>
          <w:rFonts w:ascii="宋体" w:hAnsi="宋体" w:cs="宋体"/>
          <w:sz w:val="24"/>
        </w:rPr>
        <w:t>______</w:t>
      </w:r>
      <w:r>
        <w:rPr>
          <w:rFonts w:hint="eastAsia" w:ascii="宋体" w:hAnsi="宋体" w:cs="宋体"/>
          <w:sz w:val="24"/>
        </w:rPr>
        <w:t>元整。</w:t>
      </w:r>
    </w:p>
    <w:p>
      <w:pPr>
        <w:spacing w:line="432" w:lineRule="auto"/>
        <w:rPr>
          <w:rFonts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spacing w:line="420" w:lineRule="exact"/>
        <w:rPr>
          <w:rFonts w:ascii="宋体"/>
          <w:sz w:val="24"/>
        </w:rPr>
      </w:pPr>
    </w:p>
    <w:p>
      <w:pPr>
        <w:spacing w:line="420" w:lineRule="exact"/>
        <w:rPr>
          <w:rFonts w:ascii="宋体"/>
          <w:sz w:val="24"/>
        </w:rPr>
      </w:pPr>
    </w:p>
    <w:p>
      <w:pPr>
        <w:spacing w:line="420" w:lineRule="exact"/>
        <w:rPr>
          <w:rFonts w:ascii="宋体"/>
          <w:sz w:val="24"/>
        </w:rPr>
      </w:pPr>
      <w:r>
        <w:rPr>
          <w:rFonts w:hint="eastAsia" w:ascii="宋体"/>
          <w:sz w:val="24"/>
        </w:rPr>
        <w:t>附：投标保证金转帐银行凭证（复印件）</w:t>
      </w:r>
    </w:p>
    <w:p>
      <w:pPr>
        <w:pStyle w:val="3"/>
        <w:jc w:val="center"/>
        <w:rPr>
          <w:rFonts w:hint="eastAsia"/>
        </w:rPr>
      </w:pPr>
    </w:p>
    <w:p>
      <w:pPr>
        <w:pStyle w:val="3"/>
        <w:jc w:val="center"/>
        <w:rPr>
          <w:rFonts w:hint="eastAsia" w:ascii="宋体" w:hAnsi="宋体" w:eastAsia="宋体" w:cs="宋体"/>
          <w:sz w:val="28"/>
          <w:szCs w:val="28"/>
        </w:rPr>
      </w:pPr>
    </w:p>
    <w:p>
      <w:pPr>
        <w:rPr>
          <w:rFonts w:hint="eastAsia"/>
        </w:rPr>
      </w:pPr>
    </w:p>
    <w:p>
      <w:pPr>
        <w:pStyle w:val="3"/>
        <w:jc w:val="center"/>
        <w:rPr>
          <w:rFonts w:hint="eastAsia" w:ascii="宋体" w:hAnsi="宋体" w:eastAsia="宋体" w:cs="宋体"/>
          <w:sz w:val="28"/>
          <w:szCs w:val="28"/>
        </w:rPr>
      </w:pPr>
      <w:bookmarkStart w:id="213" w:name="_Toc163636300"/>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-5其他资格证明文件</w:t>
      </w:r>
      <w:bookmarkEnd w:id="213"/>
    </w:p>
    <w:p>
      <w:pPr>
        <w:pStyle w:val="50"/>
        <w:rPr>
          <w:rFonts w:hint="eastAsia"/>
        </w:rPr>
      </w:pPr>
    </w:p>
    <w:p>
      <w:pPr>
        <w:pStyle w:val="3"/>
        <w:jc w:val="center"/>
        <w:rPr>
          <w:rFonts w:hint="eastAsia" w:ascii="宋体" w:hAnsi="宋体" w:eastAsia="宋体" w:cs="宋体"/>
          <w:sz w:val="28"/>
          <w:szCs w:val="28"/>
        </w:rPr>
      </w:pPr>
      <w:r>
        <w:rPr>
          <w:rFonts w:hint="eastAsia" w:ascii="宋体" w:hAnsi="宋体" w:cs="宋体"/>
        </w:rPr>
        <w:br w:type="page"/>
      </w:r>
      <w:bookmarkStart w:id="214" w:name="_Toc163636301"/>
      <w:bookmarkStart w:id="215" w:name="_Toc15790"/>
      <w:r>
        <w:rPr>
          <w:rFonts w:ascii="宋体" w:hAnsi="宋体" w:eastAsia="宋体" w:cs="宋体"/>
          <w:sz w:val="28"/>
          <w:szCs w:val="28"/>
        </w:rPr>
        <w:t>7</w:t>
      </w:r>
      <w:r>
        <w:rPr>
          <w:rFonts w:hint="eastAsia" w:ascii="宋体" w:hAnsi="宋体" w:eastAsia="宋体" w:cs="宋体"/>
          <w:sz w:val="28"/>
          <w:szCs w:val="28"/>
        </w:rPr>
        <w:t>、为落实政府采购政策投标人须提供的证明材料</w:t>
      </w:r>
      <w:bookmarkEnd w:id="214"/>
      <w:bookmarkEnd w:id="215"/>
    </w:p>
    <w:p>
      <w:pPr>
        <w:rPr>
          <w:rFonts w:hint="eastAsia" w:ascii="宋体" w:hAnsi="宋体" w:cs="宋体"/>
        </w:rPr>
      </w:pPr>
    </w:p>
    <w:p>
      <w:pPr>
        <w:pStyle w:val="3"/>
        <w:jc w:val="center"/>
        <w:rPr>
          <w:rFonts w:hint="eastAsia" w:ascii="宋体" w:hAnsi="宋体" w:eastAsia="宋体" w:cs="宋体"/>
          <w:sz w:val="28"/>
          <w:szCs w:val="28"/>
        </w:rPr>
      </w:pPr>
      <w:bookmarkStart w:id="216" w:name="_Toc494292939"/>
      <w:bookmarkStart w:id="217" w:name="_Toc494138652"/>
      <w:bookmarkStart w:id="218" w:name="_Toc474492115"/>
      <w:bookmarkStart w:id="219" w:name="_Toc163636302"/>
      <w:bookmarkStart w:id="220" w:name="_Toc21651"/>
      <w:r>
        <w:rPr>
          <w:rFonts w:hint="eastAsia" w:ascii="宋体" w:hAnsi="宋体" w:eastAsia="宋体" w:cs="宋体"/>
          <w:sz w:val="28"/>
          <w:szCs w:val="28"/>
        </w:rPr>
        <w:t>格式</w:t>
      </w:r>
      <w:r>
        <w:rPr>
          <w:rFonts w:ascii="宋体" w:hAnsi="宋体" w:eastAsia="宋体" w:cs="宋体"/>
          <w:sz w:val="28"/>
          <w:szCs w:val="28"/>
        </w:rPr>
        <w:t>7</w:t>
      </w:r>
      <w:r>
        <w:rPr>
          <w:rFonts w:hint="eastAsia" w:ascii="宋体" w:hAnsi="宋体" w:eastAsia="宋体" w:cs="宋体"/>
          <w:sz w:val="28"/>
          <w:szCs w:val="28"/>
        </w:rPr>
        <w:t>-1.中小企业声明</w:t>
      </w:r>
      <w:bookmarkEnd w:id="216"/>
      <w:bookmarkEnd w:id="217"/>
      <w:bookmarkEnd w:id="218"/>
      <w:r>
        <w:rPr>
          <w:rFonts w:hint="eastAsia" w:ascii="宋体" w:hAnsi="宋体" w:eastAsia="宋体" w:cs="宋体"/>
          <w:sz w:val="28"/>
          <w:szCs w:val="28"/>
        </w:rPr>
        <w:t>函</w:t>
      </w:r>
      <w:bookmarkEnd w:id="219"/>
      <w:bookmarkEnd w:id="220"/>
    </w:p>
    <w:p>
      <w:pPr>
        <w:spacing w:line="432" w:lineRule="auto"/>
        <w:ind w:firstLine="480" w:firstLineChars="200"/>
        <w:rPr>
          <w:rFonts w:hint="eastAsia" w:ascii="宋体" w:hAnsi="宋体" w:cs="宋体"/>
          <w:sz w:val="24"/>
          <w:szCs w:val="22"/>
        </w:rPr>
      </w:pPr>
      <w:r>
        <w:rPr>
          <w:rFonts w:hint="eastAsia" w:ascii="宋体" w:hAnsi="宋体" w:cs="宋体"/>
          <w:sz w:val="24"/>
          <w:szCs w:val="22"/>
        </w:rPr>
        <w:t>本公司（联合体）郑重声明，根据《政府采购促进中小企业发展管理办法》（财库﹝2020﹞46 号）的规定，</w:t>
      </w:r>
      <w:r>
        <w:rPr>
          <w:rFonts w:hint="eastAsia" w:ascii="宋体" w:hAnsi="宋体" w:cs="宋体"/>
          <w:sz w:val="24"/>
          <w:szCs w:val="22"/>
          <w:u w:val="single"/>
        </w:rPr>
        <w:t>本公司（联合体）</w:t>
      </w:r>
      <w:r>
        <w:rPr>
          <w:rFonts w:hint="eastAsia" w:ascii="宋体" w:hAnsi="宋体" w:cs="宋体"/>
          <w:sz w:val="24"/>
          <w:szCs w:val="22"/>
        </w:rPr>
        <w:t>参加</w:t>
      </w:r>
      <w:r>
        <w:rPr>
          <w:rFonts w:hint="eastAsia" w:ascii="宋体" w:hAnsi="宋体" w:cs="宋体"/>
          <w:sz w:val="24"/>
          <w:szCs w:val="22"/>
          <w:u w:val="single"/>
        </w:rPr>
        <w:t>（单位名称）</w:t>
      </w:r>
      <w:r>
        <w:rPr>
          <w:rFonts w:hint="eastAsia" w:ascii="宋体" w:hAnsi="宋体" w:cs="宋体"/>
          <w:sz w:val="24"/>
          <w:szCs w:val="22"/>
        </w:rPr>
        <w:t>的</w:t>
      </w:r>
      <w:r>
        <w:rPr>
          <w:rFonts w:hint="eastAsia" w:ascii="宋体" w:hAnsi="宋体" w:cs="宋体"/>
          <w:sz w:val="24"/>
          <w:szCs w:val="22"/>
          <w:u w:val="single"/>
        </w:rPr>
        <w:t>（项目名称）</w:t>
      </w:r>
      <w:r>
        <w:rPr>
          <w:rFonts w:hint="eastAsia" w:ascii="宋体" w:hAnsi="宋体" w:cs="宋体"/>
          <w:sz w:val="24"/>
          <w:szCs w:val="22"/>
        </w:rPr>
        <w:t>采购活动，提供的货物全部为符合政策要求的中小企业（或者：服务全部由符合政策要求的中小企业承接）。相关企业（含联合体中的中小企业、签订分包意向协议的中小企业）的具体情况如下：</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1.</w:t>
      </w:r>
      <w:r>
        <w:rPr>
          <w:rFonts w:hint="eastAsia" w:ascii="宋体" w:hAnsi="宋体" w:cs="宋体"/>
          <w:sz w:val="24"/>
          <w:szCs w:val="22"/>
          <w:u w:val="single"/>
        </w:rPr>
        <w:t>（标的名称）</w:t>
      </w:r>
      <w:r>
        <w:rPr>
          <w:rFonts w:hint="eastAsia" w:ascii="宋体" w:hAnsi="宋体" w:cs="宋体"/>
          <w:sz w:val="24"/>
          <w:szCs w:val="22"/>
        </w:rPr>
        <w:t>，属于</w:t>
      </w:r>
      <w:r>
        <w:rPr>
          <w:rFonts w:hint="eastAsia" w:ascii="宋体" w:hAnsi="宋体" w:cs="宋体"/>
          <w:sz w:val="24"/>
          <w:szCs w:val="22"/>
          <w:u w:val="single"/>
        </w:rPr>
        <w:t>（采购文件中明确的所属行业）</w:t>
      </w:r>
      <w:r>
        <w:rPr>
          <w:rFonts w:hint="eastAsia" w:ascii="宋体" w:hAnsi="宋体" w:cs="宋体"/>
          <w:sz w:val="24"/>
          <w:szCs w:val="22"/>
        </w:rPr>
        <w:t>；制造商为</w:t>
      </w:r>
      <w:r>
        <w:rPr>
          <w:rFonts w:hint="eastAsia" w:ascii="宋体" w:hAnsi="宋体" w:cs="宋体"/>
          <w:sz w:val="24"/>
          <w:szCs w:val="22"/>
          <w:u w:val="single"/>
        </w:rPr>
        <w:t>（企业名称）</w:t>
      </w:r>
      <w:r>
        <w:rPr>
          <w:rFonts w:hint="eastAsia" w:ascii="宋体" w:hAnsi="宋体" w:cs="宋体"/>
          <w:sz w:val="24"/>
          <w:szCs w:val="22"/>
        </w:rPr>
        <w:t>，从业人员</w:t>
      </w:r>
      <w:r>
        <w:rPr>
          <w:rFonts w:ascii="宋体" w:hAnsi="宋体" w:cs="宋体"/>
          <w:sz w:val="24"/>
          <w:szCs w:val="22"/>
          <w:u w:val="single"/>
        </w:rPr>
        <w:t xml:space="preserve">   </w:t>
      </w:r>
      <w:r>
        <w:rPr>
          <w:rFonts w:hint="eastAsia" w:ascii="宋体" w:hAnsi="宋体" w:cs="宋体"/>
          <w:sz w:val="24"/>
          <w:szCs w:val="22"/>
        </w:rPr>
        <w:t>人，营业收入为</w:t>
      </w:r>
      <w:r>
        <w:rPr>
          <w:rFonts w:ascii="宋体" w:hAnsi="宋体" w:cs="宋体"/>
          <w:sz w:val="24"/>
          <w:szCs w:val="22"/>
          <w:u w:val="single"/>
        </w:rPr>
        <w:t xml:space="preserve">     </w:t>
      </w:r>
      <w:r>
        <w:rPr>
          <w:rFonts w:hint="eastAsia" w:ascii="宋体" w:hAnsi="宋体" w:cs="宋体"/>
          <w:sz w:val="24"/>
          <w:szCs w:val="22"/>
        </w:rPr>
        <w:t>万元，资产总额为</w:t>
      </w:r>
      <w:r>
        <w:rPr>
          <w:rFonts w:ascii="宋体" w:hAnsi="宋体" w:cs="宋体"/>
          <w:sz w:val="24"/>
          <w:szCs w:val="22"/>
          <w:u w:val="single"/>
        </w:rPr>
        <w:t xml:space="preserve">     </w:t>
      </w:r>
      <w:r>
        <w:rPr>
          <w:rFonts w:hint="eastAsia" w:ascii="宋体" w:hAnsi="宋体" w:cs="宋体"/>
          <w:sz w:val="24"/>
          <w:szCs w:val="22"/>
        </w:rPr>
        <w:t>万元</w:t>
      </w:r>
      <w:r>
        <w:rPr>
          <w:rFonts w:hint="eastAsia" w:ascii="宋体" w:hAnsi="宋体" w:cs="宋体"/>
          <w:sz w:val="24"/>
          <w:szCs w:val="22"/>
        </w:rPr>
        <w:fldChar w:fldCharType="begin"/>
      </w:r>
      <w:r>
        <w:rPr>
          <w:rFonts w:hint="eastAsia" w:ascii="宋体" w:hAnsi="宋体" w:cs="宋体"/>
          <w:sz w:val="24"/>
          <w:szCs w:val="22"/>
        </w:rPr>
        <w:instrText xml:space="preserve"> HYPERLINK \l "_bookmark1" </w:instrText>
      </w:r>
      <w:r>
        <w:rPr>
          <w:rFonts w:hint="eastAsia" w:ascii="宋体" w:hAnsi="宋体" w:cs="宋体"/>
          <w:sz w:val="24"/>
          <w:szCs w:val="22"/>
        </w:rPr>
        <w:fldChar w:fldCharType="separate"/>
      </w:r>
      <w:r>
        <w:rPr>
          <w:rFonts w:hint="eastAsia" w:ascii="宋体" w:hAnsi="宋体" w:cs="宋体"/>
          <w:sz w:val="24"/>
          <w:szCs w:val="22"/>
        </w:rPr>
        <w:t>1</w:t>
      </w:r>
      <w:r>
        <w:rPr>
          <w:rFonts w:hint="eastAsia" w:ascii="宋体" w:hAnsi="宋体" w:cs="宋体"/>
          <w:sz w:val="24"/>
          <w:szCs w:val="22"/>
        </w:rPr>
        <w:fldChar w:fldCharType="end"/>
      </w:r>
      <w:r>
        <w:rPr>
          <w:rFonts w:hint="eastAsia" w:ascii="宋体" w:hAnsi="宋体" w:cs="宋体"/>
          <w:sz w:val="24"/>
          <w:szCs w:val="22"/>
        </w:rPr>
        <w:t>，属于</w:t>
      </w:r>
      <w:r>
        <w:rPr>
          <w:rFonts w:hint="eastAsia" w:ascii="宋体" w:hAnsi="宋体" w:cs="宋体"/>
          <w:sz w:val="24"/>
          <w:szCs w:val="22"/>
          <w:u w:val="single"/>
        </w:rPr>
        <w:t>（中型企业、小型企业、微型企业）</w:t>
      </w:r>
      <w:r>
        <w:rPr>
          <w:rFonts w:hint="eastAsia" w:ascii="宋体" w:hAnsi="宋体" w:cs="宋体"/>
          <w:sz w:val="24"/>
          <w:szCs w:val="22"/>
        </w:rPr>
        <w:t>；</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2.</w:t>
      </w:r>
      <w:r>
        <w:rPr>
          <w:rFonts w:hint="eastAsia" w:ascii="宋体" w:hAnsi="宋体" w:cs="宋体"/>
          <w:sz w:val="24"/>
          <w:szCs w:val="22"/>
          <w:u w:val="single"/>
        </w:rPr>
        <w:t xml:space="preserve"> （标的名称）</w:t>
      </w:r>
      <w:r>
        <w:rPr>
          <w:rFonts w:hint="eastAsia" w:ascii="宋体" w:hAnsi="宋体" w:cs="宋体"/>
          <w:sz w:val="24"/>
          <w:szCs w:val="22"/>
        </w:rPr>
        <w:t>，属于</w:t>
      </w:r>
      <w:r>
        <w:rPr>
          <w:rFonts w:hint="eastAsia" w:ascii="宋体" w:hAnsi="宋体" w:cs="宋体"/>
          <w:sz w:val="24"/>
          <w:szCs w:val="22"/>
          <w:u w:val="single"/>
        </w:rPr>
        <w:t>（采购文件中明确的所属行业）</w:t>
      </w:r>
      <w:r>
        <w:rPr>
          <w:rFonts w:hint="eastAsia" w:ascii="宋体" w:hAnsi="宋体" w:cs="宋体"/>
          <w:sz w:val="24"/>
          <w:szCs w:val="22"/>
        </w:rPr>
        <w:t>；制造商为</w:t>
      </w:r>
      <w:r>
        <w:rPr>
          <w:rFonts w:hint="eastAsia" w:ascii="宋体" w:hAnsi="宋体" w:cs="宋体"/>
          <w:sz w:val="24"/>
          <w:szCs w:val="22"/>
          <w:u w:val="single"/>
        </w:rPr>
        <w:t>（企业名称）</w:t>
      </w:r>
      <w:r>
        <w:rPr>
          <w:rFonts w:hint="eastAsia" w:ascii="宋体" w:hAnsi="宋体" w:cs="宋体"/>
          <w:sz w:val="24"/>
          <w:szCs w:val="22"/>
        </w:rPr>
        <w:t>，从业人员</w:t>
      </w:r>
      <w:r>
        <w:rPr>
          <w:rFonts w:ascii="宋体" w:hAnsi="宋体" w:cs="宋体"/>
          <w:sz w:val="24"/>
          <w:szCs w:val="22"/>
          <w:u w:val="single"/>
        </w:rPr>
        <w:t xml:space="preserve">   </w:t>
      </w:r>
      <w:r>
        <w:rPr>
          <w:rFonts w:hint="eastAsia" w:ascii="宋体" w:hAnsi="宋体" w:cs="宋体"/>
          <w:sz w:val="24"/>
          <w:szCs w:val="22"/>
        </w:rPr>
        <w:t>人，营业收入为</w:t>
      </w:r>
      <w:r>
        <w:rPr>
          <w:rFonts w:ascii="宋体" w:hAnsi="宋体" w:cs="宋体"/>
          <w:sz w:val="24"/>
          <w:szCs w:val="22"/>
          <w:u w:val="single"/>
        </w:rPr>
        <w:t xml:space="preserve">     </w:t>
      </w:r>
      <w:r>
        <w:rPr>
          <w:rFonts w:hint="eastAsia" w:ascii="宋体" w:hAnsi="宋体" w:cs="宋体"/>
          <w:sz w:val="24"/>
          <w:szCs w:val="22"/>
        </w:rPr>
        <w:t>万元，资产总额为</w:t>
      </w:r>
      <w:r>
        <w:rPr>
          <w:rFonts w:ascii="宋体" w:hAnsi="宋体" w:cs="宋体"/>
          <w:sz w:val="24"/>
          <w:szCs w:val="22"/>
          <w:u w:val="single"/>
        </w:rPr>
        <w:t xml:space="preserve">     </w:t>
      </w:r>
      <w:r>
        <w:rPr>
          <w:rFonts w:hint="eastAsia" w:ascii="宋体" w:hAnsi="宋体" w:cs="宋体"/>
          <w:sz w:val="24"/>
          <w:szCs w:val="22"/>
        </w:rPr>
        <w:t>万元</w:t>
      </w:r>
      <w:r>
        <w:rPr>
          <w:rFonts w:hint="eastAsia" w:ascii="宋体" w:hAnsi="宋体" w:cs="宋体"/>
          <w:sz w:val="24"/>
          <w:szCs w:val="22"/>
        </w:rPr>
        <w:fldChar w:fldCharType="begin"/>
      </w:r>
      <w:r>
        <w:rPr>
          <w:rFonts w:hint="eastAsia" w:ascii="宋体" w:hAnsi="宋体" w:cs="宋体"/>
          <w:sz w:val="24"/>
          <w:szCs w:val="22"/>
        </w:rPr>
        <w:instrText xml:space="preserve"> HYPERLINK \l "_bookmark1" </w:instrText>
      </w:r>
      <w:r>
        <w:rPr>
          <w:rFonts w:hint="eastAsia" w:ascii="宋体" w:hAnsi="宋体" w:cs="宋体"/>
          <w:sz w:val="24"/>
          <w:szCs w:val="22"/>
        </w:rPr>
        <w:fldChar w:fldCharType="separate"/>
      </w:r>
      <w:r>
        <w:rPr>
          <w:rFonts w:hint="eastAsia" w:ascii="宋体" w:hAnsi="宋体" w:cs="宋体"/>
          <w:sz w:val="24"/>
          <w:szCs w:val="22"/>
        </w:rPr>
        <w:t>1</w:t>
      </w:r>
      <w:r>
        <w:rPr>
          <w:rFonts w:hint="eastAsia" w:ascii="宋体" w:hAnsi="宋体" w:cs="宋体"/>
          <w:sz w:val="24"/>
          <w:szCs w:val="22"/>
        </w:rPr>
        <w:fldChar w:fldCharType="end"/>
      </w:r>
      <w:r>
        <w:rPr>
          <w:rFonts w:hint="eastAsia" w:ascii="宋体" w:hAnsi="宋体" w:cs="宋体"/>
          <w:sz w:val="24"/>
          <w:szCs w:val="22"/>
        </w:rPr>
        <w:t>，属于</w:t>
      </w:r>
      <w:r>
        <w:rPr>
          <w:rFonts w:hint="eastAsia" w:ascii="宋体" w:hAnsi="宋体" w:cs="宋体"/>
          <w:sz w:val="24"/>
          <w:szCs w:val="22"/>
          <w:u w:val="single"/>
        </w:rPr>
        <w:t>（中型企业、小型企业、微型企业）</w:t>
      </w:r>
      <w:r>
        <w:rPr>
          <w:rFonts w:hint="eastAsia" w:ascii="宋体" w:hAnsi="宋体" w:cs="宋体"/>
          <w:sz w:val="24"/>
          <w:szCs w:val="22"/>
        </w:rPr>
        <w:t>；</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以上企业，不属于大企业的分支机构，不存在控股股东为大企业的情形，也不存在与大企业的负责人为同一人的情形。</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本企业对上述声明内容的真实性负责。如有虚假，将依法承担相应责任。</w:t>
      </w:r>
    </w:p>
    <w:p>
      <w:pPr>
        <w:spacing w:line="432" w:lineRule="auto"/>
        <w:jc w:val="center"/>
        <w:rPr>
          <w:rFonts w:hint="eastAsia" w:ascii="宋体" w:hAnsi="宋体" w:cs="宋体"/>
          <w:sz w:val="24"/>
          <w:szCs w:val="22"/>
        </w:rPr>
      </w:pPr>
      <w:r>
        <w:rPr>
          <w:rFonts w:hint="eastAsia" w:ascii="宋体" w:hAnsi="宋体" w:cs="宋体"/>
          <w:sz w:val="24"/>
          <w:szCs w:val="22"/>
        </w:rPr>
        <w:t xml:space="preserve">         </w:t>
      </w:r>
      <w:r>
        <w:rPr>
          <w:rFonts w:ascii="宋体" w:hAnsi="宋体" w:cs="宋体"/>
          <w:sz w:val="24"/>
          <w:szCs w:val="22"/>
        </w:rPr>
        <w:t xml:space="preserve">   </w:t>
      </w:r>
      <w:r>
        <w:rPr>
          <w:rFonts w:hint="eastAsia" w:ascii="宋体" w:hAnsi="宋体" w:cs="宋体"/>
          <w:sz w:val="24"/>
          <w:szCs w:val="22"/>
        </w:rPr>
        <w:t>企业名称（盖章）：</w:t>
      </w:r>
    </w:p>
    <w:p>
      <w:pPr>
        <w:spacing w:line="432" w:lineRule="auto"/>
        <w:jc w:val="center"/>
        <w:rPr>
          <w:rFonts w:hint="eastAsia" w:ascii="宋体" w:hAnsi="宋体" w:cs="宋体"/>
          <w:sz w:val="24"/>
        </w:rPr>
      </w:pPr>
      <w:r>
        <w:rPr>
          <w:rFonts w:hint="eastAsia" w:ascii="宋体" w:hAnsi="宋体" w:cs="宋体"/>
          <w:sz w:val="24"/>
        </w:rPr>
        <w:t>日期：</w:t>
      </w:r>
    </w:p>
    <w:p>
      <w:pPr>
        <w:spacing w:line="432" w:lineRule="auto"/>
        <w:ind w:firstLine="480" w:firstLineChars="200"/>
        <w:rPr>
          <w:rFonts w:hint="eastAsia" w:ascii="宋体" w:hAnsi="宋体" w:cs="宋体"/>
          <w:sz w:val="24"/>
          <w:szCs w:val="24"/>
        </w:rPr>
      </w:pPr>
      <w:r>
        <w:rPr>
          <w:rFonts w:hint="eastAsia" w:ascii="宋体" w:hAnsi="宋体" w:cs="宋体"/>
          <w:sz w:val="24"/>
          <w:szCs w:val="24"/>
        </w:rPr>
        <w:t>注：1、从业人员、营业收入、资产总额填报上一年度数据，无上一年度数据的新成立企业可不填报。</w:t>
      </w:r>
    </w:p>
    <w:p>
      <w:pPr>
        <w:spacing w:line="432" w:lineRule="auto"/>
        <w:ind w:firstLine="480" w:firstLineChars="200"/>
        <w:rPr>
          <w:rFonts w:hint="eastAsia" w:ascii="宋体" w:hAnsi="宋体" w:cs="宋体"/>
          <w:sz w:val="30"/>
          <w:szCs w:val="30"/>
        </w:rPr>
      </w:pPr>
      <w:r>
        <w:rPr>
          <w:rFonts w:hint="eastAsia" w:ascii="宋体" w:hAnsi="宋体" w:cs="宋体"/>
          <w:sz w:val="24"/>
          <w:szCs w:val="24"/>
        </w:rPr>
        <w:t>2、不符合中型、小型、微型企业条件的不需提供。</w:t>
      </w:r>
    </w:p>
    <w:p>
      <w:pPr>
        <w:pStyle w:val="3"/>
        <w:jc w:val="center"/>
        <w:rPr>
          <w:rFonts w:hint="eastAsia" w:ascii="宋体" w:hAnsi="宋体" w:eastAsia="宋体" w:cs="宋体"/>
          <w:sz w:val="28"/>
          <w:szCs w:val="28"/>
        </w:rPr>
      </w:pPr>
      <w:r>
        <w:rPr>
          <w:rFonts w:hint="eastAsia" w:ascii="宋体" w:hAnsi="宋体" w:cs="宋体"/>
        </w:rPr>
        <w:br w:type="page"/>
      </w:r>
      <w:bookmarkStart w:id="221" w:name="_Toc329789742"/>
      <w:bookmarkStart w:id="222" w:name="_Toc494138653"/>
      <w:bookmarkStart w:id="223" w:name="_Toc474492116"/>
      <w:bookmarkStart w:id="224" w:name="_Toc494292940"/>
      <w:bookmarkStart w:id="225" w:name="_Toc163636303"/>
      <w:r>
        <w:rPr>
          <w:rFonts w:hint="eastAsia" w:ascii="宋体" w:hAnsi="宋体" w:eastAsia="宋体" w:cs="宋体"/>
          <w:sz w:val="28"/>
          <w:szCs w:val="28"/>
        </w:rPr>
        <w:t>格式8-2.</w:t>
      </w:r>
      <w:bookmarkEnd w:id="221"/>
      <w:r>
        <w:rPr>
          <w:rFonts w:hint="eastAsia" w:ascii="宋体" w:hAnsi="宋体" w:eastAsia="宋体" w:cs="宋体"/>
          <w:sz w:val="28"/>
          <w:szCs w:val="28"/>
        </w:rPr>
        <w:t>省级以上监狱管理局、戒毒管理局（含新疆生产建设兵团）出具的属于监狱企业证明文件</w:t>
      </w:r>
      <w:bookmarkEnd w:id="222"/>
      <w:bookmarkEnd w:id="223"/>
      <w:bookmarkEnd w:id="224"/>
      <w:bookmarkEnd w:id="225"/>
    </w:p>
    <w:p>
      <w:pPr>
        <w:rPr>
          <w:rFonts w:hint="eastAsia" w:ascii="宋体" w:hAnsi="宋体" w:cs="宋体"/>
        </w:rPr>
      </w:pPr>
    </w:p>
    <w:p>
      <w:pPr>
        <w:spacing w:line="432" w:lineRule="auto"/>
        <w:ind w:left="843" w:hanging="843" w:hangingChars="350"/>
        <w:rPr>
          <w:rFonts w:hint="eastAsia" w:ascii="宋体" w:hAnsi="宋体" w:cs="宋体"/>
          <w:b/>
          <w:sz w:val="24"/>
        </w:rPr>
      </w:pPr>
      <w:r>
        <w:rPr>
          <w:rFonts w:hint="eastAsia" w:ascii="宋体" w:hAnsi="宋体" w:cs="宋体"/>
          <w:b/>
          <w:sz w:val="24"/>
        </w:rPr>
        <w:t>注：1、省级以上监狱管理局、戒毒管理局（含新疆生产建设兵团）出具的属于监狱企业证明文件格式由出具单位提供；</w:t>
      </w:r>
    </w:p>
    <w:p>
      <w:pPr>
        <w:ind w:firstLine="482" w:firstLineChars="200"/>
        <w:rPr>
          <w:rFonts w:hint="eastAsia" w:ascii="宋体" w:hAnsi="宋体" w:cs="宋体"/>
          <w:b/>
          <w:sz w:val="24"/>
        </w:rPr>
      </w:pPr>
      <w:r>
        <w:rPr>
          <w:rFonts w:hint="eastAsia" w:ascii="宋体" w:hAnsi="宋体" w:cs="宋体"/>
          <w:b/>
          <w:sz w:val="24"/>
        </w:rPr>
        <w:t>2、</w:t>
      </w:r>
      <w:r>
        <w:rPr>
          <w:rFonts w:hint="eastAsia" w:ascii="宋体" w:hAnsi="宋体" w:cs="宋体"/>
          <w:b/>
          <w:sz w:val="24"/>
          <w:szCs w:val="24"/>
        </w:rPr>
        <w:t>不属于监狱企业的不需提供</w:t>
      </w:r>
      <w:r>
        <w:rPr>
          <w:rFonts w:hint="eastAsia" w:ascii="宋体" w:hAnsi="宋体" w:cs="宋体"/>
          <w:b/>
          <w:sz w:val="24"/>
        </w:rPr>
        <w:t>。</w:t>
      </w:r>
    </w:p>
    <w:p>
      <w:pPr>
        <w:pStyle w:val="3"/>
        <w:jc w:val="center"/>
        <w:rPr>
          <w:rFonts w:hint="eastAsia" w:ascii="宋体" w:hAnsi="宋体" w:eastAsia="宋体" w:cs="宋体"/>
          <w:sz w:val="28"/>
          <w:szCs w:val="28"/>
        </w:rPr>
      </w:pPr>
      <w:r>
        <w:rPr>
          <w:rFonts w:hint="eastAsia" w:ascii="宋体" w:hAnsi="宋体" w:eastAsia="宋体" w:cs="宋体"/>
          <w:b w:val="0"/>
          <w:sz w:val="24"/>
        </w:rPr>
        <w:br w:type="page"/>
      </w:r>
      <w:bookmarkStart w:id="226" w:name="_Toc29349"/>
      <w:bookmarkStart w:id="227" w:name="_Toc494138654"/>
      <w:bookmarkStart w:id="228" w:name="_Toc494292941"/>
      <w:bookmarkStart w:id="229" w:name="_Toc163636304"/>
      <w:bookmarkStart w:id="230" w:name="OLE_LINK13"/>
      <w:bookmarkStart w:id="231" w:name="OLE_LINK14"/>
      <w:r>
        <w:rPr>
          <w:rFonts w:hint="eastAsia" w:ascii="宋体" w:hAnsi="宋体" w:eastAsia="宋体" w:cs="宋体"/>
          <w:sz w:val="28"/>
          <w:szCs w:val="28"/>
        </w:rPr>
        <w:t>格式</w:t>
      </w:r>
      <w:r>
        <w:rPr>
          <w:rFonts w:ascii="宋体" w:hAnsi="宋体" w:eastAsia="宋体" w:cs="宋体"/>
          <w:sz w:val="28"/>
          <w:szCs w:val="28"/>
        </w:rPr>
        <w:t>7</w:t>
      </w:r>
      <w:r>
        <w:rPr>
          <w:rFonts w:hint="eastAsia" w:ascii="宋体" w:hAnsi="宋体" w:eastAsia="宋体" w:cs="宋体"/>
          <w:sz w:val="28"/>
          <w:szCs w:val="28"/>
        </w:rPr>
        <w:t>-3.残疾人福利性单位声明函</w:t>
      </w:r>
      <w:bookmarkEnd w:id="226"/>
      <w:bookmarkEnd w:id="227"/>
      <w:bookmarkEnd w:id="228"/>
      <w:bookmarkEnd w:id="229"/>
    </w:p>
    <w:bookmarkEnd w:id="230"/>
    <w:bookmarkEnd w:id="231"/>
    <w:p>
      <w:pPr>
        <w:spacing w:line="588" w:lineRule="exact"/>
        <w:jc w:val="center"/>
        <w:rPr>
          <w:rFonts w:hint="eastAsia" w:ascii="宋体" w:hAnsi="宋体" w:cs="宋体"/>
          <w:b/>
          <w:spacing w:val="6"/>
          <w:sz w:val="32"/>
          <w:szCs w:val="32"/>
        </w:rPr>
      </w:pPr>
      <w:r>
        <w:rPr>
          <w:rFonts w:hint="eastAsia" w:ascii="宋体" w:hAnsi="宋体" w:cs="宋体"/>
          <w:b/>
          <w:spacing w:val="6"/>
          <w:sz w:val="32"/>
          <w:szCs w:val="32"/>
        </w:rPr>
        <w:t>残疾人福利性单位声明函</w:t>
      </w:r>
    </w:p>
    <w:p>
      <w:pPr>
        <w:spacing w:line="588" w:lineRule="exact"/>
        <w:rPr>
          <w:rFonts w:hint="eastAsia" w:ascii="宋体" w:hAnsi="宋体" w:cs="宋体"/>
          <w:b/>
          <w:spacing w:val="6"/>
          <w:sz w:val="24"/>
          <w:szCs w:val="24"/>
        </w:rPr>
      </w:pPr>
    </w:p>
    <w:p>
      <w:pPr>
        <w:spacing w:line="588" w:lineRule="exact"/>
        <w:ind w:firstLine="504" w:firstLineChars="200"/>
        <w:rPr>
          <w:rFonts w:hint="eastAsia" w:ascii="宋体" w:hAnsi="宋体" w:cs="宋体"/>
          <w:spacing w:val="6"/>
          <w:sz w:val="24"/>
          <w:szCs w:val="24"/>
        </w:rPr>
      </w:pPr>
      <w:r>
        <w:rPr>
          <w:rFonts w:hint="eastAsia" w:ascii="宋体" w:hAnsi="宋体" w:cs="宋体"/>
          <w:spacing w:val="6"/>
          <w:sz w:val="24"/>
          <w:szCs w:val="24"/>
        </w:rPr>
        <w:t>本单位郑重声明，根据《财政部 民政部 中国残疾人联合会关于促进残疾人就业政府采购政策的通知》（财库</w:t>
      </w:r>
      <w:r>
        <w:rPr>
          <w:rFonts w:hint="eastAsia" w:ascii="宋体" w:hAnsi="宋体" w:cs="宋体"/>
          <w:sz w:val="24"/>
          <w:szCs w:val="24"/>
        </w:rPr>
        <w:t>〔2017〕 141</w:t>
      </w:r>
      <w:bookmarkStart w:id="232" w:name="_GoBack"/>
      <w:bookmarkEnd w:id="232"/>
      <w:r>
        <w:rPr>
          <w:rFonts w:hint="eastAsia" w:ascii="宋体" w:hAnsi="宋体" w:cs="宋体"/>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hint="eastAsia" w:ascii="宋体" w:hAnsi="宋体" w:cs="宋体"/>
          <w:spacing w:val="6"/>
          <w:sz w:val="24"/>
          <w:szCs w:val="24"/>
        </w:rPr>
      </w:pPr>
      <w:r>
        <w:rPr>
          <w:rFonts w:hint="eastAsia" w:ascii="宋体" w:hAnsi="宋体" w:cs="宋体"/>
          <w:spacing w:val="6"/>
          <w:sz w:val="24"/>
          <w:szCs w:val="24"/>
        </w:rPr>
        <w:t>本单位对上述声明的真实性负责。如有虚假，将依法承担相应责任。</w:t>
      </w:r>
    </w:p>
    <w:p>
      <w:pPr>
        <w:spacing w:line="588" w:lineRule="exact"/>
        <w:ind w:firstLine="504" w:firstLineChars="200"/>
        <w:rPr>
          <w:rFonts w:hint="eastAsia" w:ascii="宋体" w:hAnsi="宋体" w:cs="宋体"/>
          <w:spacing w:val="6"/>
          <w:sz w:val="24"/>
          <w:szCs w:val="24"/>
        </w:rPr>
      </w:pPr>
    </w:p>
    <w:p>
      <w:pPr>
        <w:spacing w:line="588" w:lineRule="exact"/>
        <w:ind w:firstLine="504" w:firstLineChars="200"/>
        <w:rPr>
          <w:rFonts w:hint="eastAsia" w:ascii="宋体" w:hAnsi="宋体" w:cs="宋体"/>
          <w:spacing w:val="6"/>
          <w:sz w:val="24"/>
          <w:szCs w:val="24"/>
        </w:rPr>
      </w:pPr>
    </w:p>
    <w:p>
      <w:pPr>
        <w:tabs>
          <w:tab w:val="left" w:pos="4860"/>
        </w:tabs>
        <w:spacing w:line="588" w:lineRule="exact"/>
        <w:ind w:right="1560" w:firstLine="504" w:firstLineChars="200"/>
        <w:jc w:val="center"/>
        <w:rPr>
          <w:rFonts w:hint="eastAsia" w:ascii="宋体" w:hAnsi="宋体" w:cs="宋体"/>
          <w:spacing w:val="6"/>
          <w:sz w:val="24"/>
          <w:szCs w:val="24"/>
        </w:rPr>
      </w:pPr>
      <w:r>
        <w:rPr>
          <w:rFonts w:hint="eastAsia" w:ascii="宋体" w:hAnsi="宋体" w:cs="宋体"/>
          <w:spacing w:val="6"/>
          <w:sz w:val="24"/>
          <w:szCs w:val="24"/>
        </w:rPr>
        <w:t>单位名称（盖章）：</w:t>
      </w:r>
    </w:p>
    <w:p>
      <w:pPr>
        <w:tabs>
          <w:tab w:val="left" w:pos="4860"/>
        </w:tabs>
        <w:spacing w:line="588" w:lineRule="exact"/>
        <w:ind w:right="1560" w:firstLine="504" w:firstLineChars="200"/>
        <w:jc w:val="center"/>
        <w:rPr>
          <w:rFonts w:hint="eastAsia" w:ascii="宋体" w:hAnsi="宋体" w:cs="宋体"/>
          <w:spacing w:val="6"/>
          <w:sz w:val="24"/>
          <w:szCs w:val="24"/>
        </w:rPr>
      </w:pPr>
      <w:r>
        <w:rPr>
          <w:rFonts w:hint="eastAsia" w:ascii="宋体" w:hAnsi="宋体" w:cs="宋体"/>
          <w:spacing w:val="6"/>
          <w:sz w:val="24"/>
          <w:szCs w:val="24"/>
        </w:rPr>
        <w:t xml:space="preserve">        日  期：</w:t>
      </w:r>
    </w:p>
    <w:p>
      <w:pPr>
        <w:ind w:firstLine="482" w:firstLineChars="200"/>
        <w:rPr>
          <w:rFonts w:hint="eastAsia" w:ascii="宋体" w:hAnsi="宋体" w:cs="宋体"/>
          <w:b/>
          <w:sz w:val="24"/>
        </w:rPr>
      </w:pPr>
    </w:p>
    <w:p>
      <w:pPr>
        <w:spacing w:line="400" w:lineRule="exact"/>
        <w:rPr>
          <w:rFonts w:hint="eastAsia" w:ascii="宋体" w:hAnsi="宋体" w:cs="宋体"/>
          <w:sz w:val="24"/>
          <w:szCs w:val="24"/>
        </w:rPr>
      </w:pPr>
    </w:p>
    <w:p>
      <w:pPr>
        <w:spacing w:line="400" w:lineRule="exact"/>
        <w:rPr>
          <w:rFonts w:hint="eastAsia" w:ascii="宋体" w:hAnsi="宋体" w:cs="宋体"/>
          <w:sz w:val="24"/>
          <w:szCs w:val="24"/>
        </w:rPr>
      </w:pPr>
    </w:p>
    <w:p>
      <w:pPr>
        <w:spacing w:line="400" w:lineRule="exact"/>
        <w:rPr>
          <w:rFonts w:hint="eastAsia" w:ascii="宋体" w:hAnsi="宋体" w:cs="宋体"/>
          <w:sz w:val="24"/>
          <w:szCs w:val="24"/>
        </w:rPr>
      </w:pPr>
    </w:p>
    <w:p>
      <w:pPr>
        <w:spacing w:line="400" w:lineRule="exact"/>
        <w:jc w:val="center"/>
        <w:rPr>
          <w:rFonts w:hint="eastAsia" w:ascii="宋体" w:hAnsi="宋体" w:cs="宋体"/>
          <w:b/>
          <w:bCs/>
          <w:sz w:val="28"/>
          <w:szCs w:val="28"/>
        </w:rPr>
      </w:pPr>
      <w:r>
        <w:rPr>
          <w:rFonts w:hint="eastAsia" w:ascii="宋体" w:hAnsi="宋体" w:cs="宋体"/>
          <w:sz w:val="24"/>
          <w:szCs w:val="24"/>
        </w:rPr>
        <w:t>不符合残疾人福利性单位的不需提供。</w:t>
      </w:r>
      <w:r>
        <w:rPr>
          <w:rFonts w:ascii="宋体" w:hAnsi="宋体" w:cs="宋体"/>
          <w:b/>
          <w:sz w:val="24"/>
        </w:rPr>
        <w:br w:type="page"/>
      </w:r>
      <w:bookmarkStart w:id="233" w:name="_Toc474492119"/>
      <w:r>
        <w:rPr>
          <w:rFonts w:ascii="宋体" w:hAnsi="宋体" w:cs="宋体"/>
          <w:b/>
          <w:bCs/>
          <w:sz w:val="28"/>
          <w:szCs w:val="28"/>
        </w:rPr>
        <w:t>8</w:t>
      </w:r>
      <w:r>
        <w:rPr>
          <w:rFonts w:hint="eastAsia" w:ascii="宋体" w:hAnsi="宋体" w:cs="宋体"/>
          <w:b/>
          <w:bCs/>
          <w:sz w:val="28"/>
          <w:szCs w:val="28"/>
        </w:rPr>
        <w:t>、其他资料</w:t>
      </w:r>
      <w:bookmarkEnd w:id="233"/>
    </w:p>
    <w:p>
      <w:pPr>
        <w:pStyle w:val="3"/>
        <w:jc w:val="center"/>
        <w:rPr>
          <w:rFonts w:hint="eastAsia" w:ascii="宋体" w:hAnsi="宋体" w:eastAsia="宋体" w:cs="宋体"/>
          <w:sz w:val="24"/>
          <w:szCs w:val="24"/>
        </w:rPr>
      </w:pPr>
      <w:bookmarkStart w:id="234" w:name="_Toc494138658"/>
      <w:bookmarkStart w:id="235" w:name="_Toc494292944"/>
      <w:bookmarkStart w:id="236" w:name="_Toc163636305"/>
      <w:r>
        <w:rPr>
          <w:rFonts w:hint="eastAsia" w:ascii="宋体" w:hAnsi="宋体" w:eastAsia="宋体" w:cs="宋体"/>
          <w:sz w:val="24"/>
          <w:szCs w:val="24"/>
        </w:rPr>
        <w:t>格式</w:t>
      </w:r>
      <w:r>
        <w:rPr>
          <w:rFonts w:ascii="宋体" w:hAnsi="宋体" w:eastAsia="宋体" w:cs="宋体"/>
          <w:sz w:val="24"/>
          <w:szCs w:val="24"/>
        </w:rPr>
        <w:t>8</w:t>
      </w:r>
      <w:r>
        <w:rPr>
          <w:rFonts w:hint="eastAsia" w:ascii="宋体" w:hAnsi="宋体" w:eastAsia="宋体" w:cs="宋体"/>
          <w:sz w:val="24"/>
          <w:szCs w:val="24"/>
        </w:rPr>
        <w:t>-1. 投标企业情况一览表</w:t>
      </w:r>
      <w:bookmarkEnd w:id="234"/>
      <w:bookmarkEnd w:id="235"/>
      <w:bookmarkEnd w:id="236"/>
    </w:p>
    <w:tbl>
      <w:tblPr>
        <w:tblStyle w:val="51"/>
        <w:tblW w:w="0" w:type="auto"/>
        <w:tblInd w:w="-25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235"/>
        <w:gridCol w:w="1035"/>
        <w:gridCol w:w="1696"/>
        <w:gridCol w:w="1198"/>
        <w:gridCol w:w="1356"/>
        <w:gridCol w:w="876"/>
        <w:gridCol w:w="132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投标人名称</w:t>
            </w:r>
          </w:p>
        </w:tc>
        <w:tc>
          <w:tcPr>
            <w:tcW w:w="7485" w:type="dxa"/>
            <w:gridSpan w:val="6"/>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注册地址</w:t>
            </w:r>
          </w:p>
        </w:tc>
        <w:tc>
          <w:tcPr>
            <w:tcW w:w="3929" w:type="dxa"/>
            <w:gridSpan w:val="3"/>
            <w:noWrap w:val="0"/>
            <w:vAlign w:val="center"/>
          </w:tcPr>
          <w:p>
            <w:pPr>
              <w:jc w:val="center"/>
              <w:rPr>
                <w:rFonts w:hint="eastAsia" w:ascii="宋体" w:hAnsi="宋体" w:cs="宋体"/>
                <w:sz w:val="24"/>
              </w:rPr>
            </w:pPr>
          </w:p>
        </w:tc>
        <w:tc>
          <w:tcPr>
            <w:tcW w:w="1356" w:type="dxa"/>
            <w:noWrap w:val="0"/>
            <w:vAlign w:val="center"/>
          </w:tcPr>
          <w:p>
            <w:pPr>
              <w:jc w:val="center"/>
              <w:rPr>
                <w:rFonts w:hint="eastAsia" w:ascii="宋体" w:hAnsi="宋体" w:cs="宋体"/>
                <w:sz w:val="24"/>
              </w:rPr>
            </w:pPr>
            <w:r>
              <w:rPr>
                <w:rFonts w:hint="eastAsia" w:ascii="宋体" w:hAnsi="宋体" w:cs="宋体"/>
                <w:sz w:val="24"/>
              </w:rPr>
              <w:t>邮政编码</w:t>
            </w:r>
          </w:p>
        </w:tc>
        <w:tc>
          <w:tcPr>
            <w:tcW w:w="2200" w:type="dxa"/>
            <w:gridSpan w:val="2"/>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vMerge w:val="restart"/>
            <w:noWrap w:val="0"/>
            <w:vAlign w:val="center"/>
          </w:tcPr>
          <w:p>
            <w:pPr>
              <w:jc w:val="center"/>
              <w:rPr>
                <w:rFonts w:hint="eastAsia" w:ascii="宋体" w:hAnsi="宋体" w:cs="宋体"/>
                <w:sz w:val="24"/>
              </w:rPr>
            </w:pPr>
            <w:r>
              <w:rPr>
                <w:rFonts w:hint="eastAsia" w:ascii="宋体" w:hAnsi="宋体" w:cs="宋体"/>
                <w:sz w:val="24"/>
              </w:rPr>
              <w:t>联系方式</w:t>
            </w:r>
          </w:p>
        </w:tc>
        <w:tc>
          <w:tcPr>
            <w:tcW w:w="1035" w:type="dxa"/>
            <w:noWrap w:val="0"/>
            <w:vAlign w:val="center"/>
          </w:tcPr>
          <w:p>
            <w:pPr>
              <w:jc w:val="center"/>
              <w:rPr>
                <w:rFonts w:hint="eastAsia" w:ascii="宋体" w:hAnsi="宋体" w:cs="宋体"/>
                <w:sz w:val="24"/>
              </w:rPr>
            </w:pPr>
            <w:r>
              <w:rPr>
                <w:rFonts w:hint="eastAsia" w:ascii="宋体" w:hAnsi="宋体" w:cs="宋体"/>
                <w:sz w:val="24"/>
              </w:rPr>
              <w:t>联系人</w:t>
            </w:r>
          </w:p>
        </w:tc>
        <w:tc>
          <w:tcPr>
            <w:tcW w:w="2894" w:type="dxa"/>
            <w:gridSpan w:val="2"/>
            <w:noWrap w:val="0"/>
            <w:vAlign w:val="center"/>
          </w:tcPr>
          <w:p>
            <w:pPr>
              <w:jc w:val="center"/>
              <w:rPr>
                <w:rFonts w:hint="eastAsia" w:ascii="宋体" w:hAnsi="宋体" w:cs="宋体"/>
                <w:sz w:val="24"/>
              </w:rPr>
            </w:pPr>
          </w:p>
        </w:tc>
        <w:tc>
          <w:tcPr>
            <w:tcW w:w="1356" w:type="dxa"/>
            <w:noWrap w:val="0"/>
            <w:vAlign w:val="center"/>
          </w:tcPr>
          <w:p>
            <w:pPr>
              <w:jc w:val="center"/>
              <w:rPr>
                <w:rFonts w:hint="eastAsia" w:ascii="宋体" w:hAnsi="宋体" w:cs="宋体"/>
                <w:sz w:val="24"/>
              </w:rPr>
            </w:pPr>
            <w:r>
              <w:rPr>
                <w:rFonts w:hint="eastAsia" w:ascii="宋体" w:hAnsi="宋体" w:cs="宋体"/>
                <w:sz w:val="24"/>
              </w:rPr>
              <w:t>联系电话</w:t>
            </w:r>
          </w:p>
        </w:tc>
        <w:tc>
          <w:tcPr>
            <w:tcW w:w="2200" w:type="dxa"/>
            <w:gridSpan w:val="2"/>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vMerge w:val="continue"/>
            <w:noWrap w:val="0"/>
            <w:vAlign w:val="center"/>
          </w:tcPr>
          <w:p>
            <w:pPr>
              <w:jc w:val="center"/>
              <w:rPr>
                <w:rFonts w:hint="eastAsia" w:ascii="宋体" w:hAnsi="宋体" w:cs="宋体"/>
                <w:sz w:val="24"/>
              </w:rPr>
            </w:pPr>
          </w:p>
        </w:tc>
        <w:tc>
          <w:tcPr>
            <w:tcW w:w="1035" w:type="dxa"/>
            <w:noWrap w:val="0"/>
            <w:vAlign w:val="center"/>
          </w:tcPr>
          <w:p>
            <w:pPr>
              <w:jc w:val="center"/>
              <w:rPr>
                <w:rFonts w:hint="eastAsia" w:ascii="宋体" w:hAnsi="宋体" w:cs="宋体"/>
                <w:sz w:val="24"/>
              </w:rPr>
            </w:pPr>
            <w:r>
              <w:rPr>
                <w:rFonts w:hint="eastAsia" w:ascii="宋体" w:hAnsi="宋体" w:cs="宋体"/>
                <w:sz w:val="24"/>
              </w:rPr>
              <w:t>传  真</w:t>
            </w:r>
          </w:p>
        </w:tc>
        <w:tc>
          <w:tcPr>
            <w:tcW w:w="2894" w:type="dxa"/>
            <w:gridSpan w:val="2"/>
            <w:noWrap w:val="0"/>
            <w:vAlign w:val="center"/>
          </w:tcPr>
          <w:p>
            <w:pPr>
              <w:jc w:val="center"/>
              <w:rPr>
                <w:rFonts w:hint="eastAsia" w:ascii="宋体" w:hAnsi="宋体" w:cs="宋体"/>
                <w:sz w:val="24"/>
              </w:rPr>
            </w:pPr>
          </w:p>
        </w:tc>
        <w:tc>
          <w:tcPr>
            <w:tcW w:w="1356" w:type="dxa"/>
            <w:noWrap w:val="0"/>
            <w:vAlign w:val="center"/>
          </w:tcPr>
          <w:p>
            <w:pPr>
              <w:jc w:val="center"/>
              <w:rPr>
                <w:rFonts w:hint="eastAsia" w:ascii="宋体" w:hAnsi="宋体" w:cs="宋体"/>
                <w:sz w:val="24"/>
              </w:rPr>
            </w:pPr>
            <w:r>
              <w:rPr>
                <w:rFonts w:hint="eastAsia" w:ascii="宋体" w:hAnsi="宋体" w:cs="宋体"/>
                <w:sz w:val="24"/>
              </w:rPr>
              <w:t>网址/邮箱</w:t>
            </w:r>
          </w:p>
        </w:tc>
        <w:tc>
          <w:tcPr>
            <w:tcW w:w="2200" w:type="dxa"/>
            <w:gridSpan w:val="2"/>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企业性质</w:t>
            </w:r>
          </w:p>
        </w:tc>
        <w:tc>
          <w:tcPr>
            <w:tcW w:w="7485" w:type="dxa"/>
            <w:gridSpan w:val="6"/>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法定代表人</w:t>
            </w:r>
          </w:p>
        </w:tc>
        <w:tc>
          <w:tcPr>
            <w:tcW w:w="1035" w:type="dxa"/>
            <w:noWrap w:val="0"/>
            <w:vAlign w:val="center"/>
          </w:tcPr>
          <w:p>
            <w:pPr>
              <w:jc w:val="center"/>
              <w:rPr>
                <w:rFonts w:hint="eastAsia" w:ascii="宋体" w:hAnsi="宋体" w:cs="宋体"/>
                <w:sz w:val="24"/>
              </w:rPr>
            </w:pPr>
            <w:r>
              <w:rPr>
                <w:rFonts w:hint="eastAsia" w:ascii="宋体" w:hAnsi="宋体" w:cs="宋体"/>
                <w:sz w:val="24"/>
              </w:rPr>
              <w:t>姓名</w:t>
            </w:r>
          </w:p>
        </w:tc>
        <w:tc>
          <w:tcPr>
            <w:tcW w:w="1696" w:type="dxa"/>
            <w:noWrap w:val="0"/>
            <w:vAlign w:val="center"/>
          </w:tcPr>
          <w:p>
            <w:pPr>
              <w:jc w:val="center"/>
              <w:rPr>
                <w:rFonts w:hint="eastAsia" w:ascii="宋体" w:hAnsi="宋体" w:cs="宋体"/>
                <w:sz w:val="24"/>
              </w:rPr>
            </w:pPr>
          </w:p>
        </w:tc>
        <w:tc>
          <w:tcPr>
            <w:tcW w:w="1198" w:type="dxa"/>
            <w:noWrap w:val="0"/>
            <w:vAlign w:val="center"/>
          </w:tcPr>
          <w:p>
            <w:pPr>
              <w:jc w:val="center"/>
              <w:rPr>
                <w:rFonts w:hint="eastAsia" w:ascii="宋体" w:hAnsi="宋体" w:cs="宋体"/>
                <w:sz w:val="24"/>
              </w:rPr>
            </w:pPr>
            <w:r>
              <w:rPr>
                <w:rFonts w:hint="eastAsia" w:ascii="宋体" w:hAnsi="宋体" w:cs="宋体"/>
                <w:sz w:val="24"/>
              </w:rPr>
              <w:t>技术职称</w:t>
            </w:r>
          </w:p>
        </w:tc>
        <w:tc>
          <w:tcPr>
            <w:tcW w:w="1356" w:type="dxa"/>
            <w:noWrap w:val="0"/>
            <w:vAlign w:val="center"/>
          </w:tcPr>
          <w:p>
            <w:pPr>
              <w:jc w:val="center"/>
              <w:rPr>
                <w:rFonts w:hint="eastAsia" w:ascii="宋体" w:hAnsi="宋体" w:cs="宋体"/>
                <w:sz w:val="24"/>
              </w:rPr>
            </w:pPr>
          </w:p>
        </w:tc>
        <w:tc>
          <w:tcPr>
            <w:tcW w:w="876" w:type="dxa"/>
            <w:noWrap w:val="0"/>
            <w:vAlign w:val="center"/>
          </w:tcPr>
          <w:p>
            <w:pPr>
              <w:jc w:val="center"/>
              <w:rPr>
                <w:rFonts w:hint="eastAsia" w:ascii="宋体" w:hAnsi="宋体" w:cs="宋体"/>
                <w:sz w:val="24"/>
              </w:rPr>
            </w:pPr>
            <w:r>
              <w:rPr>
                <w:rFonts w:hint="eastAsia" w:ascii="宋体" w:hAnsi="宋体" w:cs="宋体"/>
                <w:sz w:val="24"/>
              </w:rPr>
              <w:t>电话</w:t>
            </w:r>
          </w:p>
        </w:tc>
        <w:tc>
          <w:tcPr>
            <w:tcW w:w="1324" w:type="dxa"/>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技术负责人</w:t>
            </w:r>
          </w:p>
        </w:tc>
        <w:tc>
          <w:tcPr>
            <w:tcW w:w="1035" w:type="dxa"/>
            <w:noWrap w:val="0"/>
            <w:vAlign w:val="center"/>
          </w:tcPr>
          <w:p>
            <w:pPr>
              <w:jc w:val="center"/>
              <w:rPr>
                <w:rFonts w:hint="eastAsia" w:ascii="宋体" w:hAnsi="宋体" w:cs="宋体"/>
                <w:sz w:val="24"/>
              </w:rPr>
            </w:pPr>
            <w:r>
              <w:rPr>
                <w:rFonts w:hint="eastAsia" w:ascii="宋体" w:hAnsi="宋体" w:cs="宋体"/>
                <w:sz w:val="24"/>
              </w:rPr>
              <w:t>姓名</w:t>
            </w:r>
          </w:p>
        </w:tc>
        <w:tc>
          <w:tcPr>
            <w:tcW w:w="1696" w:type="dxa"/>
            <w:noWrap w:val="0"/>
            <w:vAlign w:val="center"/>
          </w:tcPr>
          <w:p>
            <w:pPr>
              <w:jc w:val="center"/>
              <w:rPr>
                <w:rFonts w:hint="eastAsia" w:ascii="宋体" w:hAnsi="宋体" w:cs="宋体"/>
                <w:sz w:val="24"/>
              </w:rPr>
            </w:pPr>
          </w:p>
        </w:tc>
        <w:tc>
          <w:tcPr>
            <w:tcW w:w="1198" w:type="dxa"/>
            <w:noWrap w:val="0"/>
            <w:vAlign w:val="center"/>
          </w:tcPr>
          <w:p>
            <w:pPr>
              <w:jc w:val="center"/>
              <w:rPr>
                <w:rFonts w:hint="eastAsia" w:ascii="宋体" w:hAnsi="宋体" w:cs="宋体"/>
                <w:sz w:val="24"/>
              </w:rPr>
            </w:pPr>
            <w:r>
              <w:rPr>
                <w:rFonts w:hint="eastAsia" w:ascii="宋体" w:hAnsi="宋体" w:cs="宋体"/>
                <w:sz w:val="24"/>
              </w:rPr>
              <w:t>技术职称</w:t>
            </w:r>
          </w:p>
        </w:tc>
        <w:tc>
          <w:tcPr>
            <w:tcW w:w="1356" w:type="dxa"/>
            <w:noWrap w:val="0"/>
            <w:vAlign w:val="center"/>
          </w:tcPr>
          <w:p>
            <w:pPr>
              <w:jc w:val="center"/>
              <w:rPr>
                <w:rFonts w:hint="eastAsia" w:ascii="宋体" w:hAnsi="宋体" w:cs="宋体"/>
                <w:sz w:val="24"/>
              </w:rPr>
            </w:pPr>
          </w:p>
        </w:tc>
        <w:tc>
          <w:tcPr>
            <w:tcW w:w="876" w:type="dxa"/>
            <w:noWrap w:val="0"/>
            <w:vAlign w:val="center"/>
          </w:tcPr>
          <w:p>
            <w:pPr>
              <w:jc w:val="center"/>
              <w:rPr>
                <w:rFonts w:hint="eastAsia" w:ascii="宋体" w:hAnsi="宋体" w:cs="宋体"/>
                <w:sz w:val="24"/>
              </w:rPr>
            </w:pPr>
            <w:r>
              <w:rPr>
                <w:rFonts w:hint="eastAsia" w:ascii="宋体" w:hAnsi="宋体" w:cs="宋体"/>
                <w:sz w:val="24"/>
              </w:rPr>
              <w:t>电话</w:t>
            </w:r>
          </w:p>
        </w:tc>
        <w:tc>
          <w:tcPr>
            <w:tcW w:w="1324" w:type="dxa"/>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成立时间</w:t>
            </w:r>
          </w:p>
        </w:tc>
        <w:tc>
          <w:tcPr>
            <w:tcW w:w="2731" w:type="dxa"/>
            <w:gridSpan w:val="2"/>
            <w:noWrap w:val="0"/>
            <w:vAlign w:val="center"/>
          </w:tcPr>
          <w:p>
            <w:pPr>
              <w:jc w:val="center"/>
              <w:rPr>
                <w:rFonts w:hint="eastAsia" w:ascii="宋体" w:hAnsi="宋体" w:cs="宋体"/>
                <w:sz w:val="24"/>
              </w:rPr>
            </w:pPr>
          </w:p>
        </w:tc>
        <w:tc>
          <w:tcPr>
            <w:tcW w:w="4754" w:type="dxa"/>
            <w:gridSpan w:val="4"/>
            <w:noWrap w:val="0"/>
            <w:vAlign w:val="center"/>
          </w:tcPr>
          <w:p>
            <w:pPr>
              <w:rPr>
                <w:rFonts w:hint="eastAsia" w:ascii="宋体" w:hAnsi="宋体" w:cs="宋体"/>
                <w:sz w:val="24"/>
              </w:rPr>
            </w:pPr>
            <w:r>
              <w:rPr>
                <w:rFonts w:hint="eastAsia" w:ascii="宋体" w:hAnsi="宋体" w:cs="宋体"/>
                <w:sz w:val="24"/>
              </w:rPr>
              <w:t>员工总人数：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营业执照号</w:t>
            </w:r>
          </w:p>
        </w:tc>
        <w:tc>
          <w:tcPr>
            <w:tcW w:w="7485" w:type="dxa"/>
            <w:gridSpan w:val="6"/>
            <w:tcBorders>
              <w:bottom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注册资金</w:t>
            </w:r>
          </w:p>
        </w:tc>
        <w:tc>
          <w:tcPr>
            <w:tcW w:w="7485" w:type="dxa"/>
            <w:gridSpan w:val="6"/>
            <w:tcBorders>
              <w:top w:val="single" w:color="auto" w:sz="4" w:space="0"/>
              <w:bottom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开户银行</w:t>
            </w:r>
          </w:p>
        </w:tc>
        <w:tc>
          <w:tcPr>
            <w:tcW w:w="7485" w:type="dxa"/>
            <w:gridSpan w:val="6"/>
            <w:tcBorders>
              <w:top w:val="single" w:color="auto" w:sz="4" w:space="0"/>
              <w:bottom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银行账号</w:t>
            </w:r>
          </w:p>
        </w:tc>
        <w:tc>
          <w:tcPr>
            <w:tcW w:w="7485" w:type="dxa"/>
            <w:gridSpan w:val="6"/>
            <w:tcBorders>
              <w:top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2362"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经营范围备注</w:t>
            </w:r>
          </w:p>
        </w:tc>
        <w:tc>
          <w:tcPr>
            <w:tcW w:w="7485" w:type="dxa"/>
            <w:gridSpan w:val="6"/>
            <w:noWrap w:val="0"/>
            <w:vAlign w:val="center"/>
          </w:tcPr>
          <w:p>
            <w:pPr>
              <w:jc w:val="center"/>
              <w:rPr>
                <w:rFonts w:hint="eastAsia" w:ascii="宋体" w:hAnsi="宋体" w:cs="宋体"/>
                <w:sz w:val="24"/>
              </w:rPr>
            </w:pPr>
          </w:p>
        </w:tc>
      </w:tr>
    </w:tbl>
    <w:p>
      <w:pPr>
        <w:spacing w:line="432" w:lineRule="auto"/>
        <w:rPr>
          <w:rFonts w:hint="eastAsia"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jc w:val="left"/>
        <w:rPr>
          <w:rFonts w:hint="eastAsia" w:ascii="宋体" w:hAnsi="宋体" w:cs="宋体"/>
          <w:b/>
          <w:bCs/>
          <w:sz w:val="28"/>
          <w:szCs w:val="28"/>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rPr>
        <w:br w:type="page"/>
      </w:r>
      <w:bookmarkStart w:id="237" w:name="_Toc494138659"/>
      <w:bookmarkStart w:id="238" w:name="_Toc494292945"/>
      <w:r>
        <w:rPr>
          <w:rFonts w:hint="eastAsia" w:ascii="宋体" w:hAnsi="宋体" w:cs="宋体"/>
          <w:b/>
          <w:bCs/>
          <w:sz w:val="28"/>
          <w:szCs w:val="28"/>
        </w:rPr>
        <w:t>格式</w:t>
      </w:r>
      <w:r>
        <w:rPr>
          <w:rFonts w:ascii="宋体" w:hAnsi="宋体" w:cs="宋体"/>
          <w:b/>
          <w:bCs/>
          <w:sz w:val="28"/>
          <w:szCs w:val="28"/>
        </w:rPr>
        <w:t>8</w:t>
      </w:r>
      <w:r>
        <w:rPr>
          <w:rFonts w:hint="eastAsia" w:ascii="宋体" w:hAnsi="宋体" w:cs="宋体"/>
          <w:b/>
          <w:bCs/>
          <w:sz w:val="28"/>
          <w:szCs w:val="28"/>
        </w:rPr>
        <w:t>-2 与技术、商务等评审计分有关的资料</w:t>
      </w:r>
      <w:bookmarkEnd w:id="237"/>
      <w:bookmarkEnd w:id="238"/>
    </w:p>
    <w:p>
      <w:pPr>
        <w:pStyle w:val="2"/>
        <w:jc w:val="center"/>
        <w:rPr>
          <w:rFonts w:hAnsi="宋体" w:cs="宋体"/>
          <w:b/>
          <w:sz w:val="32"/>
          <w:szCs w:val="32"/>
        </w:rPr>
      </w:pPr>
      <w:r>
        <w:rPr>
          <w:rFonts w:hint="eastAsia" w:hAnsi="宋体" w:cs="宋体"/>
        </w:rPr>
        <w:br w:type="page"/>
      </w:r>
      <w:bookmarkStart w:id="239" w:name="_Toc163636306"/>
      <w:r>
        <w:rPr>
          <w:rFonts w:hint="eastAsia" w:hAnsi="宋体" w:cs="宋体"/>
          <w:b/>
          <w:sz w:val="32"/>
          <w:szCs w:val="32"/>
        </w:rPr>
        <w:t>第五章　采购需求</w:t>
      </w:r>
      <w:bookmarkEnd w:id="239"/>
    </w:p>
    <w:p>
      <w:pPr>
        <w:rPr>
          <w:b/>
          <w:bCs/>
          <w:sz w:val="24"/>
          <w:szCs w:val="22"/>
        </w:rPr>
      </w:pPr>
      <w:r>
        <w:rPr>
          <w:rFonts w:hint="eastAsia" w:ascii="仿宋" w:hAnsi="仿宋" w:eastAsia="仿宋"/>
          <w:b/>
          <w:bCs/>
          <w:sz w:val="32"/>
          <w:szCs w:val="32"/>
        </w:rPr>
        <w:t>一、技术条款</w:t>
      </w:r>
    </w:p>
    <w:tbl>
      <w:tblPr>
        <w:tblStyle w:val="51"/>
        <w:tblW w:w="9634" w:type="dxa"/>
        <w:tblInd w:w="113" w:type="dxa"/>
        <w:tblLayout w:type="autofit"/>
        <w:tblCellMar>
          <w:top w:w="0" w:type="dxa"/>
          <w:left w:w="108" w:type="dxa"/>
          <w:bottom w:w="0" w:type="dxa"/>
          <w:right w:w="108" w:type="dxa"/>
        </w:tblCellMar>
      </w:tblPr>
      <w:tblGrid>
        <w:gridCol w:w="652"/>
        <w:gridCol w:w="761"/>
        <w:gridCol w:w="1308"/>
        <w:gridCol w:w="5363"/>
        <w:gridCol w:w="846"/>
        <w:gridCol w:w="704"/>
      </w:tblGrid>
      <w:tr>
        <w:tblPrEx>
          <w:tblCellMar>
            <w:top w:w="0" w:type="dxa"/>
            <w:left w:w="108" w:type="dxa"/>
            <w:bottom w:w="0" w:type="dxa"/>
            <w:right w:w="108" w:type="dxa"/>
          </w:tblCellMar>
        </w:tblPrEx>
        <w:trPr>
          <w:wAfter w:w="0" w:type="dxa"/>
          <w:trHeight w:val="280" w:hRule="atLeast"/>
        </w:trPr>
        <w:tc>
          <w:tcPr>
            <w:tcW w:w="65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仿宋" w:hAnsi="仿宋" w:eastAsia="仿宋" w:cs="宋体"/>
                <w:b/>
                <w:bCs/>
                <w:kern w:val="0"/>
                <w:sz w:val="22"/>
                <w:szCs w:val="22"/>
              </w:rPr>
            </w:pPr>
            <w:bookmarkStart w:id="240" w:name="_Hlk152013432"/>
            <w:bookmarkStart w:id="241" w:name="_Hlk152013068"/>
            <w:r>
              <w:rPr>
                <w:rFonts w:hint="eastAsia" w:ascii="仿宋" w:hAnsi="仿宋" w:eastAsia="仿宋" w:cs="宋体"/>
                <w:b/>
                <w:bCs/>
                <w:kern w:val="0"/>
                <w:sz w:val="22"/>
                <w:szCs w:val="22"/>
              </w:rPr>
              <w:t>序号</w:t>
            </w:r>
          </w:p>
        </w:tc>
        <w:tc>
          <w:tcPr>
            <w:tcW w:w="761"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b/>
                <w:bCs/>
                <w:kern w:val="0"/>
                <w:sz w:val="22"/>
                <w:szCs w:val="22"/>
              </w:rPr>
            </w:pPr>
            <w:r>
              <w:rPr>
                <w:rFonts w:hint="eastAsia" w:ascii="仿宋" w:hAnsi="仿宋" w:eastAsia="仿宋" w:cs="宋体"/>
                <w:b/>
                <w:bCs/>
                <w:kern w:val="0"/>
                <w:sz w:val="22"/>
                <w:szCs w:val="22"/>
              </w:rPr>
              <w:t>项目分类</w:t>
            </w:r>
          </w:p>
        </w:tc>
        <w:tc>
          <w:tcPr>
            <w:tcW w:w="1308"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b/>
                <w:bCs/>
                <w:kern w:val="0"/>
                <w:sz w:val="22"/>
                <w:szCs w:val="22"/>
              </w:rPr>
            </w:pPr>
            <w:r>
              <w:rPr>
                <w:rFonts w:hint="eastAsia" w:ascii="仿宋" w:hAnsi="仿宋" w:eastAsia="仿宋" w:cs="宋体"/>
                <w:b/>
                <w:bCs/>
                <w:kern w:val="0"/>
                <w:sz w:val="22"/>
                <w:szCs w:val="22"/>
              </w:rPr>
              <w:t>项目名称</w:t>
            </w:r>
          </w:p>
        </w:tc>
        <w:tc>
          <w:tcPr>
            <w:tcW w:w="5363"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b/>
                <w:bCs/>
                <w:kern w:val="0"/>
                <w:sz w:val="22"/>
                <w:szCs w:val="22"/>
              </w:rPr>
            </w:pPr>
            <w:r>
              <w:rPr>
                <w:rFonts w:hint="eastAsia" w:ascii="仿宋" w:hAnsi="仿宋" w:eastAsia="仿宋" w:cs="宋体"/>
                <w:b/>
                <w:bCs/>
                <w:kern w:val="0"/>
                <w:sz w:val="22"/>
                <w:szCs w:val="22"/>
              </w:rPr>
              <w:t>功能描述</w:t>
            </w:r>
          </w:p>
        </w:tc>
        <w:tc>
          <w:tcPr>
            <w:tcW w:w="846"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b/>
                <w:bCs/>
                <w:kern w:val="0"/>
                <w:sz w:val="22"/>
                <w:szCs w:val="22"/>
              </w:rPr>
            </w:pPr>
            <w:r>
              <w:rPr>
                <w:rFonts w:hint="eastAsia" w:ascii="仿宋" w:hAnsi="仿宋" w:eastAsia="仿宋" w:cs="宋体"/>
                <w:b/>
                <w:bCs/>
                <w:kern w:val="0"/>
                <w:sz w:val="22"/>
                <w:szCs w:val="22"/>
              </w:rPr>
              <w:t>数量</w:t>
            </w:r>
          </w:p>
        </w:tc>
        <w:tc>
          <w:tcPr>
            <w:tcW w:w="704" w:type="dxa"/>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b/>
                <w:bCs/>
                <w:kern w:val="0"/>
                <w:sz w:val="22"/>
                <w:szCs w:val="22"/>
              </w:rPr>
            </w:pPr>
            <w:r>
              <w:rPr>
                <w:rFonts w:hint="eastAsia" w:ascii="仿宋" w:hAnsi="仿宋" w:eastAsia="仿宋" w:cs="宋体"/>
                <w:b/>
                <w:bCs/>
                <w:kern w:val="0"/>
                <w:sz w:val="22"/>
                <w:szCs w:val="22"/>
              </w:rPr>
              <w:t>单位</w:t>
            </w:r>
          </w:p>
        </w:tc>
      </w:tr>
      <w:tr>
        <w:tblPrEx>
          <w:tblCellMar>
            <w:top w:w="0" w:type="dxa"/>
            <w:left w:w="108" w:type="dxa"/>
            <w:bottom w:w="0" w:type="dxa"/>
            <w:right w:w="108" w:type="dxa"/>
          </w:tblCellMar>
        </w:tblPrEx>
        <w:trPr>
          <w:trHeight w:val="418"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仿宋" w:hAnsi="仿宋" w:eastAsia="仿宋" w:cs="宋体"/>
                <w:b/>
                <w:bCs/>
                <w:kern w:val="0"/>
                <w:sz w:val="22"/>
                <w:szCs w:val="22"/>
              </w:rPr>
            </w:pPr>
            <w:r>
              <w:rPr>
                <w:rFonts w:hint="eastAsia" w:ascii="仿宋" w:hAnsi="仿宋" w:eastAsia="仿宋" w:cs="宋体"/>
                <w:b/>
                <w:bCs/>
                <w:kern w:val="0"/>
                <w:sz w:val="22"/>
                <w:szCs w:val="22"/>
              </w:rPr>
              <w:t>一</w:t>
            </w:r>
          </w:p>
        </w:tc>
        <w:tc>
          <w:tcPr>
            <w:tcW w:w="8982" w:type="dxa"/>
            <w:gridSpan w:val="5"/>
            <w:tcBorders>
              <w:top w:val="single" w:color="auto" w:sz="4" w:space="0"/>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b/>
                <w:bCs/>
                <w:kern w:val="0"/>
                <w:sz w:val="22"/>
                <w:szCs w:val="22"/>
              </w:rPr>
            </w:pPr>
            <w:r>
              <w:rPr>
                <w:rFonts w:hint="eastAsia" w:ascii="仿宋" w:hAnsi="仿宋" w:eastAsia="仿宋" w:cs="宋体"/>
                <w:b/>
                <w:bCs/>
                <w:kern w:val="0"/>
                <w:sz w:val="22"/>
                <w:szCs w:val="22"/>
              </w:rPr>
              <w:t>封闭园区设备</w:t>
            </w:r>
          </w:p>
        </w:tc>
      </w:tr>
      <w:tr>
        <w:tblPrEx>
          <w:tblCellMar>
            <w:top w:w="0" w:type="dxa"/>
            <w:left w:w="108" w:type="dxa"/>
            <w:bottom w:w="0" w:type="dxa"/>
            <w:right w:w="108" w:type="dxa"/>
          </w:tblCellMar>
        </w:tblPrEx>
        <w:trPr>
          <w:wAfter w:w="0" w:type="dxa"/>
          <w:trHeight w:val="819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园区测速系统</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园区测速一体机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雷达视频测速一体机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传感器类型：1/1.8"CMOS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ICR类型：红外</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雷达：测速范围：-250km/h~250km/h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性能特点：空间分辨率高、穿透能力强，支持全天候环境下工作，不受雨、雾、大风、灰尘、光照等影响</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扫频带宽：136.5MHz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调制波形：FMCW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水平角：-15°~ +15°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俯仰角：-3°~ +3°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作用距离：20m ~100m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串口：1个RS-485接口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图片格式：JPEG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智能识别：卡口抓拍、车牌识别、车型识别、车身颜色识别、车辆特征检测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网络接口：2个RJ45 100M /1000M自适应以太网口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报警输出：1路继电器开关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最小照度</w:t>
            </w:r>
            <w:r>
              <w:rPr>
                <w:rFonts w:ascii="Arial" w:hAnsi="Arial" w:eastAsia="仿宋" w:cs="Arial"/>
                <w:kern w:val="0"/>
                <w:sz w:val="22"/>
                <w:szCs w:val="22"/>
              </w:rPr>
              <w:t xml:space="preserve">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彩色0.01Lux@(F1</w:t>
            </w:r>
            <w:r>
              <w:rPr>
                <w:rFonts w:ascii="Arial" w:hAnsi="Arial" w:eastAsia="仿宋" w:cs="Arial"/>
                <w:kern w:val="0"/>
                <w:sz w:val="22"/>
                <w:szCs w:val="22"/>
              </w:rPr>
              <w:t>.</w:t>
            </w:r>
            <w:r>
              <w:rPr>
                <w:rFonts w:hint="eastAsia" w:ascii="仿宋" w:hAnsi="仿宋" w:eastAsia="仿宋" w:cs="宋体"/>
                <w:kern w:val="0"/>
                <w:sz w:val="22"/>
                <w:szCs w:val="22"/>
              </w:rPr>
              <w:t>2,AGC ON)</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黑白0.001Lux@(F1.2,AGC ON)</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快门：1/25秒至1/100,000秒</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视频压缩标准：H.264,H.265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压缩输出码率：32 Kbps~16 Mbps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帧率：25fps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图像设置：饱和度，亮度，对比度，白平衡，增益通过软件可调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存储功能：TF</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支持协议：TCP，UDP，IPv4，IPv6，DNS，HTTP，HTTPS，FTP，RTP，RTSP，RTCP，SIP，ARP，SSL，NTP</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通用功能：心跳，密码保护，NTP校时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工作温度：-30°C~70°C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工作湿度：5%~95%@40°C，无凝结</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电源：DC36V±10%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功耗：25W MAX</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防护等级：IP67</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焦距：16mm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分辨率：3840×2160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白平衡：自动/手动多种白平衡模式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数字降噪：3D数字降噪</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0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LED常亮灯</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光源类型：优质大功率LED，三车道车牌补光灯</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LED灯珠数量：16颗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发光角度：40°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最佳补光距离：16米-25米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触发方式：电平量触发(可选配开关量触发)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响应时间：小于20us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触发信号电平：4V-6V</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防护等级：IP66</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支</w:t>
            </w:r>
          </w:p>
        </w:tc>
      </w:tr>
      <w:tr>
        <w:tblPrEx>
          <w:tblCellMar>
            <w:top w:w="0" w:type="dxa"/>
            <w:left w:w="108" w:type="dxa"/>
            <w:bottom w:w="0" w:type="dxa"/>
            <w:right w:w="108" w:type="dxa"/>
          </w:tblCellMar>
        </w:tblPrEx>
        <w:trPr>
          <w:wAfter w:w="0" w:type="dxa"/>
          <w:trHeight w:val="18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终端录制存储设备</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嵌入式操作系统，内置1块2T硬盘；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双网卡，具备4个100M以太网接口及2个1000M以太网接口、2个1000M SFP光纤接口；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坚固紧凑无风扇设计，体积小巧，适合在路边机柜及抱杆机柜使用，单面接口设计，更便于施工操作；</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最大支持2TB硬盘存储，图片与录像可设置配额；</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支持对通行车辆的信息（记录和图片、录像）存储；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可配置多种字符叠加、图片合成模式；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支持区间测速功能；</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520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交通情报板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【园区测速提示牌，车速显示】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包含：测速牌、抱箍</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外壳材质：铝板折边、表面喷塑贴反光膜</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工作电压：AC 220V±44V，50Hz</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总功率：≤10W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通讯接口：RJ45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测速显示数值：红199～1；绿199～1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LED中心亮度：红&gt;5000 cd/㎡；黄&gt;5000 cd/㎡ ；绿&gt;5000 cd/㎡</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LED直径：Φ5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单管电流：≤20mA</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LED寿命：≥100000小时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反光膜等级：3级</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反光膜寿命：≥10年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可视距离：≥500m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可视角度：&gt;30°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工作温度：-40℃ ~ +80℃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相对湿度：≤95%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保存环境：0~50℃，40~60%RH</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防护等级：IP53</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31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机柜产品</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抱杆机柜</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含双路220V电源防雷，双路10A空气开关一个， 3芯插座一个，抱杆安装</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结构：整体结构采用拼焊结构，牢固、钢性好、牢固可靠</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防护等级IP55，保护内部设备不受外界恶劣环境的干扰</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机柜采用主体焊接、部分拼装的结构，保证了防护性</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采用的是专用户外柜锁，具有良好的防水、防盗性能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环境适应性好，能最大限度地降低设备对环境的要求接地系统安全可靠</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机柜底部进出线缆，有效实现防水、防尘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机柜采用抱杆安装方式，具有防虫、防鼠功效</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一般规范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工作湿度：湿度5%~95%@40℃，无凝结</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工作温度：温度-40℃~70℃</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7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横杆装抱箍</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抓拍机柱装法兰盘-钢带抱箍110/300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安装杆件直径范围 60-300mm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默认周长范围：340~950mm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36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7</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POE交换机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提供8个千兆PoE电口，1个千兆电口，1个千兆光口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交换容量 20 Gbps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包转发率 14.88 Mpps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802.3at/af</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端口最大供电功率 30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整机最大供电功率 110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802.3、IEEE 802.3u、IEEE 802.3x、IEEE802.3ab、IEEE802.3z</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支持6 KV防浪涌（PoE口）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支持PoE输出功率管理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千兆网络接入设计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线速转发、无阻塞设计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存储转发交换方式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坚固式高强度金属外壳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无风扇设计，高可靠性</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60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8</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千兆光模块</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千兆20公里单模双纤模块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不分收发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TX1310nm/1.25G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RX1310nm/1.25G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20km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0～70℃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SFP</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发射光功率:-6～-1dBm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接收灵敏度（低值）:-21dBm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9</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6000*6000立杆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主杆口径260-200-60；横杆口径190-120-50；含地配套防雷，立杆基体（钢筋混泥土浇筑）。</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立杆挂箱</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304不锈钢喷塑，厚度不低于1.2mm，大小300mm*400mm*500mm,带散热背板，含电源等配套辅材，辅材为6条车道施工提供。</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72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11</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园区违停抓拍系统</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违停抓拍球</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400万像素红外违章检测一体球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支持32倍光学变倍，16倍数字变倍;</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道路违章取证：违停、逆行、压线、变道、机占非、掉头;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交通数据采集：车流量、车道平均速度、车头时距、车头间距、车道时间占有率、车道空间占有率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道路事件检测：（1）高速、高架场景道路事件检测：抛洒物检测、行人检测、拥堵检测、路障检测、施工检测、交通事故检测；（2）城市道路场景道路事件检测：拥堵检测、路障检测、施工检测、交通事故检测;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多场景巡航下，违停有效检测距离300 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支持多场景巡航检测，并可配置场景巡航自适应功能;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支持对静止或运动车辆的手动取证功能。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支持违法数据的断点续传功能;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支持语音联动功能;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可配置多种字符叠加、图片合成模式，并支持违法图片叠加防伪水印;</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支持违法数据上传FTP服务器、交通终端服务器、中心管理系统平台;</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支持最大2560×1440@30fps高清画面输出;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支持H.265高效压缩算法，可较大节省存储空间;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星光级超低照度,0.0005Lux/F1.2(彩色),0.0001Lux/F1.2(黑白) ,0 Lux with IR;</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采用高效红外阵列，低功耗，照射距离最远可达250m;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支持宽动态范围达120dB,适合逆光环境监控;</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支持3D数字降噪、强光抑制、混合防抖、SmartIR;</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支持360°水平旋转，垂直方向-20°-90°（自动翻转）;</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支持300个预置位，8条巡航扫描;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支持3D定位功能，可通过鼠标框选目标以实现目标的快速定位与捕捉;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支持定时任务、守望、一键巡航;</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支持雨刷功能;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同时支持1路音频输入和1路音频输出;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内置7路报警输入和2路报警输出，支持报警联动功能;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支持最大256G的 Micro SD/Micro SDHC/Micro SDXC卡存储;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防雷、防浪涌、防突波，IP67防护等级;</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12</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电源</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国标,AC24V</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13</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支架</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壁装支架/白色/铝合金/98×182×362mm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个</w:t>
            </w:r>
          </w:p>
        </w:tc>
      </w:tr>
      <w:tr>
        <w:tblPrEx>
          <w:tblCellMar>
            <w:top w:w="0" w:type="dxa"/>
            <w:left w:w="108" w:type="dxa"/>
            <w:bottom w:w="0" w:type="dxa"/>
            <w:right w:w="108" w:type="dxa"/>
          </w:tblCellMar>
        </w:tblPrEx>
        <w:trPr>
          <w:wAfter w:w="0" w:type="dxa"/>
          <w:trHeight w:val="36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14</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POE交换机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提供8个千兆PoE电口，1个千兆电口，1个千兆光口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交换容量 20 Gbps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包转发率 14.88 Mpps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802.3at/af</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端口最大供电功率 30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整机最大供电功率 110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802.3、IEEE 802.3u、IEEE 802.3x、IEEE802.3ab、IEEE802.3z</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支持6 KV防浪涌（PoE口）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支持PoE输出功率管理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千兆网络接入设计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线速转发、无阻塞设计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存储转发交换方式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坚固式高强度金属外壳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无风扇设计，高可靠性</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60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15</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千兆光模块</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千兆20公里单模双纤模块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不分收发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TX1310nm/1.25G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RX1310nm/1.25G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20km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0～70℃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SFP</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发射光功率:-6～-1dBm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接收灵敏度（低值）:-21dBm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16</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6000*6000立杆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主杆口径260-200-60；横杆口径190-120-50；含地配套防雷，立杆基体（钢筋混泥土浇筑）。</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17</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立杆挂箱</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304不锈钢喷塑，厚度不低于1.2mm，大小300mm*400mm*500mm,带散热背板，含电源等配套辅材，辅材为6条车道施工提供。</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18</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系统配套管线辅材及施工</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网线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室外超六类防水网线</w:t>
            </w:r>
          </w:p>
        </w:tc>
        <w:tc>
          <w:tcPr>
            <w:tcW w:w="846"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电源线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RVV3*1.5室外防水电源线</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KBG25管</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KBG25</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过路钢管</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过路50钢管</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10*3电缆</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光缆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室外12型光缆</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设备安装及调试、管线施工费用（三个片区测速系统与违停系统建设所需施工工序）</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系统软件、前端摄像机安装调试；</w:t>
            </w:r>
          </w:p>
        </w:tc>
        <w:tc>
          <w:tcPr>
            <w:tcW w:w="846"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线缆施工，开挖填埋；</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光纤熔接及配套辅材配件（含光汇聚箱、尾纤、跳线、光纤熔接盒、光纤配线架）</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绿化恢复</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特种车辆（吊车、升降车）</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开槽破路，路面修复；</w:t>
            </w:r>
          </w:p>
        </w:tc>
        <w:tc>
          <w:tcPr>
            <w:tcW w:w="8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1820" w:hRule="atLeast"/>
        </w:trPr>
        <w:tc>
          <w:tcPr>
            <w:tcW w:w="652"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19</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人脸门禁进出系统</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平开门</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1、广告画尺寸1060mm*650mm，前后两张</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2、通道宽度890mm—1400mm，尺寸可以现场调节</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3、工作电压24VDC，工作温度范围-20℃~50℃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4、灯箱广告LED发光均匀</w:t>
            </w:r>
            <w:r>
              <w:rPr>
                <w:rFonts w:hint="eastAsia" w:ascii="仿宋" w:hAnsi="仿宋" w:eastAsia="仿宋" w:cs="宋体"/>
                <w:kern w:val="0"/>
                <w:sz w:val="22"/>
                <w:szCs w:val="22"/>
              </w:rPr>
              <w:br w:type="textWrapping"/>
            </w:r>
            <w:r>
              <w:rPr>
                <w:rFonts w:hint="eastAsia" w:ascii="仿宋" w:hAnsi="仿宋" w:eastAsia="仿宋" w:cs="宋体"/>
                <w:kern w:val="0"/>
                <w:sz w:val="22"/>
                <w:szCs w:val="22"/>
              </w:rPr>
              <w:t>5、开合方向可控制，开合方式可遥控，（自带两遥控器）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6、遇阻保护：设备采用雷达感应技术，支持遇阻反弹和防夹保护功能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7、广告门控制调节：关门力度，开门保持时间，广告门开、关门速度，减速角度、加速度可调节</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312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人脸门禁一体机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操作系统：嵌入式Linux操作系统；</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屏幕参数： 7英寸触摸显示屏，屏幕比例9:16，屏幕分辨率600*1024；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摄像头参数：采用宽动态200万双目摄像头；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认证方式：支持人脸、刷卡（IC卡、手机NFC卡、CPU卡序列号/内容、身份证卡序列号）、密码认证方式，可外接身份证、指纹、蓝牙、二维码功能模块；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人脸识别：采用深度学习算法，支持单人或多人识别（最多5人同时认证）功能；支持照片、视频防假；1:N人脸识别速度≤0.2s，人脸验证准确率≥99%；</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存储容量：本地支持10000人脸库、50000张卡，15万条事件记录；</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硬件接口：LAN*1、RS485*1、Wiegand * 1(支持双向)、typeC类型USB接口*1、电锁*1、门磁*1、报警输入*2、报警输出*1、开门按钮*1、SD卡槽*1（最大支持512GB）、3.5mm音频输出接口*1；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通信方式及网络协议：有线网络；</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使用环境：IP65，室内外环境；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安装方式：壁挂安装；</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工作电压： DC12V~24V/2A；</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78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遮阳罩</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遮阳罩</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使用环境：室内室外</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安装方式：卡扣式安装</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130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电源</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输出电压：12VDC；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输出电流：4.17A；</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输出功率：50W；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纹波与噪声：&lt; 150mVpp；</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电压调整范围：11-14Vdc；</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立柱</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1.2米/1.5米高立柱</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根</w:t>
            </w:r>
          </w:p>
        </w:tc>
      </w:tr>
      <w:tr>
        <w:tblPrEx>
          <w:tblCellMar>
            <w:top w:w="0" w:type="dxa"/>
            <w:left w:w="108" w:type="dxa"/>
            <w:bottom w:w="0" w:type="dxa"/>
            <w:right w:w="108" w:type="dxa"/>
          </w:tblCellMar>
        </w:tblPrEx>
        <w:trPr>
          <w:wAfter w:w="0" w:type="dxa"/>
          <w:trHeight w:val="62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20</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出入口管理系统</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车辆道闸</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采用一体化机芯，平行齿轮减速连杆传动，传动平稳、效率高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侧贴式安装，安装方便、结构紧凑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齿轮碳钢材质，淬火处理工艺，抗磨损、抗冲击，寿命长</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直流无刷电机、输出力矩大、体积小，噪音低，精确智能控制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支持遇阻反弹，开优先保护功能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直流变频控制，快速抬杆慢速落杆，运行平稳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事件日志记录、方便操作追踪</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支持红外，地感，雷达等多种防砸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支持故障码数码管检测，日志记录、丰富状态指示，故障码数码管显示、问题定位快捷、方便维护</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手动开闸功能：停电时可转动手轮，使道闸保持开状态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接口参数</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开/关到位输出接口：各1组</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开/关/停控制信号接口：各1组</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红外/地感防砸信号接口：1组</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485控制接口：1组</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杆子类型：直杆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工作温度和湿度：-30~70 °C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防护等级：IP54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工作电压：AC220V</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电机类型：直流无刷</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运行噪声：60分贝</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电机功率：250W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运行速度：2s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机箱材质：冷轧钢</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48</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819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21</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出入口抓拍机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集成度高：集摄像机、护罩、LED补光灯、镜头于一体，有效节省施工布线成本；</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最低照度：彩色0.022Lux@(F1.2,AGC ON)</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黑白0.011Lux @(F1.2,AGC ON)</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快门：1/30秒至1/100,000秒</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传感器类型：1/3" Progressive Scan CMOS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自动光圈：DC驱动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ICR切换：支持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镜头：电动镜头3.1-6mm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日夜转换模式：ICR红外滤片式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数字降噪：3D数字降噪</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压缩标准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视频压缩标准：H.264/H.265/MJPEG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视频压缩码率：32 Kbps~16M 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图像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帧率：25fps(1920*1200)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图像设置：饱和度,亮度,对比度,白平衡,增益,3D降噪通过软件可调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图像格式：JPEG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最大图像尺寸：1920*1200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网络功能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存储功能：支持SD/SDHC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通用功能：心跳,密码保护,NTP校时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支持协议：TCP/IP,HTTP,DHCP,DNS,RTP,RTSP,NTP,支持FTP上传图片</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抓拍功能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智能识别：车牌识别、车型识别、车标识别、车辆子品牌，车身颜色识别</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补光灯控制：补光灯自动光控、时控可选；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图片格式：采用JPEG编码,图片质量可设</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接口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通讯接口：1 个RJ45 10M/100M,自适应以太网口,1个 RS-485 接口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外部接口：3路触发输入，其中1路IO触发输入、2路报警输入；2路继电器输出，支持道闸开、关、停</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内存卡插槽：1个TF卡插槽，可选配TF卡，最大支持容量64G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音频输出：1路音频输入输出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补光灯：支持2个内置LED灯，白光红外可切换</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一般规范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防护等级：IP67</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工作温度和湿度：-25℃~70℃,湿度小于90%(无凝结)</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电源供应：AC100V~240V</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功耗：22W MAX</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48</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22</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立柱</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立柱高度：1.3米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立柱直径：60mm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48</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根</w:t>
            </w:r>
          </w:p>
        </w:tc>
      </w:tr>
      <w:tr>
        <w:tblPrEx>
          <w:tblCellMar>
            <w:top w:w="0" w:type="dxa"/>
            <w:left w:w="108" w:type="dxa"/>
            <w:bottom w:w="0" w:type="dxa"/>
            <w:right w:w="108" w:type="dxa"/>
          </w:tblCellMar>
        </w:tblPrEx>
        <w:trPr>
          <w:wAfter w:w="0" w:type="dxa"/>
          <w:trHeight w:val="28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23</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LED显示屏</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双基色显示，可以显示红色、绿色、黄色</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分辨率64*64，支持最小16点阵显示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支持自定义语音报备，比如车牌信息、广告宣传信息、余位信息等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可显示数字、字符、图形（BMP格式）、汉字，支持GB2312字符集，支持16x16点阵、32x32点阵常用汉字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室外使用，防护等级IP54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内置语音模块，可通过网线控制语音输出支持自定义语音播报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显示屏参数</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显示分辨率：64*64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显示亮度：1200cd/m2</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屏幕类型：LED</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显示：4行4字</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块</w:t>
            </w:r>
          </w:p>
        </w:tc>
      </w:tr>
      <w:tr>
        <w:tblPrEx>
          <w:tblCellMar>
            <w:top w:w="0" w:type="dxa"/>
            <w:left w:w="108" w:type="dxa"/>
            <w:bottom w:w="0" w:type="dxa"/>
            <w:right w:w="108" w:type="dxa"/>
          </w:tblCellMar>
        </w:tblPrEx>
        <w:trPr>
          <w:wAfter w:w="0" w:type="dxa"/>
          <w:trHeight w:val="49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24</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控制终端</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出入口控制终端显示一体机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双千兆网卡，支持网络容错以及双网络IP设定、双网隔离等应用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2个标准全功能RS232接口，可直接接入标准RS232接口设备</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标配128G SSD，应对恶略运行环境，适应性更强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支持大容量图片存储，可选配一块2.5寸机械硬盘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3.5mm标准音频孔设计，便于接入标准接口音频设备</w:t>
            </w:r>
            <w:r>
              <w:rPr>
                <w:rFonts w:hint="eastAsia" w:ascii="仿宋" w:hAnsi="仿宋" w:eastAsia="仿宋" w:cs="宋体"/>
                <w:kern w:val="0"/>
                <w:sz w:val="22"/>
                <w:szCs w:val="22"/>
              </w:rPr>
              <w:br w:type="textWrapping"/>
            </w:r>
            <w:r>
              <w:rPr>
                <w:rFonts w:hint="eastAsia" w:ascii="仿宋" w:hAnsi="仿宋" w:eastAsia="仿宋" w:cs="宋体"/>
                <w:kern w:val="0"/>
                <w:sz w:val="22"/>
                <w:szCs w:val="22"/>
              </w:rPr>
              <w:t>HDMI显示器输出支持，较好的兼容外部显示设备接入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21.5英寸显示屏幕，配套鼠标键盘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存储功能：128G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音频输出：3.5MM标准输出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报警输出：4路报警输出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报警输入：4路报警输入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音频输入：3.5MM标准输入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RS232接口：2路</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网络接口：千兆RJ45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RS485接口：1路</w:t>
            </w:r>
            <w:r>
              <w:rPr>
                <w:rFonts w:hint="eastAsia" w:ascii="仿宋" w:hAnsi="仿宋" w:eastAsia="仿宋" w:cs="宋体"/>
                <w:kern w:val="0"/>
                <w:sz w:val="22"/>
                <w:szCs w:val="22"/>
              </w:rPr>
              <w:br w:type="textWrapping"/>
            </w:r>
            <w:r>
              <w:rPr>
                <w:rFonts w:hint="eastAsia" w:ascii="仿宋" w:hAnsi="仿宋" w:eastAsia="仿宋" w:cs="宋体"/>
                <w:kern w:val="0"/>
                <w:sz w:val="22"/>
                <w:szCs w:val="22"/>
              </w:rPr>
              <w:t>USB接口：4个USB接口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HDMI接口：1路</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通信方式：RJ45</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19</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36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25</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工业级交换机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提供8个千兆PoE电口，1个千兆电口，1个千兆光口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交换容量 20 Gbps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包转发率 14.88 Mpps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802.3at/af</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端口最大供电功率 30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整机最大供电功率 110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802.3、IEEE 802.3u、IEEE 802.3x、IEEE802.3ab、IEEE802.3z</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支持6 KV防浪涌（PoE口）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支持PoE输出功率管理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千兆网络接入设计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线速转发、无阻塞设计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存储转发交换方式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坚固式高强度金属外壳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无风扇设计，高可靠性</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3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26</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专用雷达</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【防砸雷达】</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采用79GHz MMIC技术，分辨率更高，检测更稳定；</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雷达检测距离可调，检测宽度可调，操作方便，通用性强；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无需学习背景，适应更多复杂现场环境；</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采用先进的信号处理技术，可稳定检测到行人和车辆，有效防止“砸车、砸人”事故的发生。</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采用LED灯指示雷达工作状态，状态更直观。</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自动记录雷达的配置参数，断电重启后可恢复至之前的工作状态；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环境适应性强，检测性能不受电磁干扰、光照、灰尘、雨雪等外界环境影响。</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具备检测车和人功能，支持单人过滤。</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48</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个</w:t>
            </w:r>
          </w:p>
        </w:tc>
      </w:tr>
      <w:tr>
        <w:tblPrEx>
          <w:tblCellMar>
            <w:top w:w="0" w:type="dxa"/>
            <w:left w:w="108" w:type="dxa"/>
            <w:bottom w:w="0" w:type="dxa"/>
            <w:right w:w="108" w:type="dxa"/>
          </w:tblCellMar>
        </w:tblPrEx>
        <w:trPr>
          <w:wAfter w:w="0" w:type="dxa"/>
          <w:trHeight w:val="260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27</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千兆光模块</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千兆20公里单模双纤模块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不分收发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TX1310nm/1.25G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RX1310nm/1.25G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20km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0～70℃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SFP</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发射光功率:-6～-1dBm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接收灵敏度（低值）:-21dBm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24</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28</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系统配套管线辅材及施工</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信号控制线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RVV4*1.0</w:t>
            </w:r>
          </w:p>
        </w:tc>
        <w:tc>
          <w:tcPr>
            <w:tcW w:w="846"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电源线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RVV3*1.5室外防水电源线</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光缆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室外12型光缆</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KBG25管</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KBG25</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施工辅材、安装调试（三个片区测速系统与违停系统建设所需施工工序）</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卡口设备安装、系统联网调试费用；</w:t>
            </w:r>
          </w:p>
        </w:tc>
        <w:tc>
          <w:tcPr>
            <w:tcW w:w="846"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开槽破路，路面恢复；</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卡口设备安装辅材（含交换机、开关电源等）、系统各式配件。</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施工耗材</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线缆施工，开挖填埋；</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卡口基础配电建设，就近取电，含10*3电缆。</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62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29</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卡口监控系统</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400万白光全彩筒型网络摄像机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400万 1/3" CMOS 白光全彩筒型网络摄像机</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智能侦测：支持越界侦测，区域入侵侦测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1个内置麦克风，高清拾音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白光/红外双补光，白光最远可达30 m，红外最远可达50 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最低照度: 彩色：0.005 Lux @（F1.2，AGC ON），0 Lux with IR</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宽动态: 120 dB</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焦距&amp;视场角:</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2.8 mm，水平视场角：97°，垂直视场角：52.3°，对角线视场角：114.3°</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 mm，水平视场角：78.8°，垂直视场角:40.5°，对角线视场角：93.9°</w:t>
            </w:r>
            <w:r>
              <w:rPr>
                <w:rFonts w:hint="eastAsia" w:ascii="仿宋" w:hAnsi="仿宋" w:eastAsia="仿宋" w:cs="宋体"/>
                <w:kern w:val="0"/>
                <w:sz w:val="22"/>
                <w:szCs w:val="22"/>
              </w:rPr>
              <w:br w:type="textWrapping"/>
            </w:r>
            <w:r>
              <w:rPr>
                <w:rFonts w:hint="eastAsia" w:ascii="仿宋" w:hAnsi="仿宋" w:eastAsia="仿宋" w:cs="宋体"/>
                <w:kern w:val="0"/>
                <w:sz w:val="22"/>
                <w:szCs w:val="22"/>
              </w:rPr>
              <w:t>6 mm，水平视场角：49.1°，垂直视场角：26.3°，对角线视场角：57.2°</w:t>
            </w:r>
            <w:r>
              <w:rPr>
                <w:rFonts w:hint="eastAsia" w:ascii="仿宋" w:hAnsi="仿宋" w:eastAsia="仿宋" w:cs="宋体"/>
                <w:kern w:val="0"/>
                <w:sz w:val="22"/>
                <w:szCs w:val="22"/>
              </w:rPr>
              <w:br w:type="textWrapping"/>
            </w:r>
            <w:r>
              <w:rPr>
                <w:rFonts w:hint="eastAsia" w:ascii="仿宋" w:hAnsi="仿宋" w:eastAsia="仿宋" w:cs="宋体"/>
                <w:kern w:val="0"/>
                <w:sz w:val="22"/>
                <w:szCs w:val="22"/>
              </w:rPr>
              <w:t>8 mm，水平视场角：37.5°，垂直视场角：20.7°，对角线视场角：43.3°</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12 mm，水平视场角：23.4°，垂直视场角：13.3°，对角线视场角：26.88°</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补光灯类型: 默认白光，可切换红外补光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补光距离: 红外光最远可达50 m，白光最远可达30 m防补光过曝: 支持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最大图像尺寸: 2560 × 1440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视频压缩标准: 主码流：H.265/H.264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音频: 1个内置麦克风</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网络: 1个RJ45 10 M/100 M自适应以太网口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启动及工作温湿度: -30 ℃~60 ℃，湿度小于95%（无凝结）</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供电方式: DC：12 V ± 25%，支持防反接保护</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电流及功耗: DC：12 V，0.75 A，最大功耗：9.0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防护: IP66</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130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30</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支架</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壁装支架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外观 白</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适用范围 适合枪型、筒型、一体型摄像机壁装</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材料 铝合金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调整角度 水平：360°，垂直：-45°~45°</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个</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31</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电源</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DC12V电源适配器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安装方式:壁挂式</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个</w:t>
            </w:r>
          </w:p>
        </w:tc>
      </w:tr>
      <w:tr>
        <w:tblPrEx>
          <w:tblCellMar>
            <w:top w:w="0" w:type="dxa"/>
            <w:left w:w="108" w:type="dxa"/>
            <w:bottom w:w="0" w:type="dxa"/>
            <w:right w:w="108" w:type="dxa"/>
          </w:tblCellMar>
        </w:tblPrEx>
        <w:trPr>
          <w:wAfter w:w="0" w:type="dxa"/>
          <w:trHeight w:val="36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32</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POE交换机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提供8个千兆PoE电口，1个千兆电口，1个千兆光口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交换容量 20 Gbps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包转发率 14.88 Mpps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802.3at/af</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端口最大供电功率 30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整机最大供电功率 110 W</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支持IEEE 802.3、IEEE 802.3u、IEEE 802.3x、IEEE802.3ab、IEEE802.3z</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支持6 KV防浪涌（PoE口）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支持PoE输出功率管理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千兆网络接入设计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线速转发、无阻塞设计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存储转发交换方式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坚固式高强度金属外壳</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无风扇设计，高可靠性</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60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33</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千兆光模块</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千兆20公里单模双纤模块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不分收发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TX1310nm/1.25G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RX1310nm/1.25G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LC</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20km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0～70℃</w:t>
            </w:r>
            <w:r>
              <w:rPr>
                <w:rFonts w:hint="eastAsia" w:ascii="仿宋" w:hAnsi="仿宋" w:eastAsia="仿宋" w:cs="宋体"/>
                <w:kern w:val="0"/>
                <w:sz w:val="22"/>
                <w:szCs w:val="22"/>
              </w:rPr>
              <w:br w:type="textWrapping"/>
            </w:r>
            <w:r>
              <w:rPr>
                <w:rFonts w:hint="eastAsia" w:ascii="仿宋" w:hAnsi="仿宋" w:eastAsia="仿宋" w:cs="宋体"/>
                <w:kern w:val="0"/>
                <w:sz w:val="22"/>
                <w:szCs w:val="22"/>
              </w:rPr>
              <w:t>SFP</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发射光功率:-6～-1dBm</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接收灵敏度（低值）:-21dBm</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34</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3.5米视频监控立杆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3.5米室外监控立杆，含配套防雷，立杆基体（钢筋混泥土浇筑）。</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根</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35</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立杆挂箱</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304不锈钢喷塑，厚度不低于1.2mm，大小300mm*400mm*500mm,带散热背板，含电源等配套辅材。</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36</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卡口配套基础设备</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云桌面</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i5 16G 512G 23.8英寸</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7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37</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一体化钢结构岗亭</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（1）尺寸260宽*350长*320高；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（2）含配套工作台（座椅板凳）、基础配电系统、照明系统、控制柜、地板、空调架空调孔；</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（3）1套冷暖空调挂机（1匹）。</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38</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岗亭配套基座</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（1）岗亭配套基座，钢筋混泥土原料；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（2）基体施工（钢筋混泥土框架搭建浇筑）、油漆粉刷等，具体尺寸按照实际需求建设，含水泥、钢筋及施工辅材等。</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39</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卡口安全岛</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（1）卡口配套闸机安全岛建设，钢筋混泥土原料；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（2）基体施工（钢筋混泥土框架搭建浇筑）、油漆粉刷等，具体尺寸按照实际需求建设，含水泥、钢筋及施工辅材等。</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23</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40</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卡口安全岛铁隔栏保护架</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（1）定制铁隔栏、含地笼浇筑材料、油漆材料及配套使用材料；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（2）铁隔栏现场施工安装、地笼钢筋混泥土浇筑、防锈漆外层粉刷等施工量。</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23</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41</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卡口限宽石墩（对）</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卡口限宽石墩</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园区封闭卡口每个标配1套，尺寸根据实际道路宽度定制。</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对</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42</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道路卡口指引牌（含限速、距离、方向指引牌等）</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（1）反光道路指示牌及配套设施，具体尺寸按照当地市政、交警要求配置；</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（2）反光道路指示牌地笼钢筋混泥土浇筑、道口指引牌施工安装、防锈漆外层粉刷等施工量。</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10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43</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爆闪灯</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太阳能板功率：5w9v；</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阴雨天续航&gt;=4天；</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灯珠：20*8（合计160颗）LED灯珠；</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电池：4.5A6V</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25</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7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44</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道路减速带</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（1）卡口配套减速带；</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（2）根据实际道路宽度安装；</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（3）园区牵头，协调交管部门配合建设。</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49</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45</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辅材</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线缆钢管</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KBG25钢管</w:t>
            </w:r>
          </w:p>
        </w:tc>
        <w:tc>
          <w:tcPr>
            <w:tcW w:w="846"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网线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室外超六类防水网线</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电源线</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RVV3*1.5室外防水电源线</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电缆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10*3电缆</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光缆</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rPr>
                <w:rFonts w:hint="eastAsia" w:ascii="仿宋" w:hAnsi="仿宋" w:eastAsia="仿宋" w:cs="宋体"/>
                <w:kern w:val="0"/>
                <w:sz w:val="22"/>
                <w:szCs w:val="22"/>
              </w:rPr>
            </w:pPr>
            <w:r>
              <w:rPr>
                <w:rFonts w:hint="eastAsia" w:ascii="仿宋" w:hAnsi="仿宋" w:eastAsia="仿宋" w:cs="宋体"/>
                <w:kern w:val="0"/>
                <w:sz w:val="22"/>
                <w:szCs w:val="22"/>
              </w:rPr>
              <w:t>室外12型光缆</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耗材</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包含卡口摄像头、一体化钢网结构岗亭、人脸门禁等设备耗材。</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46</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设备安装及调试、管线施工费用</w:t>
            </w:r>
          </w:p>
        </w:tc>
        <w:tc>
          <w:tcPr>
            <w:tcW w:w="1308"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设备安装及调试（三个片区卡口配套所需施工工序）</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开槽破路，路面修复</w:t>
            </w:r>
          </w:p>
        </w:tc>
        <w:tc>
          <w:tcPr>
            <w:tcW w:w="846"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vMerge w:val="restart"/>
            <w:tcBorders>
              <w:top w:val="nil"/>
              <w:left w:val="single" w:color="auto" w:sz="4" w:space="0"/>
              <w:bottom w:val="single" w:color="000000"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套</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特种车辆（吊车、升降车）</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光纤熔接及配套辅材配件（含光汇聚箱、尾纤、跳线、光纤熔接盒、光纤配线架）</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绿化恢复</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包含卡口摄像头、人脸门禁安装调试。</w:t>
            </w:r>
          </w:p>
        </w:tc>
        <w:tc>
          <w:tcPr>
            <w:tcW w:w="846"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c>
          <w:tcPr>
            <w:tcW w:w="70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wAfter w:w="0" w:type="dxa"/>
          <w:trHeight w:val="597"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仿宋" w:hAnsi="仿宋" w:eastAsia="仿宋" w:cs="宋体"/>
                <w:b/>
                <w:bCs/>
                <w:kern w:val="0"/>
                <w:sz w:val="22"/>
                <w:szCs w:val="22"/>
              </w:rPr>
            </w:pPr>
            <w:r>
              <w:rPr>
                <w:rFonts w:hint="eastAsia" w:ascii="仿宋" w:hAnsi="仿宋" w:eastAsia="仿宋" w:cs="宋体"/>
                <w:b/>
                <w:bCs/>
                <w:kern w:val="0"/>
                <w:sz w:val="22"/>
                <w:szCs w:val="22"/>
              </w:rPr>
              <w:t>二</w:t>
            </w:r>
          </w:p>
        </w:tc>
        <w:tc>
          <w:tcPr>
            <w:tcW w:w="8982" w:type="dxa"/>
            <w:gridSpan w:val="5"/>
            <w:tcBorders>
              <w:top w:val="nil"/>
              <w:left w:val="nil"/>
              <w:bottom w:val="single" w:color="auto" w:sz="4" w:space="0"/>
              <w:right w:val="single" w:color="auto" w:sz="4" w:space="0"/>
            </w:tcBorders>
            <w:shd w:val="clear" w:color="000000" w:fill="FFFFFF"/>
            <w:noWrap w:val="0"/>
            <w:vAlign w:val="center"/>
          </w:tcPr>
          <w:p>
            <w:pPr>
              <w:widowControl/>
              <w:jc w:val="left"/>
              <w:rPr>
                <w:rFonts w:ascii="仿宋" w:hAnsi="仿宋" w:eastAsia="仿宋" w:cs="宋体"/>
                <w:b/>
                <w:bCs/>
                <w:kern w:val="0"/>
                <w:sz w:val="22"/>
                <w:szCs w:val="22"/>
              </w:rPr>
            </w:pPr>
            <w:r>
              <w:rPr>
                <w:rFonts w:hint="eastAsia" w:ascii="仿宋" w:hAnsi="仿宋" w:eastAsia="仿宋" w:cs="宋体"/>
                <w:b/>
                <w:bCs/>
                <w:kern w:val="0"/>
                <w:sz w:val="22"/>
                <w:szCs w:val="22"/>
              </w:rPr>
              <w:t>其他设备</w:t>
            </w:r>
          </w:p>
          <w:p>
            <w:pPr>
              <w:widowControl/>
              <w:jc w:val="left"/>
              <w:rPr>
                <w:rFonts w:hint="eastAsia" w:ascii="仿宋" w:hAnsi="仿宋" w:eastAsia="仿宋" w:cs="宋体"/>
                <w:b/>
                <w:bCs/>
                <w:kern w:val="0"/>
                <w:sz w:val="22"/>
                <w:szCs w:val="22"/>
              </w:rPr>
            </w:pPr>
          </w:p>
        </w:tc>
      </w:tr>
      <w:tr>
        <w:tblPrEx>
          <w:tblCellMar>
            <w:top w:w="0" w:type="dxa"/>
            <w:left w:w="108" w:type="dxa"/>
            <w:bottom w:w="0" w:type="dxa"/>
            <w:right w:w="108" w:type="dxa"/>
          </w:tblCellMar>
        </w:tblPrEx>
        <w:trPr>
          <w:wAfter w:w="0" w:type="dxa"/>
          <w:trHeight w:val="7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化工企业数据接入设备</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物联网数据采集设备升级</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利旧省厅原物联网数据采集设备，实现重大危险源数据双平台（江西省风险监测预警平台、园区安全风险智能化管控平台）推送；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省厅原物联网数据采集设备采集程序、数据推送机制升级改造；</w:t>
            </w:r>
            <w:r>
              <w:rPr>
                <w:rFonts w:hint="eastAsia" w:ascii="仿宋" w:hAnsi="仿宋" w:eastAsia="仿宋" w:cs="宋体"/>
                <w:kern w:val="0"/>
                <w:sz w:val="22"/>
                <w:szCs w:val="22"/>
              </w:rPr>
              <w:br w:type="textWrapping"/>
            </w:r>
            <w:r>
              <w:rPr>
                <w:rFonts w:hint="eastAsia" w:ascii="仿宋" w:hAnsi="仿宋" w:eastAsia="仿宋" w:cs="宋体"/>
                <w:kern w:val="0"/>
                <w:sz w:val="22"/>
                <w:szCs w:val="22"/>
              </w:rPr>
              <w:t>重大危险源数据数据接入实施，含配套路由器或交换机等配件辅材。</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家</w:t>
            </w:r>
          </w:p>
        </w:tc>
      </w:tr>
      <w:tr>
        <w:tblPrEx>
          <w:tblCellMar>
            <w:top w:w="0" w:type="dxa"/>
            <w:left w:w="108" w:type="dxa"/>
            <w:bottom w:w="0" w:type="dxa"/>
            <w:right w:w="108" w:type="dxa"/>
          </w:tblCellMar>
        </w:tblPrEx>
        <w:trPr>
          <w:wAfter w:w="0" w:type="dxa"/>
          <w:trHeight w:val="554"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工业物联安全隔离网关</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（1）支持标准工控通讯协议(Modbus、OPC等)对接采集、能与企业已有相关系统（如DCS、ESD、SIS、PLC等）系统进行数据采集对接；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（2）支持网闸功能，数据库同步、文件交换、数据库访问、邮件访问、安全浏览、安全FTP、定制模块、工控访问等；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（3）CPU：四核处理器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（4）存储32G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（5）内存： 4G内存；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（6）网口：4个10/100/1000Base-T端口，1个Console口，2个USB口；</w:t>
            </w:r>
            <w:r>
              <w:rPr>
                <w:rFonts w:hint="eastAsia" w:ascii="仿宋" w:hAnsi="仿宋" w:eastAsia="仿宋" w:cs="宋体"/>
                <w:kern w:val="0"/>
                <w:sz w:val="22"/>
                <w:szCs w:val="22"/>
              </w:rPr>
              <w:br w:type="textWrapping"/>
            </w:r>
            <w:r>
              <w:rPr>
                <w:rFonts w:hint="eastAsia" w:ascii="仿宋" w:hAnsi="仿宋" w:eastAsia="仿宋" w:cs="宋体"/>
                <w:kern w:val="0"/>
                <w:sz w:val="22"/>
                <w:szCs w:val="22"/>
              </w:rPr>
              <w:t>（7）串口：4* RS232    2 * RS485；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（8）系统：支持linux操作系统。</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10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视频采集设备</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参数：支持16路 1080P视频接入；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支持H264/H265图像解码；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标配4T（SATA）硬盘；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同时支持与系统视频流媒体平台无缝对接，实现业务平台视频调阅、录像回放等功能。</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13</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4</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工业级千兆路由器</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工业级千兆路由器 wifi穿墙/VPN/千兆端口/AC管理</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18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管廊监测配套设备</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数据采集存储设备</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（1）支持标准工控通讯协议(Modbus、OPC等)对接采集、能与企业已有相关系统（如DCS、ESD、SIS、PLC等）系统进行数据采集对接。</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（2）CPU：四核处理器</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（3）存储1T</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（4）内存：DDR3L 4G内存，最大支持8G</w:t>
            </w:r>
            <w:r>
              <w:rPr>
                <w:rFonts w:hint="eastAsia" w:ascii="仿宋" w:hAnsi="仿宋" w:eastAsia="仿宋" w:cs="宋体"/>
                <w:kern w:val="0"/>
                <w:sz w:val="22"/>
                <w:szCs w:val="22"/>
              </w:rPr>
              <w:br w:type="textWrapping"/>
            </w:r>
            <w:r>
              <w:rPr>
                <w:rFonts w:hint="eastAsia" w:ascii="仿宋" w:hAnsi="仿宋" w:eastAsia="仿宋" w:cs="宋体"/>
                <w:kern w:val="0"/>
                <w:sz w:val="22"/>
                <w:szCs w:val="22"/>
              </w:rPr>
              <w:t>（5）网口：2 个(10/100/1000Mbps)</w:t>
            </w:r>
            <w:r>
              <w:rPr>
                <w:rFonts w:hint="eastAsia" w:ascii="仿宋" w:hAnsi="仿宋" w:eastAsia="仿宋" w:cs="宋体"/>
                <w:kern w:val="0"/>
                <w:sz w:val="22"/>
                <w:szCs w:val="22"/>
              </w:rPr>
              <w:br w:type="textWrapping"/>
            </w:r>
            <w:r>
              <w:rPr>
                <w:rFonts w:hint="eastAsia" w:ascii="仿宋" w:hAnsi="仿宋" w:eastAsia="仿宋" w:cs="宋体"/>
                <w:kern w:val="0"/>
                <w:sz w:val="22"/>
                <w:szCs w:val="22"/>
              </w:rPr>
              <w:t>（6）串口：4* RS232    2 * RS485</w:t>
            </w:r>
            <w:r>
              <w:rPr>
                <w:rFonts w:hint="eastAsia" w:ascii="仿宋" w:hAnsi="仿宋" w:eastAsia="仿宋" w:cs="宋体"/>
                <w:kern w:val="0"/>
                <w:sz w:val="22"/>
                <w:szCs w:val="22"/>
              </w:rPr>
              <w:br w:type="textWrapping"/>
            </w:r>
            <w:r>
              <w:rPr>
                <w:rFonts w:hint="eastAsia" w:ascii="仿宋" w:hAnsi="仿宋" w:eastAsia="仿宋" w:cs="宋体"/>
                <w:kern w:val="0"/>
                <w:sz w:val="22"/>
                <w:szCs w:val="22"/>
              </w:rPr>
              <w:t>（7）系统：支持linux操作系统</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2681"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6</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视频流媒体平台</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提供视频管理服务，支持编码设备通过网络SDK协议、GB28181协议、ONVIF协议接入平台，实现视频预览、录像回放、视频上墙、视频事件监控服务能力，并且在网络带宽不足、有流量限制的网络环境下可以通过以图片替代视频的模式提供监控服务。</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一、视频预览</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1、支持视频实时预览能力，实现预览窗口布局切换、预览画面自适应及全屏切换；</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2、支持云台控制、实时抓图、紧急录像、即时回放、主子码流切换、声音开启\关闭、辅屏预览、对讲、广播、报警输出控制的能力；</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3、支持智能规则展示的能力；</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4、支持资源视图管理能力，以视图形式管理监控点、视频预览轮巡等自定义资源组，其中视图类型包含公有视图和私有视图；</w:t>
            </w:r>
            <w:r>
              <w:rPr>
                <w:rFonts w:hint="eastAsia" w:ascii="仿宋" w:hAnsi="仿宋" w:eastAsia="仿宋" w:cs="宋体"/>
                <w:kern w:val="0"/>
                <w:sz w:val="22"/>
                <w:szCs w:val="22"/>
              </w:rPr>
              <w:br w:type="textWrapping"/>
            </w:r>
            <w:r>
              <w:rPr>
                <w:rFonts w:hint="eastAsia" w:ascii="仿宋" w:hAnsi="仿宋" w:eastAsia="仿宋" w:cs="宋体"/>
                <w:kern w:val="0"/>
                <w:sz w:val="22"/>
                <w:szCs w:val="22"/>
              </w:rPr>
              <w:t>5、支持全景视频监控预览能力；</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二、录像回放</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1、支持录像计划管理能力，支持实时录像计划、录像回传计划；</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2、支持录像回放能力，支持多画面同步回放和异步回放切换、超高倍速回放、分段回放、录像下载、录像剪辑、录像标签、录像锁定、录像抓图；</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三、图片监控</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1、支持视频预览与图片实时监控模式切换能力，实现图片监控模式；</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2、支持图片查询回放能力，实现按监控点、时间段展示抓拍图片；</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3、支持图片自动播放能力，支持图片自动播放速度可设置；</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4、支持图片下载能力；</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四、视频上墙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1、支持电视墙场景管理能力，实现场景窗口配置、场景切换计划配置以及轮巡计划的管理；</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2、支持上墙控制能力，实现场景一键上墙、场景切换、电视墙切换、监控点上下墙、轮巡控制操作；</w:t>
            </w:r>
            <w:r>
              <w:rPr>
                <w:rFonts w:hint="eastAsia" w:ascii="仿宋" w:hAnsi="仿宋" w:eastAsia="仿宋" w:cs="宋体"/>
                <w:kern w:val="0"/>
                <w:sz w:val="22"/>
                <w:szCs w:val="22"/>
              </w:rPr>
              <w:br w:type="textWrapping"/>
            </w:r>
            <w:r>
              <w:rPr>
                <w:rFonts w:hint="eastAsia" w:ascii="仿宋" w:hAnsi="仿宋" w:eastAsia="仿宋" w:cs="宋体"/>
                <w:kern w:val="0"/>
                <w:sz w:val="22"/>
                <w:szCs w:val="22"/>
              </w:rPr>
              <w:t>五、视频事件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1、支持视频事件布撤防能力，可按计划模版进行布防，事件类型包括移动侦测、视频丢失、视频遮挡、报警输入、报警输出；</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100</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个</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7</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视频流媒体设备</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 xml:space="preserve">CPU：2.4GHz*2/内存32G/ 系统盘600G SAS*2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数据盘 1.2T SAS*4  10K /RAID 10  /电源/千兆网卡/ 3年</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18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8</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融合指挥调度设备</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融合通信系统主机</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200sip分机可扩容至1000门、支持30方电话会议、自动语音话务员、多路并发通话、支持对讲、点呼、选呼、群呼、组呼、监听、强插、强拆、多方会议、广播传达、录音、呼叫保持、呼叫转接、热线、无人值守等。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含一台1U调度主机及调度软件，调度主机前面板指示灯有：电源指示灯、硬盘指示灯、重启按钮，前面板接口有： 2个10M/100M/1000M 以太网接口，1个RJ45 Console串口，6个USB口，1个220VAC电源接口，标配1T硬盘。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语音调度、视频调度、视频监控、云台控制、SOS声光报警、电子围栏、移动轨迹、集群对讲、语音/视频会议、传真、语音/文件广播、多媒体消息、GIS调度、黑名单/白名单、用户资源管理、解码器管理、中继/路由管理、终端参数统一管理、系统权限管理等系统管理功能。支持H.265、H.264等视频编解码方式，支持视频录制、视频转发，视频1、2、4、9、16、32等分屏。</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78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9</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媒体录制存储设备</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标准机架式1U硬件平台，前面板指示灯有：电源指示灯、硬盘指示灯、重启按钮，前面板接口有：2个10M/100M/1000M 以太网接口，1个RJ45 Console串口，6个USB口，1个220VAC电源接口，标配1T硬盘；</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支持实时录音，存储、查询、删除等管理功能，支持200分机全并发。</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52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w:t>
            </w: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IP电话</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2.8寸320x240像素LCD彩色背光屏，3SIP线路，可同时管理多个通话；</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支持呼叫转移、热线功能（立即/延时），支持3方电话会议，支持快速拨号、留言信箱、免打扰等功能。</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10</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台</w:t>
            </w:r>
          </w:p>
        </w:tc>
      </w:tr>
      <w:tr>
        <w:tblPrEx>
          <w:tblCellMar>
            <w:top w:w="0" w:type="dxa"/>
            <w:left w:w="108" w:type="dxa"/>
            <w:bottom w:w="0" w:type="dxa"/>
            <w:right w:w="108" w:type="dxa"/>
          </w:tblCellMar>
        </w:tblPrEx>
        <w:trPr>
          <w:wAfter w:w="0" w:type="dxa"/>
          <w:trHeight w:val="104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11</w:t>
            </w:r>
          </w:p>
        </w:tc>
        <w:tc>
          <w:tcPr>
            <w:tcW w:w="76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GPS定位系统</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GPS定位终端</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1、无线GPS定位终端，含配套可充电电池一块；</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2、BDS+GPS+WIFI+LBS，四重定位，IPX5防水等级；</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3、8000mAh电池容量，连续定位工作120小时；</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4、含30M/月，一年流量卡</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300</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张</w:t>
            </w:r>
          </w:p>
        </w:tc>
      </w:tr>
      <w:tr>
        <w:tblPrEx>
          <w:tblCellMar>
            <w:top w:w="0" w:type="dxa"/>
            <w:left w:w="108" w:type="dxa"/>
            <w:bottom w:w="0" w:type="dxa"/>
            <w:right w:w="108" w:type="dxa"/>
          </w:tblCellMar>
        </w:tblPrEx>
        <w:trPr>
          <w:wAfter w:w="0" w:type="dxa"/>
          <w:trHeight w:val="4420" w:hRule="atLeast"/>
        </w:trPr>
        <w:tc>
          <w:tcPr>
            <w:tcW w:w="652"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12</w:t>
            </w:r>
          </w:p>
        </w:tc>
        <w:tc>
          <w:tcPr>
            <w:tcW w:w="761"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网络专线</w:t>
            </w:r>
          </w:p>
        </w:tc>
        <w:tc>
          <w:tcPr>
            <w:tcW w:w="1308" w:type="dxa"/>
            <w:vMerge w:val="restart"/>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各类专线费用</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为每家企业配置1条专线，并配置2个IP，专线速率为50M，企业名单如下：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1.江西高信前沿科技有限公司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2.江西科顶化学材料有限公司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3.江西赣旺科技有限公司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4.江西永冠科技发展有限公司（厂区1）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5.江西永冠科技发展有限公司（厂区2）</w:t>
            </w:r>
            <w:r>
              <w:rPr>
                <w:rFonts w:hint="eastAsia" w:ascii="仿宋" w:hAnsi="仿宋" w:eastAsia="仿宋" w:cs="宋体"/>
                <w:kern w:val="0"/>
                <w:sz w:val="22"/>
                <w:szCs w:val="22"/>
              </w:rPr>
              <w:br w:type="textWrapping"/>
            </w:r>
            <w:r>
              <w:rPr>
                <w:rFonts w:hint="eastAsia" w:ascii="仿宋" w:hAnsi="仿宋" w:eastAsia="仿宋" w:cs="宋体"/>
                <w:kern w:val="0"/>
                <w:sz w:val="22"/>
                <w:szCs w:val="22"/>
              </w:rPr>
              <w:t>6.江西金海岛新材料有限公司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7.江西华琪科技有限公司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8.江西照阳科技有限公司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9.江西亚力亚包装制品有限公司</w:t>
            </w:r>
            <w:r>
              <w:rPr>
                <w:rFonts w:ascii="Arial" w:hAnsi="Arial" w:eastAsia="仿宋" w:cs="Arial"/>
                <w:kern w:val="0"/>
                <w:sz w:val="22"/>
                <w:szCs w:val="22"/>
              </w:rPr>
              <w:t xml:space="preserve"> </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10.江西康柏农牧发展有限公司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11.江西鲲鹏新材料科技有限公司（土建中）</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12.江西雨帆生物能源有限公司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13.江西博大化工有限公司（博润尔食品）</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14.抚州润发燃气有限公司（园区新增）</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15.江西华琪合成橡胶有限公司</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16.江西欧嘉实业有限公司</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16</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条</w:t>
            </w:r>
          </w:p>
        </w:tc>
      </w:tr>
      <w:tr>
        <w:tblPrEx>
          <w:tblCellMar>
            <w:top w:w="0" w:type="dxa"/>
            <w:left w:w="108" w:type="dxa"/>
            <w:bottom w:w="0" w:type="dxa"/>
            <w:right w:w="108" w:type="dxa"/>
          </w:tblCellMar>
        </w:tblPrEx>
        <w:trPr>
          <w:wAfter w:w="0" w:type="dxa"/>
          <w:trHeight w:val="15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为以下点位各配置1条专线，并配置2个IP，专线速率为100M，点位名单如下：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1.亨成实业旁边的信号塔高点视频</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2.东山工业园卡口1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3.东山工业园卡口2</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4.东山工业园卡口3</w:t>
            </w:r>
            <w:r>
              <w:rPr>
                <w:rFonts w:hint="eastAsia" w:ascii="仿宋" w:hAnsi="仿宋" w:eastAsia="仿宋" w:cs="宋体"/>
                <w:kern w:val="0"/>
                <w:sz w:val="22"/>
                <w:szCs w:val="22"/>
              </w:rPr>
              <w:br w:type="textWrapping"/>
            </w:r>
            <w:r>
              <w:rPr>
                <w:rFonts w:hint="eastAsia" w:ascii="仿宋" w:hAnsi="仿宋" w:eastAsia="仿宋" w:cs="宋体"/>
                <w:kern w:val="0"/>
                <w:sz w:val="22"/>
                <w:szCs w:val="22"/>
              </w:rPr>
              <w:t>5.东山工业园卡口4</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5</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条</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江西省东乡区经济开发区管理委员会固定电话</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条</w:t>
            </w:r>
          </w:p>
        </w:tc>
      </w:tr>
      <w:tr>
        <w:tblPrEx>
          <w:tblCellMar>
            <w:top w:w="0" w:type="dxa"/>
            <w:left w:w="108" w:type="dxa"/>
            <w:bottom w:w="0" w:type="dxa"/>
            <w:right w:w="108" w:type="dxa"/>
          </w:tblCellMar>
        </w:tblPrEx>
        <w:trPr>
          <w:wAfter w:w="0" w:type="dxa"/>
          <w:trHeight w:val="260" w:hRule="atLeast"/>
        </w:trPr>
        <w:tc>
          <w:tcPr>
            <w:tcW w:w="65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761"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1308"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仿宋" w:hAnsi="仿宋" w:eastAsia="仿宋" w:cs="宋体"/>
                <w:kern w:val="0"/>
                <w:sz w:val="22"/>
                <w:szCs w:val="22"/>
              </w:rPr>
            </w:pP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江西省东乡区经济开发区管理委员会配置平台短信，10万条短信。</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份</w:t>
            </w:r>
          </w:p>
        </w:tc>
      </w:tr>
      <w:tr>
        <w:tblPrEx>
          <w:tblCellMar>
            <w:top w:w="0" w:type="dxa"/>
            <w:left w:w="108" w:type="dxa"/>
            <w:bottom w:w="0" w:type="dxa"/>
            <w:right w:w="108" w:type="dxa"/>
          </w:tblCellMar>
        </w:tblPrEx>
        <w:trPr>
          <w:wAfter w:w="0" w:type="dxa"/>
          <w:trHeight w:val="469"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rPr>
                <w:rFonts w:hint="eastAsia" w:ascii="仿宋" w:hAnsi="仿宋" w:eastAsia="仿宋" w:cs="宋体"/>
                <w:b/>
                <w:bCs/>
                <w:kern w:val="0"/>
                <w:sz w:val="22"/>
                <w:szCs w:val="22"/>
              </w:rPr>
            </w:pPr>
            <w:r>
              <w:rPr>
                <w:rFonts w:hint="eastAsia" w:ascii="仿宋" w:hAnsi="仿宋" w:eastAsia="仿宋" w:cs="宋体"/>
                <w:b/>
                <w:bCs/>
                <w:kern w:val="0"/>
                <w:sz w:val="22"/>
                <w:szCs w:val="22"/>
              </w:rPr>
              <w:t>三</w:t>
            </w:r>
          </w:p>
        </w:tc>
        <w:tc>
          <w:tcPr>
            <w:tcW w:w="8982" w:type="dxa"/>
            <w:gridSpan w:val="5"/>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b/>
                <w:bCs/>
                <w:kern w:val="0"/>
                <w:sz w:val="22"/>
                <w:szCs w:val="22"/>
              </w:rPr>
            </w:pPr>
            <w:r>
              <w:rPr>
                <w:rFonts w:hint="eastAsia" w:ascii="仿宋" w:hAnsi="仿宋" w:eastAsia="仿宋" w:cs="宋体"/>
                <w:b/>
                <w:bCs/>
                <w:kern w:val="0"/>
                <w:sz w:val="22"/>
                <w:szCs w:val="22"/>
              </w:rPr>
              <w:t>云资源租赁</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6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云服务</w:t>
            </w:r>
          </w:p>
        </w:tc>
        <w:tc>
          <w:tcPr>
            <w:tcW w:w="1308"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租赁云服务资源一年</w:t>
            </w:r>
          </w:p>
        </w:tc>
        <w:tc>
          <w:tcPr>
            <w:tcW w:w="5363" w:type="dxa"/>
            <w:tcBorders>
              <w:top w:val="nil"/>
              <w:left w:val="nil"/>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kern w:val="0"/>
                <w:sz w:val="22"/>
                <w:szCs w:val="22"/>
              </w:rPr>
            </w:pPr>
            <w:r>
              <w:rPr>
                <w:rFonts w:hint="eastAsia" w:ascii="仿宋" w:hAnsi="仿宋" w:eastAsia="仿宋" w:cs="宋体"/>
                <w:kern w:val="0"/>
                <w:sz w:val="22"/>
                <w:szCs w:val="22"/>
              </w:rPr>
              <w:t>采用曙光云（项目涉及软件平台需统一接入抚州东乡政务云平台）</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项</w:t>
            </w:r>
          </w:p>
        </w:tc>
      </w:tr>
      <w:tr>
        <w:tblPrEx>
          <w:tblCellMar>
            <w:top w:w="0" w:type="dxa"/>
            <w:left w:w="108" w:type="dxa"/>
            <w:bottom w:w="0" w:type="dxa"/>
            <w:right w:w="108" w:type="dxa"/>
          </w:tblCellMar>
        </w:tblPrEx>
        <w:trPr>
          <w:wAfter w:w="0" w:type="dxa"/>
          <w:trHeight w:val="585"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 w:hAnsi="仿宋" w:eastAsia="仿宋" w:cs="宋体"/>
                <w:b/>
                <w:bCs/>
                <w:kern w:val="0"/>
                <w:sz w:val="22"/>
                <w:szCs w:val="22"/>
              </w:rPr>
            </w:pPr>
            <w:r>
              <w:rPr>
                <w:rFonts w:hint="eastAsia" w:ascii="仿宋" w:hAnsi="仿宋" w:eastAsia="仿宋" w:cs="宋体"/>
                <w:b/>
                <w:bCs/>
                <w:kern w:val="0"/>
                <w:sz w:val="22"/>
                <w:szCs w:val="22"/>
              </w:rPr>
              <w:t>四</w:t>
            </w:r>
          </w:p>
        </w:tc>
        <w:tc>
          <w:tcPr>
            <w:tcW w:w="8982" w:type="dxa"/>
            <w:gridSpan w:val="5"/>
            <w:tcBorders>
              <w:top w:val="nil"/>
              <w:left w:val="nil"/>
              <w:bottom w:val="single" w:color="auto" w:sz="4" w:space="0"/>
              <w:right w:val="single" w:color="auto" w:sz="4" w:space="0"/>
            </w:tcBorders>
            <w:shd w:val="clear" w:color="000000" w:fill="FFFFFF"/>
            <w:noWrap w:val="0"/>
            <w:vAlign w:val="center"/>
          </w:tcPr>
          <w:p>
            <w:pPr>
              <w:widowControl/>
              <w:jc w:val="left"/>
              <w:rPr>
                <w:rFonts w:ascii="仿宋" w:hAnsi="仿宋" w:eastAsia="仿宋" w:cs="宋体"/>
                <w:b/>
                <w:bCs/>
                <w:kern w:val="0"/>
                <w:sz w:val="22"/>
                <w:szCs w:val="22"/>
              </w:rPr>
            </w:pPr>
            <w:r>
              <w:rPr>
                <w:rFonts w:hint="eastAsia" w:ascii="仿宋" w:hAnsi="仿宋" w:eastAsia="仿宋" w:cs="宋体"/>
                <w:b/>
                <w:bCs/>
                <w:kern w:val="0"/>
                <w:sz w:val="22"/>
                <w:szCs w:val="22"/>
              </w:rPr>
              <w:t>维保服务</w:t>
            </w:r>
          </w:p>
          <w:p>
            <w:pPr>
              <w:widowControl/>
              <w:jc w:val="left"/>
              <w:rPr>
                <w:rFonts w:hint="eastAsia" w:ascii="仿宋" w:hAnsi="仿宋" w:eastAsia="仿宋" w:cs="宋体"/>
                <w:b/>
                <w:bCs/>
                <w:kern w:val="0"/>
                <w:sz w:val="22"/>
                <w:szCs w:val="22"/>
              </w:rPr>
            </w:pP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6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平台运维</w:t>
            </w:r>
          </w:p>
        </w:tc>
        <w:tc>
          <w:tcPr>
            <w:tcW w:w="6671"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提供平台日常巡检，运行状态监控，日志读取分析等服务，及时了解系统运行工作状态，保障系统的正常工作。</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项</w:t>
            </w:r>
          </w:p>
        </w:tc>
      </w:tr>
      <w:tr>
        <w:tblPrEx>
          <w:tblCellMar>
            <w:top w:w="0" w:type="dxa"/>
            <w:left w:w="108" w:type="dxa"/>
            <w:bottom w:w="0" w:type="dxa"/>
            <w:right w:w="108" w:type="dxa"/>
          </w:tblCellMar>
        </w:tblPrEx>
        <w:trPr>
          <w:wAfter w:w="0" w:type="dxa"/>
          <w:trHeight w:val="260" w:hRule="atLeast"/>
        </w:trPr>
        <w:tc>
          <w:tcPr>
            <w:tcW w:w="652"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2</w:t>
            </w:r>
          </w:p>
        </w:tc>
        <w:tc>
          <w:tcPr>
            <w:tcW w:w="761"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硬件运维</w:t>
            </w:r>
          </w:p>
        </w:tc>
        <w:tc>
          <w:tcPr>
            <w:tcW w:w="6671" w:type="dxa"/>
            <w:gridSpan w:val="2"/>
            <w:tcBorders>
              <w:top w:val="single" w:color="auto" w:sz="4" w:space="0"/>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对现场设备、基础设施进行运维，保障网络、设备等环境的正常工作。</w:t>
            </w:r>
          </w:p>
        </w:tc>
        <w:tc>
          <w:tcPr>
            <w:tcW w:w="846"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1</w:t>
            </w:r>
          </w:p>
        </w:tc>
        <w:tc>
          <w:tcPr>
            <w:tcW w:w="704" w:type="dxa"/>
            <w:tcBorders>
              <w:top w:val="nil"/>
              <w:left w:val="nil"/>
              <w:bottom w:val="single" w:color="auto" w:sz="4" w:space="0"/>
              <w:right w:val="single" w:color="auto" w:sz="4" w:space="0"/>
            </w:tcBorders>
            <w:shd w:val="clear" w:color="000000" w:fill="FFFFFF"/>
            <w:noWrap w:val="0"/>
            <w:vAlign w:val="center"/>
          </w:tcPr>
          <w:p>
            <w:pPr>
              <w:widowControl/>
              <w:jc w:val="center"/>
              <w:rPr>
                <w:rFonts w:hint="eastAsia" w:ascii="仿宋" w:hAnsi="仿宋" w:eastAsia="仿宋" w:cs="宋体"/>
                <w:kern w:val="0"/>
                <w:sz w:val="22"/>
                <w:szCs w:val="22"/>
              </w:rPr>
            </w:pPr>
            <w:r>
              <w:rPr>
                <w:rFonts w:hint="eastAsia" w:ascii="仿宋" w:hAnsi="仿宋" w:eastAsia="仿宋" w:cs="宋体"/>
                <w:kern w:val="0"/>
                <w:sz w:val="22"/>
                <w:szCs w:val="22"/>
              </w:rPr>
              <w:t>项</w:t>
            </w:r>
          </w:p>
        </w:tc>
      </w:tr>
    </w:tbl>
    <w:p>
      <w:pPr>
        <w:spacing w:line="360" w:lineRule="auto"/>
        <w:ind w:left="361" w:hanging="361" w:hangingChars="150"/>
        <w:rPr>
          <w:rFonts w:hint="eastAsia" w:ascii="宋体" w:hAnsi="宋体" w:cs="宋体"/>
          <w:b/>
          <w:bCs/>
          <w:sz w:val="24"/>
          <w:szCs w:val="24"/>
        </w:rPr>
      </w:pPr>
      <w:r>
        <w:rPr>
          <w:rFonts w:hint="eastAsia" w:ascii="宋体" w:hAnsi="宋体" w:cs="宋体"/>
          <w:b/>
          <w:bCs/>
          <w:sz w:val="24"/>
          <w:szCs w:val="24"/>
        </w:rPr>
        <w:t>注：1、本项目核心产品：园区测速一体机、人脸门禁一体机、视频流媒体平台。</w:t>
      </w:r>
    </w:p>
    <w:p>
      <w:pPr>
        <w:spacing w:line="360" w:lineRule="auto"/>
        <w:ind w:left="210" w:leftChars="100" w:firstLine="241" w:firstLineChars="100"/>
        <w:rPr>
          <w:rFonts w:hint="eastAsia" w:ascii="宋体" w:hAnsi="宋体" w:cs="宋体"/>
          <w:b/>
          <w:bCs/>
          <w:sz w:val="24"/>
          <w:szCs w:val="24"/>
        </w:rPr>
      </w:pPr>
      <w:r>
        <w:rPr>
          <w:rFonts w:hint="eastAsia" w:ascii="宋体" w:hAnsi="宋体" w:cs="宋体"/>
          <w:b/>
          <w:bCs/>
          <w:sz w:val="24"/>
          <w:szCs w:val="24"/>
        </w:rPr>
        <w:t>2、以上技术参数为基础要求，投标人可提供优于以上技术参数的产品投标。核心参数（与性能有关的参数）必须满足，非核心参数不满足扣分。</w:t>
      </w:r>
    </w:p>
    <w:p>
      <w:pPr>
        <w:pStyle w:val="2"/>
        <w:rPr>
          <w:rFonts w:ascii="仿宋" w:hAnsi="仿宋" w:eastAsia="仿宋"/>
          <w:sz w:val="32"/>
          <w:szCs w:val="32"/>
        </w:rPr>
      </w:pPr>
      <w:bookmarkStart w:id="242" w:name="_Toc163636307"/>
      <w:r>
        <w:rPr>
          <w:rFonts w:hint="eastAsia" w:ascii="仿宋" w:hAnsi="仿宋" w:eastAsia="仿宋"/>
          <w:sz w:val="32"/>
          <w:szCs w:val="32"/>
        </w:rPr>
        <w:t>二、商务要求</w:t>
      </w:r>
      <w:bookmarkEnd w:id="242"/>
    </w:p>
    <w:p>
      <w:pPr>
        <w:spacing w:line="360" w:lineRule="auto"/>
      </w:pPr>
      <w:r>
        <w:rPr>
          <w:rFonts w:hint="eastAsia" w:ascii="宋体" w:hAnsi="宋体" w:cs="宋体"/>
          <w:b/>
          <w:kern w:val="0"/>
          <w:sz w:val="23"/>
          <w:szCs w:val="23"/>
        </w:rPr>
        <w:t>（合同条款中与本条款不一致的以本条款为准）</w:t>
      </w:r>
    </w:p>
    <w:bookmarkEnd w:id="240"/>
    <w:p>
      <w:pPr>
        <w:spacing w:line="360" w:lineRule="auto"/>
        <w:ind w:left="360" w:hanging="360" w:hangingChars="150"/>
        <w:rPr>
          <w:rFonts w:ascii="宋体" w:hAnsi="宋体" w:cs="宋体"/>
          <w:sz w:val="24"/>
          <w:szCs w:val="24"/>
        </w:rPr>
      </w:pPr>
      <w:r>
        <w:rPr>
          <w:rFonts w:hint="eastAsia" w:ascii="宋体" w:hAnsi="宋体" w:cs="宋体"/>
          <w:sz w:val="24"/>
          <w:szCs w:val="24"/>
        </w:rPr>
        <w:t>1、交货、服务地点：采购人指定地点。</w:t>
      </w:r>
    </w:p>
    <w:p>
      <w:pPr>
        <w:spacing w:line="360" w:lineRule="auto"/>
        <w:ind w:left="360" w:hanging="360" w:hangingChars="150"/>
        <w:rPr>
          <w:rFonts w:ascii="宋体" w:hAnsi="宋体" w:cs="宋体"/>
          <w:sz w:val="24"/>
          <w:szCs w:val="24"/>
        </w:rPr>
      </w:pPr>
      <w:r>
        <w:rPr>
          <w:rFonts w:hint="eastAsia" w:ascii="宋体" w:hAnsi="宋体" w:cs="宋体"/>
          <w:sz w:val="24"/>
          <w:szCs w:val="24"/>
        </w:rPr>
        <w:t>2、交货时间：合同签订后3个月内货到安装并验收合格。</w:t>
      </w:r>
    </w:p>
    <w:p>
      <w:pPr>
        <w:spacing w:line="360" w:lineRule="auto"/>
        <w:ind w:left="360" w:hanging="360" w:hangingChars="150"/>
        <w:rPr>
          <w:rFonts w:ascii="宋体" w:hAnsi="宋体" w:cs="宋体"/>
          <w:sz w:val="24"/>
          <w:szCs w:val="24"/>
        </w:rPr>
      </w:pPr>
      <w:r>
        <w:rPr>
          <w:rFonts w:hint="eastAsia" w:ascii="宋体" w:hAnsi="宋体" w:cs="宋体"/>
          <w:sz w:val="24"/>
          <w:szCs w:val="24"/>
        </w:rPr>
        <w:t>3、付款方式：中标人按招标文件要求完成硬件安装调试和客户培训，所有产品的采购、质保费用已包含在项目报价中。</w:t>
      </w:r>
    </w:p>
    <w:p>
      <w:pPr>
        <w:spacing w:line="360" w:lineRule="auto"/>
        <w:ind w:left="360" w:hanging="360" w:hangingChars="150"/>
        <w:rPr>
          <w:rFonts w:ascii="宋体" w:hAnsi="宋体" w:cs="宋体"/>
          <w:sz w:val="24"/>
          <w:szCs w:val="24"/>
        </w:rPr>
      </w:pPr>
      <w:r>
        <w:rPr>
          <w:rFonts w:hint="eastAsia" w:ascii="宋体" w:hAnsi="宋体" w:cs="宋体"/>
          <w:sz w:val="24"/>
          <w:szCs w:val="24"/>
        </w:rPr>
        <w:t>1）项目验收合格，支付合同总金额的90％；</w:t>
      </w:r>
    </w:p>
    <w:p>
      <w:pPr>
        <w:spacing w:line="360" w:lineRule="auto"/>
        <w:ind w:left="360" w:hanging="360" w:hangingChars="150"/>
        <w:rPr>
          <w:rFonts w:ascii="宋体" w:hAnsi="宋体" w:cs="宋体"/>
          <w:sz w:val="24"/>
          <w:szCs w:val="24"/>
        </w:rPr>
      </w:pPr>
      <w:r>
        <w:rPr>
          <w:rFonts w:hint="eastAsia" w:ascii="宋体" w:hAnsi="宋体" w:cs="宋体"/>
          <w:sz w:val="24"/>
          <w:szCs w:val="24"/>
        </w:rPr>
        <w:t>2）剩余的10％尾款，待壹年质保期满后一次性无息付清。</w:t>
      </w:r>
    </w:p>
    <w:p>
      <w:pPr>
        <w:spacing w:line="360" w:lineRule="auto"/>
        <w:ind w:left="360" w:hanging="360" w:hangingChars="150"/>
        <w:rPr>
          <w:rFonts w:ascii="宋体" w:hAnsi="宋体" w:cs="宋体"/>
          <w:sz w:val="24"/>
          <w:szCs w:val="24"/>
        </w:rPr>
      </w:pPr>
      <w:r>
        <w:rPr>
          <w:rFonts w:hint="eastAsia" w:ascii="宋体" w:hAnsi="宋体" w:cs="宋体"/>
          <w:sz w:val="24"/>
          <w:szCs w:val="24"/>
        </w:rPr>
        <w:t>4、质保期：产品验收合格后壹年。在质保期内提供免费的维修、更换服务（人为因素导致的损坏除外）。</w:t>
      </w:r>
    </w:p>
    <w:p>
      <w:pPr>
        <w:spacing w:line="360" w:lineRule="auto"/>
        <w:ind w:left="360" w:hanging="360" w:hangingChars="150"/>
        <w:rPr>
          <w:rFonts w:ascii="宋体" w:hAnsi="宋体" w:cs="宋体"/>
          <w:sz w:val="24"/>
          <w:szCs w:val="24"/>
        </w:rPr>
      </w:pPr>
      <w:r>
        <w:rPr>
          <w:rFonts w:hint="eastAsia" w:ascii="宋体" w:hAnsi="宋体" w:cs="宋体"/>
          <w:sz w:val="24"/>
          <w:szCs w:val="24"/>
        </w:rPr>
        <w:t>5、验收:</w:t>
      </w:r>
    </w:p>
    <w:p>
      <w:pPr>
        <w:spacing w:line="360" w:lineRule="auto"/>
        <w:ind w:left="360" w:hanging="360" w:hangingChars="150"/>
        <w:rPr>
          <w:rFonts w:ascii="宋体" w:hAnsi="宋体" w:cs="宋体"/>
          <w:sz w:val="24"/>
          <w:szCs w:val="24"/>
        </w:rPr>
      </w:pPr>
      <w:r>
        <w:rPr>
          <w:rFonts w:hint="eastAsia" w:ascii="宋体" w:hAnsi="宋体" w:cs="宋体"/>
          <w:sz w:val="24"/>
          <w:szCs w:val="24"/>
        </w:rPr>
        <w:t>1）验收单位：由采购人负责组织验收。</w:t>
      </w:r>
    </w:p>
    <w:p>
      <w:pPr>
        <w:spacing w:line="360" w:lineRule="auto"/>
        <w:ind w:left="360" w:hanging="360" w:hangingChars="150"/>
        <w:rPr>
          <w:rFonts w:ascii="宋体" w:hAnsi="宋体" w:cs="宋体"/>
          <w:sz w:val="24"/>
          <w:szCs w:val="24"/>
        </w:rPr>
      </w:pPr>
      <w:r>
        <w:rPr>
          <w:rFonts w:hint="eastAsia" w:ascii="宋体" w:hAnsi="宋体" w:cs="宋体"/>
          <w:sz w:val="24"/>
          <w:szCs w:val="24"/>
        </w:rPr>
        <w:t>2）验收标准：按照国家及行业相关标准、招标文件规定、合同约定等标准进行验收，如验收达不到规定要求，对招标方造成一定的损失，中标方应承担一切责任，并赔偿所造成的损失。项目验收要求及处罚标准，合同另行约定。</w:t>
      </w:r>
    </w:p>
    <w:p>
      <w:pPr>
        <w:spacing w:line="360" w:lineRule="auto"/>
        <w:ind w:left="360" w:hanging="360" w:hangingChars="150"/>
        <w:rPr>
          <w:rFonts w:ascii="宋体" w:hAnsi="宋体" w:cs="宋体"/>
          <w:sz w:val="24"/>
          <w:szCs w:val="24"/>
        </w:rPr>
      </w:pPr>
      <w:r>
        <w:rPr>
          <w:rFonts w:hint="eastAsia" w:ascii="宋体" w:hAnsi="宋体" w:cs="宋体"/>
          <w:sz w:val="24"/>
          <w:szCs w:val="24"/>
        </w:rPr>
        <w:t>3）中标方须在验收之前提供完整的资料，并提供施工进度表。</w:t>
      </w:r>
    </w:p>
    <w:p>
      <w:pPr>
        <w:spacing w:line="360" w:lineRule="auto"/>
        <w:ind w:left="360" w:hanging="360" w:hangingChars="150"/>
        <w:rPr>
          <w:rFonts w:ascii="宋体" w:hAnsi="宋体" w:cs="宋体"/>
          <w:sz w:val="24"/>
          <w:szCs w:val="24"/>
        </w:rPr>
      </w:pPr>
      <w:r>
        <w:rPr>
          <w:rFonts w:hint="eastAsia" w:ascii="宋体" w:hAnsi="宋体" w:cs="宋体"/>
          <w:sz w:val="24"/>
          <w:szCs w:val="24"/>
        </w:rPr>
        <w:t>4）中标方所提供货物、服务质量、技术参数、性能指标以及安装质量不符合合同规定标准的，采购人有权拒收；因此产生的一切经济损失由卖方承担。</w:t>
      </w:r>
    </w:p>
    <w:p>
      <w:pPr>
        <w:spacing w:line="360" w:lineRule="auto"/>
        <w:ind w:left="360" w:hanging="360" w:hangingChars="150"/>
        <w:rPr>
          <w:rFonts w:ascii="宋体" w:hAnsi="宋体" w:cs="宋体"/>
          <w:sz w:val="24"/>
          <w:szCs w:val="24"/>
        </w:rPr>
      </w:pPr>
      <w:r>
        <w:rPr>
          <w:rFonts w:hint="eastAsia" w:ascii="宋体" w:hAnsi="宋体" w:cs="宋体"/>
          <w:sz w:val="24"/>
          <w:szCs w:val="24"/>
        </w:rPr>
        <w:t>5）如果中标方没有按照招标文件规定的时间交货，采购人依据相关法律法规的规定可以解除合同，因此产生的一切损失由中标方自行承担，并承担相应的法律责任。</w:t>
      </w:r>
    </w:p>
    <w:p>
      <w:pPr>
        <w:spacing w:line="360" w:lineRule="auto"/>
        <w:ind w:left="360" w:hanging="360" w:hangingChars="150"/>
        <w:rPr>
          <w:rFonts w:ascii="宋体" w:hAnsi="宋体" w:cs="宋体"/>
          <w:sz w:val="24"/>
          <w:szCs w:val="24"/>
        </w:rPr>
      </w:pPr>
      <w:r>
        <w:rPr>
          <w:rFonts w:hint="eastAsia" w:ascii="宋体" w:hAnsi="宋体" w:cs="宋体"/>
          <w:sz w:val="24"/>
          <w:szCs w:val="24"/>
        </w:rPr>
        <w:t>6、培训要求：</w:t>
      </w:r>
    </w:p>
    <w:p>
      <w:pPr>
        <w:spacing w:line="360" w:lineRule="auto"/>
        <w:ind w:left="360" w:hanging="360" w:hangingChars="150"/>
        <w:rPr>
          <w:rFonts w:ascii="宋体" w:hAnsi="宋体" w:cs="宋体"/>
          <w:sz w:val="24"/>
          <w:szCs w:val="24"/>
        </w:rPr>
      </w:pPr>
      <w:r>
        <w:rPr>
          <w:rFonts w:hint="eastAsia" w:ascii="宋体" w:hAnsi="宋体" w:cs="宋体"/>
          <w:sz w:val="24"/>
          <w:szCs w:val="24"/>
        </w:rPr>
        <w:t>（a）培训对象由采购人指定。</w:t>
      </w:r>
    </w:p>
    <w:p>
      <w:pPr>
        <w:spacing w:line="360" w:lineRule="auto"/>
        <w:ind w:left="360" w:hanging="360" w:hangingChars="150"/>
        <w:rPr>
          <w:rFonts w:ascii="宋体" w:hAnsi="宋体" w:cs="宋体"/>
          <w:sz w:val="24"/>
          <w:szCs w:val="24"/>
        </w:rPr>
      </w:pPr>
      <w:r>
        <w:rPr>
          <w:rFonts w:hint="eastAsia" w:ascii="宋体" w:hAnsi="宋体" w:cs="宋体"/>
          <w:sz w:val="24"/>
          <w:szCs w:val="24"/>
        </w:rPr>
        <w:t>（b）培训目标：能较深入地了解各产品的操作、验收技术标准和其它相关技术要求，能全面地掌握使用，并能指导其它人员使用。</w:t>
      </w:r>
    </w:p>
    <w:p>
      <w:pPr>
        <w:spacing w:line="360" w:lineRule="auto"/>
        <w:ind w:left="360" w:hanging="360" w:hangingChars="150"/>
        <w:rPr>
          <w:rFonts w:ascii="宋体" w:hAnsi="宋体" w:cs="宋体"/>
          <w:sz w:val="24"/>
          <w:szCs w:val="24"/>
        </w:rPr>
      </w:pPr>
      <w:r>
        <w:rPr>
          <w:rFonts w:hint="eastAsia" w:ascii="宋体" w:hAnsi="宋体" w:cs="宋体"/>
          <w:sz w:val="24"/>
          <w:szCs w:val="24"/>
        </w:rPr>
        <w:t>（c）现场培训应在完工测试之后完成，涉及国外设备的教材应有中文资料。</w:t>
      </w:r>
    </w:p>
    <w:p>
      <w:pPr>
        <w:spacing w:line="360" w:lineRule="auto"/>
        <w:ind w:left="360" w:hanging="360" w:hangingChars="150"/>
        <w:rPr>
          <w:rFonts w:ascii="宋体" w:hAnsi="宋体" w:cs="宋体"/>
          <w:sz w:val="24"/>
          <w:szCs w:val="24"/>
        </w:rPr>
      </w:pPr>
      <w:r>
        <w:rPr>
          <w:rFonts w:hint="eastAsia" w:ascii="宋体" w:hAnsi="宋体" w:cs="宋体"/>
          <w:sz w:val="24"/>
          <w:szCs w:val="24"/>
        </w:rPr>
        <w:t>（d）培训教师应精通所有设备的操作技术，且有丰富的经验。</w:t>
      </w:r>
    </w:p>
    <w:p>
      <w:pPr>
        <w:spacing w:line="360" w:lineRule="auto"/>
        <w:ind w:left="360" w:hanging="360" w:hangingChars="150"/>
        <w:rPr>
          <w:rFonts w:ascii="宋体" w:hAnsi="宋体" w:cs="宋体"/>
          <w:sz w:val="24"/>
          <w:szCs w:val="24"/>
        </w:rPr>
      </w:pPr>
      <w:r>
        <w:rPr>
          <w:rFonts w:hint="eastAsia" w:ascii="宋体" w:hAnsi="宋体" w:cs="宋体"/>
          <w:sz w:val="24"/>
          <w:szCs w:val="24"/>
        </w:rPr>
        <w:t>7、售后支持：</w:t>
      </w:r>
    </w:p>
    <w:p>
      <w:pPr>
        <w:spacing w:line="360" w:lineRule="auto"/>
        <w:ind w:left="360" w:hanging="360" w:hangingChars="150"/>
        <w:rPr>
          <w:rFonts w:ascii="宋体" w:hAnsi="宋体" w:cs="宋体"/>
          <w:sz w:val="24"/>
          <w:szCs w:val="24"/>
        </w:rPr>
      </w:pPr>
      <w:r>
        <w:rPr>
          <w:rFonts w:hint="eastAsia" w:ascii="宋体" w:hAnsi="宋体" w:cs="宋体"/>
          <w:sz w:val="24"/>
          <w:szCs w:val="24"/>
        </w:rPr>
        <w:t>1）售后服务响应：7*24小时的售后服务响应。必要时中标方应提供备件使系统能正常工作，硬件故障维修时应当详细记录故障原因及排除方法，维修完毕将其移交最终用户。</w:t>
      </w:r>
    </w:p>
    <w:p>
      <w:pPr>
        <w:spacing w:line="360" w:lineRule="auto"/>
        <w:ind w:left="360" w:hanging="360" w:hangingChars="150"/>
        <w:rPr>
          <w:rFonts w:ascii="宋体" w:hAnsi="宋体" w:cs="宋体"/>
          <w:sz w:val="24"/>
          <w:szCs w:val="24"/>
        </w:rPr>
      </w:pPr>
      <w:r>
        <w:rPr>
          <w:rFonts w:hint="eastAsia" w:ascii="宋体" w:hAnsi="宋体" w:cs="宋体"/>
          <w:sz w:val="24"/>
          <w:szCs w:val="24"/>
        </w:rPr>
        <w:t>2）热线服务：应提供热线电话或E-mail、QQ等途径随时回答与工程有关的技术问题并在24小时内提出解决方案。</w:t>
      </w:r>
    </w:p>
    <w:p>
      <w:pPr>
        <w:spacing w:line="360" w:lineRule="auto"/>
        <w:ind w:left="360" w:hanging="360" w:hangingChars="150"/>
        <w:rPr>
          <w:rFonts w:hint="eastAsia" w:ascii="宋体" w:hAnsi="宋体" w:cs="宋体"/>
          <w:sz w:val="24"/>
        </w:rPr>
      </w:pPr>
      <w:r>
        <w:rPr>
          <w:rFonts w:hint="eastAsia" w:ascii="宋体" w:hAnsi="宋体" w:cs="宋体"/>
          <w:sz w:val="24"/>
          <w:szCs w:val="24"/>
        </w:rPr>
        <w:t>3）定期跟踪：验收完毕后，应定期跟踪和回访使用情况（每季度至少一次）。及时了解存在的问题，并随时给予解决。</w:t>
      </w:r>
      <w:r>
        <w:rPr>
          <w:rFonts w:ascii="宋体" w:hAnsi="宋体" w:cs="宋体"/>
          <w:sz w:val="24"/>
          <w:szCs w:val="24"/>
        </w:rPr>
        <w:br w:type="page"/>
      </w:r>
      <w:bookmarkEnd w:id="241"/>
    </w:p>
    <w:p>
      <w:pPr>
        <w:pStyle w:val="2"/>
        <w:numPr>
          <w:ilvl w:val="0"/>
          <w:numId w:val="3"/>
        </w:numPr>
        <w:spacing w:line="360" w:lineRule="auto"/>
        <w:jc w:val="center"/>
        <w:rPr>
          <w:rFonts w:hint="eastAsia" w:hAnsi="宋体" w:cs="宋体"/>
          <w:b/>
          <w:sz w:val="32"/>
          <w:szCs w:val="32"/>
        </w:rPr>
      </w:pPr>
      <w:bookmarkStart w:id="243" w:name="_Toc474492123"/>
      <w:bookmarkStart w:id="244" w:name="_Toc163636308"/>
      <w:bookmarkStart w:id="245" w:name="_Toc446946780"/>
      <w:r>
        <w:rPr>
          <w:rFonts w:hint="eastAsia" w:hAnsi="宋体" w:cs="宋体"/>
          <w:b/>
          <w:sz w:val="32"/>
          <w:szCs w:val="32"/>
        </w:rPr>
        <w:t>评标标准</w:t>
      </w:r>
      <w:bookmarkEnd w:id="243"/>
      <w:bookmarkEnd w:id="244"/>
      <w:bookmarkEnd w:id="245"/>
    </w:p>
    <w:p>
      <w:pPr>
        <w:spacing w:line="360" w:lineRule="auto"/>
        <w:rPr>
          <w:rFonts w:hint="eastAsia" w:ascii="宋体" w:hAnsi="宋体" w:cs="宋体"/>
        </w:rPr>
      </w:pPr>
    </w:p>
    <w:p>
      <w:pPr>
        <w:spacing w:line="360" w:lineRule="auto"/>
        <w:rPr>
          <w:rFonts w:hint="eastAsia" w:ascii="宋体" w:hAnsi="宋体" w:cs="宋体"/>
          <w:b/>
          <w:sz w:val="32"/>
          <w:szCs w:val="32"/>
        </w:rPr>
      </w:pPr>
      <w:r>
        <w:rPr>
          <w:rFonts w:hint="eastAsia" w:ascii="宋体" w:hAnsi="宋体" w:cs="宋体"/>
          <w:b/>
          <w:sz w:val="32"/>
          <w:szCs w:val="32"/>
        </w:rPr>
        <w:t>一、符合性审查</w:t>
      </w:r>
    </w:p>
    <w:p>
      <w:pPr>
        <w:spacing w:line="360" w:lineRule="auto"/>
        <w:ind w:left="564" w:leftChars="114" w:hanging="325" w:hangingChars="135"/>
        <w:rPr>
          <w:rFonts w:hint="eastAsia" w:ascii="宋体" w:hAnsi="宋体" w:cs="宋体"/>
          <w:b/>
          <w:sz w:val="24"/>
          <w:szCs w:val="24"/>
        </w:rPr>
      </w:pPr>
      <w:r>
        <w:rPr>
          <w:rFonts w:hint="eastAsia" w:ascii="宋体" w:hAnsi="宋体" w:cs="宋体"/>
          <w:b/>
          <w:sz w:val="24"/>
          <w:szCs w:val="24"/>
        </w:rPr>
        <w:t>不符合下列情况之一的，其投标将作无效投标处理：</w:t>
      </w:r>
    </w:p>
    <w:p>
      <w:pPr>
        <w:spacing w:line="360" w:lineRule="auto"/>
        <w:rPr>
          <w:rFonts w:hint="eastAsia" w:ascii="宋体" w:hAnsi="宋体" w:cs="宋体"/>
          <w:sz w:val="24"/>
          <w:szCs w:val="24"/>
        </w:rPr>
      </w:pPr>
      <w:r>
        <w:rPr>
          <w:rFonts w:hint="eastAsia" w:ascii="宋体" w:hAnsi="宋体" w:cs="宋体"/>
          <w:sz w:val="24"/>
          <w:szCs w:val="24"/>
        </w:rPr>
        <w:t>1) 须提交开标一览表、分项报价表、开标一览明细表，开标一览明细表中应列出分项报价；</w:t>
      </w:r>
    </w:p>
    <w:p>
      <w:pPr>
        <w:spacing w:line="360" w:lineRule="auto"/>
        <w:rPr>
          <w:rFonts w:hint="eastAsia" w:ascii="宋体" w:hAnsi="宋体" w:cs="宋体"/>
          <w:sz w:val="24"/>
          <w:szCs w:val="24"/>
        </w:rPr>
      </w:pPr>
      <w:r>
        <w:rPr>
          <w:rFonts w:hint="eastAsia" w:ascii="宋体" w:hAnsi="宋体" w:cs="宋体"/>
          <w:sz w:val="24"/>
          <w:szCs w:val="24"/>
        </w:rPr>
        <w:t>2) 须提交唯一固定报价；</w:t>
      </w:r>
    </w:p>
    <w:p>
      <w:pPr>
        <w:spacing w:line="360" w:lineRule="auto"/>
        <w:ind w:left="360" w:hanging="360" w:hangingChars="150"/>
        <w:rPr>
          <w:rFonts w:hint="eastAsia" w:ascii="宋体" w:hAnsi="宋体" w:cs="宋体"/>
          <w:sz w:val="24"/>
          <w:szCs w:val="24"/>
        </w:rPr>
      </w:pPr>
      <w:r>
        <w:rPr>
          <w:rFonts w:hint="eastAsia" w:ascii="宋体" w:hAnsi="宋体" w:cs="宋体"/>
          <w:sz w:val="24"/>
          <w:szCs w:val="24"/>
        </w:rPr>
        <w:t>3) 投标有效期应满足招标文件要求；</w:t>
      </w:r>
    </w:p>
    <w:p>
      <w:pPr>
        <w:spacing w:line="360" w:lineRule="auto"/>
        <w:rPr>
          <w:rFonts w:hint="eastAsia" w:ascii="宋体" w:hAnsi="宋体" w:cs="宋体"/>
          <w:sz w:val="24"/>
          <w:szCs w:val="24"/>
        </w:rPr>
      </w:pPr>
      <w:r>
        <w:rPr>
          <w:rFonts w:hint="eastAsia" w:ascii="宋体" w:hAnsi="宋体" w:cs="宋体"/>
          <w:sz w:val="24"/>
          <w:szCs w:val="24"/>
        </w:rPr>
        <w:t>4) 应按招标文件“第四章格式7”的规定提供资格证明文件；</w:t>
      </w:r>
    </w:p>
    <w:p>
      <w:pPr>
        <w:spacing w:line="360" w:lineRule="auto"/>
        <w:rPr>
          <w:rFonts w:hint="eastAsia" w:ascii="宋体" w:hAnsi="宋体" w:cs="宋体"/>
          <w:sz w:val="24"/>
          <w:szCs w:val="24"/>
        </w:rPr>
      </w:pPr>
      <w:r>
        <w:rPr>
          <w:rFonts w:hint="eastAsia" w:ascii="宋体" w:hAnsi="宋体" w:cs="宋体"/>
          <w:sz w:val="24"/>
          <w:szCs w:val="24"/>
        </w:rPr>
        <w:t>5) 应按招标文件要求签字、签章，签字（签章）人应有法定代表人的有效委托；</w:t>
      </w:r>
    </w:p>
    <w:p>
      <w:pPr>
        <w:spacing w:line="360" w:lineRule="auto"/>
        <w:rPr>
          <w:rFonts w:hint="eastAsia" w:ascii="宋体" w:hAnsi="宋体" w:cs="宋体"/>
          <w:sz w:val="24"/>
          <w:szCs w:val="24"/>
        </w:rPr>
      </w:pPr>
      <w:r>
        <w:rPr>
          <w:rFonts w:hint="eastAsia" w:ascii="宋体" w:hAnsi="宋体" w:cs="宋体"/>
          <w:sz w:val="24"/>
          <w:szCs w:val="24"/>
        </w:rPr>
        <w:t>6) 响应内容不得与事实不符或虚假投标；</w:t>
      </w:r>
    </w:p>
    <w:p>
      <w:pPr>
        <w:spacing w:line="360" w:lineRule="auto"/>
        <w:rPr>
          <w:rFonts w:hint="eastAsia" w:ascii="宋体" w:hAnsi="宋体" w:cs="宋体"/>
          <w:sz w:val="24"/>
          <w:szCs w:val="24"/>
        </w:rPr>
      </w:pPr>
      <w:r>
        <w:rPr>
          <w:rFonts w:hint="eastAsia" w:ascii="宋体" w:hAnsi="宋体" w:cs="宋体"/>
          <w:sz w:val="24"/>
          <w:szCs w:val="24"/>
        </w:rPr>
        <w:t>7) 没有招标文件规定的其它无效投标情形。</w:t>
      </w:r>
    </w:p>
    <w:p>
      <w:pPr>
        <w:spacing w:line="360" w:lineRule="auto"/>
        <w:rPr>
          <w:rFonts w:hint="eastAsia" w:ascii="宋体" w:hAnsi="宋体" w:cs="宋体"/>
          <w:b/>
          <w:sz w:val="32"/>
          <w:szCs w:val="32"/>
        </w:rPr>
      </w:pPr>
    </w:p>
    <w:p>
      <w:pPr>
        <w:spacing w:line="360" w:lineRule="auto"/>
        <w:rPr>
          <w:rFonts w:hint="eastAsia" w:ascii="宋体" w:hAnsi="宋体" w:cs="宋体"/>
        </w:rPr>
      </w:pPr>
    </w:p>
    <w:p>
      <w:pPr>
        <w:spacing w:line="360" w:lineRule="auto"/>
        <w:rPr>
          <w:rFonts w:hint="eastAsia" w:ascii="宋体" w:hAnsi="宋体" w:cs="宋体"/>
          <w:b/>
          <w:sz w:val="24"/>
          <w:szCs w:val="24"/>
        </w:rPr>
      </w:pPr>
      <w:r>
        <w:rPr>
          <w:rFonts w:hint="eastAsia" w:ascii="宋体" w:hAnsi="宋体" w:cs="宋体"/>
          <w:b/>
          <w:sz w:val="24"/>
          <w:szCs w:val="24"/>
        </w:rPr>
        <w:t>废标情形</w:t>
      </w:r>
    </w:p>
    <w:p>
      <w:pPr>
        <w:spacing w:line="360" w:lineRule="auto"/>
        <w:rPr>
          <w:rFonts w:hint="eastAsia" w:ascii="宋体" w:hAnsi="宋体" w:cs="宋体"/>
          <w:sz w:val="24"/>
          <w:szCs w:val="24"/>
        </w:rPr>
      </w:pPr>
      <w:r>
        <w:rPr>
          <w:rFonts w:hint="eastAsia" w:ascii="宋体" w:hAnsi="宋体" w:cs="宋体"/>
          <w:sz w:val="24"/>
          <w:szCs w:val="24"/>
        </w:rPr>
        <w:t>在招标采购中，出现下列情形之一的，应予废标：</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1）符合专业条件的供应商或者对招标文件作实质响应的供应商不足三家的；</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2）出现影响采购公正的违法、违规行为的；</w:t>
      </w:r>
    </w:p>
    <w:p>
      <w:pPr>
        <w:spacing w:line="360" w:lineRule="auto"/>
        <w:ind w:firstLine="240" w:firstLineChars="100"/>
        <w:rPr>
          <w:rFonts w:hint="eastAsia" w:ascii="宋体" w:hAnsi="宋体" w:cs="宋体"/>
          <w:b/>
          <w:bCs/>
          <w:sz w:val="24"/>
          <w:szCs w:val="24"/>
        </w:rPr>
      </w:pPr>
      <w:r>
        <w:rPr>
          <w:rFonts w:hint="eastAsia" w:ascii="宋体" w:hAnsi="宋体" w:cs="宋体"/>
          <w:sz w:val="24"/>
          <w:szCs w:val="24"/>
        </w:rPr>
        <w:t>3）因重大变故，采购任务取消。</w:t>
      </w:r>
    </w:p>
    <w:p>
      <w:pPr>
        <w:spacing w:line="400" w:lineRule="exact"/>
        <w:rPr>
          <w:rFonts w:ascii="宋体" w:hAnsi="宋体" w:cs="宋体"/>
          <w:b/>
          <w:sz w:val="24"/>
          <w:szCs w:val="24"/>
        </w:rPr>
      </w:pPr>
    </w:p>
    <w:p>
      <w:pPr>
        <w:pStyle w:val="31"/>
      </w:pPr>
    </w:p>
    <w:p>
      <w:pPr>
        <w:pStyle w:val="31"/>
      </w:pPr>
    </w:p>
    <w:p>
      <w:pPr>
        <w:pStyle w:val="31"/>
        <w:rPr>
          <w:rFonts w:hint="eastAsia"/>
        </w:rPr>
      </w:pPr>
    </w:p>
    <w:p>
      <w:pPr>
        <w:pStyle w:val="31"/>
        <w:rPr>
          <w:rFonts w:hint="eastAsia"/>
        </w:rPr>
      </w:pPr>
    </w:p>
    <w:p>
      <w:pPr>
        <w:spacing w:line="400" w:lineRule="exact"/>
        <w:rPr>
          <w:rFonts w:hint="eastAsia" w:ascii="宋体" w:hAnsi="宋体" w:cs="宋体"/>
          <w:b/>
          <w:sz w:val="24"/>
          <w:szCs w:val="24"/>
        </w:rPr>
      </w:pPr>
      <w:r>
        <w:rPr>
          <w:rFonts w:ascii="宋体" w:hAnsi="宋体" w:cs="宋体"/>
          <w:b/>
          <w:sz w:val="24"/>
          <w:szCs w:val="24"/>
        </w:rPr>
        <w:br w:type="page"/>
      </w:r>
      <w:bookmarkEnd w:id="44"/>
      <w:bookmarkEnd w:id="139"/>
      <w:bookmarkEnd w:id="140"/>
      <w:r>
        <w:rPr>
          <w:rFonts w:hint="eastAsia" w:ascii="宋体" w:hAnsi="宋体" w:cs="宋体"/>
          <w:b/>
          <w:sz w:val="32"/>
          <w:szCs w:val="32"/>
        </w:rPr>
        <w:t>二、评分标准</w:t>
      </w:r>
    </w:p>
    <w:p>
      <w:pPr>
        <w:pStyle w:val="3"/>
        <w:rPr>
          <w:rFonts w:ascii="宋体" w:hAnsi="宋体" w:cs="宋体"/>
          <w:sz w:val="24"/>
          <w:szCs w:val="24"/>
        </w:rPr>
      </w:pPr>
      <w:bookmarkStart w:id="246" w:name="_Toc163636309"/>
      <w:r>
        <w:rPr>
          <w:rFonts w:hint="eastAsia" w:ascii="宋体" w:hAnsi="宋体" w:cs="宋体"/>
          <w:sz w:val="24"/>
          <w:szCs w:val="24"/>
        </w:rPr>
        <w:t>评标委员会应当按照招标文件中规定的评标方法和标准，对符合性审查合格的投标文件进行商务和技术评估，综合比较与评价。</w:t>
      </w:r>
      <w:bookmarkEnd w:id="246"/>
      <w:bookmarkStart w:id="247" w:name="_Toc43198212"/>
    </w:p>
    <w:p>
      <w:pPr>
        <w:pStyle w:val="3"/>
        <w:rPr>
          <w:lang w:val="en"/>
        </w:rPr>
      </w:pPr>
      <w:bookmarkStart w:id="248" w:name="_Toc163636310"/>
      <w:r>
        <w:rPr>
          <w:rFonts w:hint="eastAsia"/>
        </w:rPr>
        <w:t>一、价格评分</w:t>
      </w:r>
      <w:bookmarkEnd w:id="247"/>
      <w:r>
        <w:rPr>
          <w:rFonts w:hint="eastAsia"/>
        </w:rPr>
        <w:t>（30分）</w:t>
      </w:r>
      <w:bookmarkEnd w:id="248"/>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18" w:type="dxa"/>
            <w:noWrap w:val="0"/>
            <w:vAlign w:val="center"/>
          </w:tcPr>
          <w:p>
            <w:pPr>
              <w:spacing w:line="400" w:lineRule="exact"/>
              <w:jc w:val="center"/>
              <w:rPr>
                <w:rFonts w:ascii="宋体" w:hAnsi="宋体" w:cs="仿宋"/>
                <w:sz w:val="28"/>
                <w:szCs w:val="28"/>
              </w:rPr>
            </w:pPr>
            <w:r>
              <w:rPr>
                <w:rFonts w:hint="eastAsia" w:ascii="宋体" w:hAnsi="宋体" w:cs="仿宋"/>
                <w:b/>
                <w:bCs/>
                <w:sz w:val="28"/>
                <w:szCs w:val="28"/>
              </w:rPr>
              <w:t>评审内容</w:t>
            </w:r>
          </w:p>
        </w:tc>
        <w:tc>
          <w:tcPr>
            <w:tcW w:w="1134" w:type="dxa"/>
            <w:noWrap w:val="0"/>
            <w:vAlign w:val="center"/>
          </w:tcPr>
          <w:p>
            <w:pPr>
              <w:spacing w:line="400" w:lineRule="exact"/>
              <w:jc w:val="center"/>
              <w:rPr>
                <w:rFonts w:ascii="宋体" w:hAnsi="宋体" w:cs="仿宋"/>
                <w:sz w:val="28"/>
                <w:szCs w:val="28"/>
              </w:rPr>
            </w:pPr>
            <w:r>
              <w:rPr>
                <w:rFonts w:hint="eastAsia" w:ascii="宋体" w:hAnsi="宋体" w:cs="仿宋"/>
                <w:b/>
                <w:bCs/>
                <w:sz w:val="28"/>
                <w:szCs w:val="2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8518" w:type="dxa"/>
            <w:noWrap w:val="0"/>
            <w:vAlign w:val="center"/>
          </w:tcPr>
          <w:p>
            <w:pPr>
              <w:spacing w:line="400" w:lineRule="exact"/>
              <w:ind w:firstLine="360" w:firstLineChars="150"/>
              <w:rPr>
                <w:rFonts w:ascii="宋体" w:hAnsi="宋体" w:cs="仿宋"/>
                <w:bCs/>
                <w:sz w:val="24"/>
                <w:szCs w:val="24"/>
              </w:rPr>
            </w:pPr>
            <w:r>
              <w:rPr>
                <w:rFonts w:hint="eastAsia" w:ascii="宋体" w:hAnsi="宋体" w:cs="仿宋"/>
                <w:bCs/>
                <w:sz w:val="24"/>
                <w:szCs w:val="24"/>
              </w:rPr>
              <w:t>价格分采用低价优先法计算，即满足招标文件要求且投标价格最低的投标报价为评标基准价，其价格分为满分。其他投标人的价格分统一按下列公式计算：投标报价得分=（评标基准价/投标报价）×30</w:t>
            </w:r>
            <w:r>
              <w:rPr>
                <w:rFonts w:hint="eastAsia" w:ascii="宋体" w:hAnsi="宋体" w:cs="仿宋"/>
                <w:sz w:val="24"/>
                <w:szCs w:val="24"/>
              </w:rPr>
              <w:t>分，</w:t>
            </w:r>
            <w:r>
              <w:rPr>
                <w:rFonts w:hint="eastAsia" w:ascii="宋体" w:hAnsi="宋体" w:cs="宋体"/>
                <w:sz w:val="24"/>
                <w:szCs w:val="24"/>
              </w:rPr>
              <w:t>计算分数时四舍五入取小数点后两位。</w:t>
            </w:r>
          </w:p>
          <w:p>
            <w:pPr>
              <w:spacing w:line="400" w:lineRule="exact"/>
              <w:ind w:left="420"/>
              <w:rPr>
                <w:rFonts w:ascii="宋体" w:hAnsi="宋体" w:cs="仿宋"/>
                <w:bCs/>
                <w:sz w:val="24"/>
                <w:szCs w:val="24"/>
              </w:rPr>
            </w:pPr>
            <w:r>
              <w:rPr>
                <w:rFonts w:hint="eastAsia" w:ascii="宋体" w:hAnsi="宋体" w:cs="仿宋"/>
                <w:bCs/>
                <w:sz w:val="24"/>
                <w:szCs w:val="24"/>
              </w:rPr>
              <w:t>注：（1）对小型和微型企业产品的价格给予10%的扣除，用扣除后的价格参与评审。</w:t>
            </w:r>
          </w:p>
          <w:p>
            <w:pPr>
              <w:spacing w:line="400" w:lineRule="exact"/>
              <w:ind w:left="420"/>
              <w:rPr>
                <w:rFonts w:ascii="宋体" w:hAnsi="宋体" w:cs="仿宋"/>
                <w:bCs/>
                <w:sz w:val="24"/>
                <w:szCs w:val="24"/>
              </w:rPr>
            </w:pPr>
            <w:r>
              <w:rPr>
                <w:rFonts w:hint="eastAsia" w:ascii="宋体" w:hAnsi="宋体" w:cs="仿宋"/>
                <w:bCs/>
                <w:sz w:val="24"/>
                <w:szCs w:val="24"/>
              </w:rPr>
              <w:t>（2）监狱企业视同小型、微型企业，享受评审中价格扣除等政府促进中小企业发展的政府采购政策。</w:t>
            </w:r>
          </w:p>
          <w:p>
            <w:pPr>
              <w:spacing w:line="400" w:lineRule="exact"/>
              <w:ind w:left="420"/>
              <w:rPr>
                <w:rFonts w:ascii="宋体" w:hAnsi="宋体" w:cs="仿宋"/>
                <w:bCs/>
                <w:sz w:val="24"/>
                <w:szCs w:val="24"/>
              </w:rPr>
            </w:pPr>
            <w:r>
              <w:rPr>
                <w:rFonts w:hint="eastAsia" w:ascii="宋体" w:hAnsi="宋体" w:cs="仿宋"/>
                <w:bCs/>
                <w:sz w:val="24"/>
                <w:szCs w:val="24"/>
              </w:rPr>
              <w:t>（3）残疾人福利性单位视同小型、微型企业，享受评审中价格扣除等政府促进中小企业发展的政府采购政策；福利性单位属于小型、微型企业的，不重复享受政策。</w:t>
            </w:r>
          </w:p>
          <w:p>
            <w:pPr>
              <w:spacing w:line="400" w:lineRule="exact"/>
              <w:rPr>
                <w:rFonts w:ascii="宋体" w:hAnsi="宋体" w:cs="仿宋"/>
                <w:sz w:val="24"/>
                <w:szCs w:val="24"/>
              </w:rPr>
            </w:pPr>
            <w:r>
              <w:rPr>
                <w:rFonts w:hint="eastAsia" w:ascii="宋体" w:hAnsi="宋体" w:cs="宋体"/>
                <w:b/>
                <w:bCs/>
                <w:sz w:val="24"/>
                <w:szCs w:val="24"/>
              </w:rPr>
              <w:t>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tc>
        <w:tc>
          <w:tcPr>
            <w:tcW w:w="1134" w:type="dxa"/>
            <w:noWrap w:val="0"/>
            <w:vAlign w:val="center"/>
          </w:tcPr>
          <w:p>
            <w:pPr>
              <w:spacing w:line="400" w:lineRule="exact"/>
              <w:jc w:val="center"/>
              <w:rPr>
                <w:rFonts w:ascii="宋体" w:hAnsi="宋体" w:cs="仿宋"/>
                <w:sz w:val="24"/>
                <w:szCs w:val="24"/>
              </w:rPr>
            </w:pPr>
            <w:r>
              <w:rPr>
                <w:rFonts w:hint="eastAsia" w:ascii="宋体" w:hAnsi="宋体" w:cs="仿宋"/>
                <w:bCs/>
                <w:sz w:val="24"/>
                <w:szCs w:val="24"/>
              </w:rPr>
              <w:t>30分</w:t>
            </w:r>
          </w:p>
        </w:tc>
      </w:tr>
    </w:tbl>
    <w:p>
      <w:pPr>
        <w:pStyle w:val="3"/>
      </w:pPr>
      <w:bookmarkStart w:id="249" w:name="_Toc43198213"/>
      <w:bookmarkStart w:id="250" w:name="_Toc163636311"/>
      <w:r>
        <w:rPr>
          <w:rFonts w:hint="eastAsia"/>
        </w:rPr>
        <w:t>二、技术评分</w:t>
      </w:r>
      <w:bookmarkEnd w:id="249"/>
      <w:r>
        <w:rPr>
          <w:rFonts w:hint="eastAsia"/>
        </w:rPr>
        <w:t>（44分）</w:t>
      </w:r>
      <w:bookmarkEnd w:id="250"/>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7260"/>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157" w:type="dxa"/>
            <w:noWrap w:val="0"/>
            <w:vAlign w:val="center"/>
          </w:tcPr>
          <w:p>
            <w:pPr>
              <w:spacing w:line="400" w:lineRule="exact"/>
              <w:jc w:val="center"/>
              <w:rPr>
                <w:rFonts w:ascii="宋体" w:hAnsi="宋体" w:cs="宋体"/>
                <w:b/>
                <w:bCs/>
                <w:sz w:val="28"/>
                <w:szCs w:val="28"/>
              </w:rPr>
            </w:pPr>
            <w:r>
              <w:rPr>
                <w:rFonts w:hint="eastAsia" w:ascii="宋体" w:hAnsi="宋体" w:cs="宋体"/>
                <w:b/>
                <w:bCs/>
                <w:sz w:val="28"/>
                <w:szCs w:val="28"/>
              </w:rPr>
              <w:t>评分点</w:t>
            </w:r>
          </w:p>
        </w:tc>
        <w:tc>
          <w:tcPr>
            <w:tcW w:w="7260" w:type="dxa"/>
            <w:noWrap w:val="0"/>
            <w:vAlign w:val="center"/>
          </w:tcPr>
          <w:p>
            <w:pPr>
              <w:spacing w:line="400" w:lineRule="exact"/>
              <w:jc w:val="center"/>
              <w:rPr>
                <w:rFonts w:ascii="宋体" w:hAnsi="宋体" w:cs="宋体"/>
                <w:b/>
                <w:bCs/>
                <w:sz w:val="28"/>
                <w:szCs w:val="28"/>
              </w:rPr>
            </w:pPr>
            <w:r>
              <w:rPr>
                <w:rFonts w:hint="eastAsia" w:ascii="宋体" w:hAnsi="宋体" w:cs="宋体"/>
                <w:b/>
                <w:bCs/>
                <w:sz w:val="28"/>
                <w:szCs w:val="28"/>
              </w:rPr>
              <w:t>评审内容</w:t>
            </w:r>
          </w:p>
        </w:tc>
        <w:tc>
          <w:tcPr>
            <w:tcW w:w="1259" w:type="dxa"/>
            <w:noWrap w:val="0"/>
            <w:vAlign w:val="center"/>
          </w:tcPr>
          <w:p>
            <w:pPr>
              <w:spacing w:line="400" w:lineRule="exact"/>
              <w:jc w:val="center"/>
              <w:rPr>
                <w:rFonts w:ascii="宋体" w:hAnsi="宋体" w:cs="宋体"/>
                <w:b/>
                <w:bCs/>
                <w:sz w:val="28"/>
                <w:szCs w:val="28"/>
              </w:rPr>
            </w:pPr>
            <w:r>
              <w:rPr>
                <w:rFonts w:hint="eastAsia" w:ascii="宋体" w:hAnsi="宋体" w:cs="宋体"/>
                <w:b/>
                <w:bCs/>
                <w:sz w:val="28"/>
                <w:szCs w:val="28"/>
              </w:rPr>
              <w:t>总分值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57" w:type="dxa"/>
            <w:noWrap w:val="0"/>
            <w:vAlign w:val="center"/>
          </w:tcPr>
          <w:p>
            <w:pPr>
              <w:spacing w:line="400" w:lineRule="exact"/>
              <w:jc w:val="center"/>
              <w:rPr>
                <w:rFonts w:ascii="宋体" w:hAnsi="宋体" w:cs="宋体"/>
                <w:sz w:val="24"/>
                <w:szCs w:val="24"/>
              </w:rPr>
            </w:pPr>
            <w:r>
              <w:rPr>
                <w:rFonts w:hint="eastAsia" w:ascii="宋体" w:hAnsi="宋体" w:cs="宋体"/>
                <w:sz w:val="24"/>
                <w:szCs w:val="24"/>
              </w:rPr>
              <w:t>基本要求</w:t>
            </w:r>
          </w:p>
        </w:tc>
        <w:tc>
          <w:tcPr>
            <w:tcW w:w="7260" w:type="dxa"/>
            <w:noWrap w:val="0"/>
            <w:vAlign w:val="center"/>
          </w:tcPr>
          <w:p>
            <w:pPr>
              <w:ind w:firstLine="480" w:firstLineChars="200"/>
              <w:rPr>
                <w:rFonts w:ascii="宋体" w:hAnsi="宋体" w:cs="宋体"/>
                <w:sz w:val="24"/>
                <w:szCs w:val="24"/>
              </w:rPr>
            </w:pPr>
            <w:r>
              <w:rPr>
                <w:rFonts w:hint="eastAsia" w:ascii="宋体" w:hAnsi="宋体" w:cs="宋体"/>
                <w:sz w:val="24"/>
                <w:szCs w:val="24"/>
              </w:rPr>
              <w:t>实质性响应招标文件“采购需求”中采购清单及技术参数要求条款的得10 分。</w:t>
            </w:r>
          </w:p>
          <w:p>
            <w:pPr>
              <w:spacing w:line="400" w:lineRule="exact"/>
              <w:rPr>
                <w:rFonts w:ascii="宋体" w:hAnsi="宋体" w:cs="宋体"/>
                <w:sz w:val="24"/>
                <w:szCs w:val="24"/>
                <w:highlight w:val="yellow"/>
              </w:rPr>
            </w:pPr>
            <w:r>
              <w:rPr>
                <w:rFonts w:hint="eastAsia" w:ascii="宋体" w:hAnsi="宋体" w:cs="宋体"/>
                <w:b/>
                <w:bCs/>
                <w:sz w:val="24"/>
                <w:szCs w:val="24"/>
              </w:rPr>
              <w:t>评审依据：依据《技术需求响应/偏离表》，核心参数（与性能有关的参数）必须满足，非核心参数每有1条不满足扣1分，扣完为止。</w:t>
            </w:r>
          </w:p>
        </w:tc>
        <w:tc>
          <w:tcPr>
            <w:tcW w:w="1259" w:type="dxa"/>
            <w:noWrap w:val="0"/>
            <w:vAlign w:val="center"/>
          </w:tcPr>
          <w:p>
            <w:pPr>
              <w:spacing w:line="400" w:lineRule="exact"/>
              <w:jc w:val="center"/>
              <w:rPr>
                <w:rFonts w:ascii="宋体" w:hAnsi="宋体" w:cs="宋体"/>
                <w:sz w:val="24"/>
                <w:szCs w:val="24"/>
              </w:rPr>
            </w:pPr>
            <w:r>
              <w:rPr>
                <w:rStyle w:val="213"/>
                <w:rFonts w:hint="default"/>
                <w:color w:val="auto"/>
                <w:sz w:val="24"/>
                <w:szCs w:val="24"/>
                <w:lang w:bidi="ar"/>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57" w:type="dxa"/>
            <w:noWrap w:val="0"/>
            <w:vAlign w:val="center"/>
          </w:tcPr>
          <w:p>
            <w:pPr>
              <w:spacing w:line="400" w:lineRule="exact"/>
              <w:jc w:val="center"/>
              <w:rPr>
                <w:rFonts w:ascii="宋体" w:hAnsi="宋体" w:cs="宋体"/>
                <w:sz w:val="24"/>
                <w:szCs w:val="24"/>
              </w:rPr>
            </w:pPr>
            <w:r>
              <w:rPr>
                <w:rFonts w:hint="eastAsia" w:ascii="宋体" w:hAnsi="宋体" w:cs="宋体"/>
                <w:sz w:val="24"/>
                <w:szCs w:val="24"/>
              </w:rPr>
              <w:t>园区测速一体机</w:t>
            </w:r>
          </w:p>
        </w:tc>
        <w:tc>
          <w:tcPr>
            <w:tcW w:w="7260" w:type="dxa"/>
            <w:noWrap w:val="0"/>
            <w:vAlign w:val="center"/>
          </w:tcPr>
          <w:p>
            <w:pPr>
              <w:widowControl/>
              <w:spacing w:line="400" w:lineRule="exact"/>
              <w:textAlignment w:val="center"/>
              <w:rPr>
                <w:rStyle w:val="213"/>
                <w:rFonts w:hint="default"/>
                <w:color w:val="auto"/>
                <w:sz w:val="24"/>
                <w:szCs w:val="24"/>
                <w:lang w:bidi="ar"/>
              </w:rPr>
            </w:pPr>
            <w:r>
              <w:rPr>
                <w:rStyle w:val="213"/>
                <w:rFonts w:hint="default"/>
                <w:color w:val="auto"/>
                <w:sz w:val="24"/>
                <w:szCs w:val="24"/>
                <w:lang w:bidi="ar"/>
              </w:rPr>
              <w:t>投标人所提供</w:t>
            </w:r>
            <w:r>
              <w:rPr>
                <w:rStyle w:val="213"/>
                <w:rFonts w:hint="default"/>
                <w:b/>
                <w:bCs/>
                <w:color w:val="auto"/>
                <w:sz w:val="24"/>
                <w:szCs w:val="24"/>
                <w:lang w:bidi="ar"/>
              </w:rPr>
              <w:t>“园区测速一体机”</w:t>
            </w:r>
            <w:r>
              <w:rPr>
                <w:rStyle w:val="213"/>
                <w:rFonts w:hint="default"/>
                <w:color w:val="auto"/>
                <w:sz w:val="24"/>
                <w:szCs w:val="24"/>
                <w:lang w:bidi="ar"/>
              </w:rPr>
              <w:t>满足以下功能：</w:t>
            </w:r>
          </w:p>
          <w:p>
            <w:pPr>
              <w:widowControl/>
              <w:spacing w:line="40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1、支持手动、手动辅助、自动标定三种坐标标定方式，自动标定时样机自动进行雷达与视频坐标的融合标定，并显示标定状态和标定进程；支持目标轨迹跟踪和显示，可在监控界面显示目标的实时轨迹。</w:t>
            </w:r>
            <w:r>
              <w:rPr>
                <w:rStyle w:val="213"/>
                <w:rFonts w:hint="default"/>
                <w:b/>
                <w:bCs/>
                <w:color w:val="auto"/>
                <w:sz w:val="24"/>
                <w:szCs w:val="24"/>
                <w:lang w:bidi="ar"/>
              </w:rPr>
              <w:t>全部满足得2分。</w:t>
            </w:r>
          </w:p>
          <w:p>
            <w:pPr>
              <w:widowControl/>
              <w:spacing w:line="40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2、支持通过雷达数据列表查看编号、位置坐标、车道号、速度、航向角、检测时刻、经纬度、角度等信息，检测时刻可精确到毫秒；雷达和视频可同时检测到目标，通过雷达坐标标定（标定方式可设置为自动/手动），实现雷达检测数据和视频检测数据的融合。</w:t>
            </w:r>
            <w:r>
              <w:rPr>
                <w:rStyle w:val="213"/>
                <w:rFonts w:hint="default"/>
                <w:b/>
                <w:bCs/>
                <w:color w:val="auto"/>
                <w:sz w:val="24"/>
                <w:szCs w:val="24"/>
                <w:lang w:bidi="ar"/>
              </w:rPr>
              <w:t>全部满足得2分。</w:t>
            </w:r>
          </w:p>
          <w:p>
            <w:pPr>
              <w:widowControl/>
              <w:spacing w:line="40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3、支持目标跟踪功能，视频预览画面内可叠加车辆跟踪框，实时显示每个目标的运行情况，包含车牌号码、速度、车型、位置坐标等；支持通过雷达数据列表显示编号、位置坐标、车道号、速度、航向角、经纬度、角度等</w:t>
            </w:r>
            <w:r>
              <w:rPr>
                <w:rStyle w:val="213"/>
                <w:rFonts w:hint="default"/>
                <w:b/>
                <w:bCs/>
                <w:color w:val="auto"/>
                <w:sz w:val="24"/>
                <w:szCs w:val="24"/>
                <w:lang w:bidi="ar"/>
              </w:rPr>
              <w:t>。全部满足得2分。</w:t>
            </w:r>
          </w:p>
          <w:p>
            <w:pPr>
              <w:widowControl/>
              <w:spacing w:line="400" w:lineRule="exact"/>
              <w:textAlignment w:val="center"/>
              <w:rPr>
                <w:rStyle w:val="213"/>
                <w:rFonts w:hint="default"/>
                <w:color w:val="auto"/>
                <w:sz w:val="24"/>
                <w:szCs w:val="24"/>
                <w:lang w:bidi="ar"/>
              </w:rPr>
            </w:pPr>
            <w:r>
              <w:rPr>
                <w:rStyle w:val="213"/>
                <w:rFonts w:hint="default"/>
                <w:b/>
                <w:bCs/>
                <w:color w:val="auto"/>
                <w:sz w:val="24"/>
                <w:szCs w:val="24"/>
                <w:lang w:bidi="ar"/>
              </w:rPr>
              <w:t>【评审依据：投标人在投标文件中提供第三方专业检测机构出具的封面具有CNAS或CMA认证标识的检测报告复印件并加盖制造商公章进行佐证，同时需提供对应检测报告在全国认证认可信息公共服务平台报告查询截图（须包含清晰可辨的网址信息）；未提供或提供不齐全不得分。】</w:t>
            </w:r>
          </w:p>
        </w:tc>
        <w:tc>
          <w:tcPr>
            <w:tcW w:w="1259" w:type="dxa"/>
            <w:noWrap w:val="0"/>
            <w:vAlign w:val="center"/>
          </w:tcPr>
          <w:p>
            <w:pPr>
              <w:spacing w:line="400" w:lineRule="exact"/>
              <w:jc w:val="center"/>
              <w:rPr>
                <w:rFonts w:ascii="宋体" w:hAnsi="宋体" w:cs="宋体"/>
                <w:sz w:val="24"/>
                <w:szCs w:val="24"/>
              </w:rPr>
            </w:pPr>
            <w:r>
              <w:rPr>
                <w:rFonts w:hint="eastAsia" w:ascii="宋体" w:hAnsi="宋体" w:cs="宋体"/>
                <w:sz w:val="24"/>
                <w:szCs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57" w:type="dxa"/>
            <w:noWrap w:val="0"/>
            <w:vAlign w:val="center"/>
          </w:tcPr>
          <w:p>
            <w:pPr>
              <w:spacing w:line="400" w:lineRule="exact"/>
              <w:jc w:val="center"/>
              <w:rPr>
                <w:rFonts w:ascii="宋体" w:hAnsi="宋体" w:cs="宋体"/>
                <w:sz w:val="24"/>
                <w:szCs w:val="24"/>
              </w:rPr>
            </w:pPr>
            <w:r>
              <w:rPr>
                <w:rFonts w:hint="eastAsia" w:ascii="宋体" w:hAnsi="宋体" w:cs="宋体"/>
                <w:sz w:val="24"/>
                <w:szCs w:val="24"/>
              </w:rPr>
              <w:t>人脸门禁一体机</w:t>
            </w:r>
          </w:p>
        </w:tc>
        <w:tc>
          <w:tcPr>
            <w:tcW w:w="7260" w:type="dxa"/>
            <w:noWrap w:val="0"/>
            <w:vAlign w:val="center"/>
          </w:tcPr>
          <w:p>
            <w:pPr>
              <w:widowControl/>
              <w:spacing w:line="400" w:lineRule="exact"/>
              <w:textAlignment w:val="center"/>
              <w:rPr>
                <w:rStyle w:val="213"/>
                <w:rFonts w:hint="default"/>
                <w:color w:val="auto"/>
                <w:sz w:val="24"/>
                <w:szCs w:val="24"/>
                <w:lang w:bidi="ar"/>
              </w:rPr>
            </w:pPr>
            <w:r>
              <w:rPr>
                <w:rStyle w:val="213"/>
                <w:rFonts w:hint="default"/>
                <w:color w:val="auto"/>
                <w:sz w:val="24"/>
                <w:szCs w:val="24"/>
                <w:lang w:bidi="ar"/>
              </w:rPr>
              <w:t>投标人所提供</w:t>
            </w:r>
            <w:r>
              <w:rPr>
                <w:rStyle w:val="213"/>
                <w:rFonts w:hint="default"/>
                <w:b/>
                <w:bCs/>
                <w:color w:val="auto"/>
                <w:sz w:val="24"/>
                <w:szCs w:val="24"/>
                <w:lang w:bidi="ar"/>
              </w:rPr>
              <w:t>“</w:t>
            </w:r>
            <w:r>
              <w:rPr>
                <w:rFonts w:hint="eastAsia" w:ascii="宋体" w:hAnsi="宋体" w:cs="宋体"/>
                <w:b/>
                <w:bCs/>
                <w:sz w:val="24"/>
                <w:szCs w:val="24"/>
              </w:rPr>
              <w:t>人脸门禁一体机</w:t>
            </w:r>
            <w:r>
              <w:rPr>
                <w:rStyle w:val="213"/>
                <w:rFonts w:hint="default"/>
                <w:b/>
                <w:bCs/>
                <w:color w:val="auto"/>
                <w:sz w:val="24"/>
                <w:szCs w:val="24"/>
                <w:lang w:bidi="ar"/>
              </w:rPr>
              <w:t>”</w:t>
            </w:r>
            <w:r>
              <w:rPr>
                <w:rStyle w:val="213"/>
                <w:rFonts w:hint="default"/>
                <w:color w:val="auto"/>
                <w:sz w:val="24"/>
                <w:szCs w:val="24"/>
                <w:lang w:bidi="ar"/>
              </w:rPr>
              <w:t>满足以下功能：</w:t>
            </w:r>
          </w:p>
          <w:p>
            <w:pPr>
              <w:widowControl/>
              <w:spacing w:line="40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1、支持在管理中心远程视频预览功能；应支持与管理平台或客户端中心、手机APP可视对讲功能；应支持与广播主机呼叫对讲功能，实现与广播系统对讲功能；应支持中心广播主机向设备广播喊话。</w:t>
            </w:r>
            <w:r>
              <w:rPr>
                <w:rStyle w:val="213"/>
                <w:rFonts w:hint="default"/>
                <w:b/>
                <w:bCs/>
                <w:color w:val="auto"/>
                <w:sz w:val="24"/>
                <w:szCs w:val="24"/>
                <w:lang w:bidi="ar"/>
              </w:rPr>
              <w:t>全部满足得4分。</w:t>
            </w:r>
          </w:p>
          <w:p>
            <w:pPr>
              <w:widowControl/>
              <w:spacing w:line="400" w:lineRule="exact"/>
              <w:ind w:firstLine="480" w:firstLineChars="200"/>
              <w:textAlignment w:val="center"/>
              <w:rPr>
                <w:rStyle w:val="213"/>
                <w:rFonts w:hint="default"/>
                <w:b/>
                <w:bCs/>
                <w:color w:val="auto"/>
                <w:sz w:val="24"/>
                <w:szCs w:val="24"/>
                <w:lang w:bidi="ar"/>
              </w:rPr>
            </w:pPr>
            <w:r>
              <w:rPr>
                <w:rStyle w:val="213"/>
                <w:rFonts w:hint="default"/>
                <w:color w:val="auto"/>
                <w:sz w:val="24"/>
                <w:szCs w:val="24"/>
                <w:lang w:bidi="ar"/>
              </w:rPr>
              <w:t>2、具有拓展GPS定位模块能力，应能通过事件方式定时上报设备位置信息；设备接入系统平台后应能支持视频联动报警功能；未授权人员刷人脸时，设备应能支持抓拍图片并实时上报平台预警；根据设定事件的联动关系，当检测到该事件发生时，应能触发对应的动作。</w:t>
            </w:r>
            <w:r>
              <w:rPr>
                <w:rStyle w:val="213"/>
                <w:rFonts w:hint="default"/>
                <w:b/>
                <w:bCs/>
                <w:color w:val="auto"/>
                <w:sz w:val="24"/>
                <w:szCs w:val="24"/>
                <w:lang w:bidi="ar"/>
              </w:rPr>
              <w:t>全部满足得4分。</w:t>
            </w:r>
          </w:p>
          <w:p>
            <w:pPr>
              <w:widowControl/>
              <w:spacing w:line="400" w:lineRule="exact"/>
              <w:textAlignment w:val="center"/>
              <w:rPr>
                <w:rStyle w:val="213"/>
                <w:rFonts w:hint="default"/>
                <w:color w:val="auto"/>
                <w:sz w:val="24"/>
                <w:szCs w:val="24"/>
                <w:lang w:bidi="ar"/>
              </w:rPr>
            </w:pPr>
            <w:r>
              <w:rPr>
                <w:rStyle w:val="213"/>
                <w:rFonts w:hint="default"/>
                <w:b/>
                <w:bCs/>
                <w:color w:val="auto"/>
                <w:sz w:val="24"/>
                <w:szCs w:val="24"/>
                <w:lang w:bidi="ar"/>
              </w:rPr>
              <w:t>【评审依据：投标人在投标文件中提供第三方专业检测机构出具的封面具有CNAS或CMA认证标识的检测报告复印件并加盖制造商公章进行佐证，同时需提供对应检测报告在全国认证认可信息公共服务平台报告查询截图（须包含清晰可辨的网址信息）；未提供或提供不齐全不得分。】</w:t>
            </w:r>
          </w:p>
        </w:tc>
        <w:tc>
          <w:tcPr>
            <w:tcW w:w="1259" w:type="dxa"/>
            <w:noWrap w:val="0"/>
            <w:vAlign w:val="center"/>
          </w:tcPr>
          <w:p>
            <w:pPr>
              <w:spacing w:line="400" w:lineRule="exact"/>
              <w:jc w:val="center"/>
              <w:rPr>
                <w:rFonts w:ascii="宋体" w:hAnsi="宋体" w:cs="宋体"/>
                <w:sz w:val="24"/>
                <w:szCs w:val="24"/>
              </w:rPr>
            </w:pPr>
            <w:r>
              <w:rPr>
                <w:rFonts w:hint="eastAsia" w:ascii="宋体" w:hAnsi="宋体" w:cs="宋体"/>
                <w:sz w:val="24"/>
                <w:szCs w:val="24"/>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57" w:type="dxa"/>
            <w:noWrap w:val="0"/>
            <w:vAlign w:val="center"/>
          </w:tcPr>
          <w:p>
            <w:pPr>
              <w:widowControl/>
              <w:spacing w:line="400" w:lineRule="exact"/>
              <w:jc w:val="center"/>
              <w:textAlignment w:val="center"/>
              <w:rPr>
                <w:rStyle w:val="213"/>
                <w:rFonts w:hint="default"/>
                <w:color w:val="auto"/>
                <w:sz w:val="24"/>
                <w:szCs w:val="24"/>
                <w:lang w:bidi="ar"/>
              </w:rPr>
            </w:pPr>
            <w:r>
              <w:rPr>
                <w:rStyle w:val="213"/>
                <w:rFonts w:hint="default"/>
                <w:color w:val="auto"/>
                <w:sz w:val="24"/>
                <w:szCs w:val="24"/>
                <w:lang w:bidi="ar"/>
              </w:rPr>
              <w:t>视频流媒体平台</w:t>
            </w:r>
          </w:p>
        </w:tc>
        <w:tc>
          <w:tcPr>
            <w:tcW w:w="7260" w:type="dxa"/>
            <w:noWrap w:val="0"/>
            <w:vAlign w:val="center"/>
          </w:tcPr>
          <w:p>
            <w:pPr>
              <w:widowControl/>
              <w:spacing w:line="400" w:lineRule="exact"/>
              <w:textAlignment w:val="center"/>
              <w:rPr>
                <w:rStyle w:val="213"/>
                <w:rFonts w:hint="default"/>
                <w:color w:val="auto"/>
                <w:sz w:val="24"/>
                <w:szCs w:val="24"/>
                <w:lang w:bidi="ar"/>
              </w:rPr>
            </w:pPr>
            <w:r>
              <w:rPr>
                <w:rStyle w:val="213"/>
                <w:rFonts w:hint="default"/>
                <w:color w:val="auto"/>
                <w:sz w:val="24"/>
                <w:szCs w:val="24"/>
                <w:lang w:bidi="ar"/>
              </w:rPr>
              <w:t>投标人所提供</w:t>
            </w:r>
            <w:r>
              <w:rPr>
                <w:rStyle w:val="213"/>
                <w:rFonts w:hint="default"/>
                <w:b/>
                <w:bCs/>
                <w:color w:val="auto"/>
                <w:sz w:val="24"/>
                <w:szCs w:val="24"/>
                <w:lang w:bidi="ar"/>
              </w:rPr>
              <w:t>“视频流媒体平台”</w:t>
            </w:r>
            <w:r>
              <w:rPr>
                <w:rStyle w:val="213"/>
                <w:rFonts w:hint="default"/>
                <w:color w:val="auto"/>
                <w:sz w:val="24"/>
                <w:szCs w:val="24"/>
                <w:lang w:bidi="ar"/>
              </w:rPr>
              <w:t>满足以下功能：</w:t>
            </w:r>
          </w:p>
          <w:p>
            <w:pPr>
              <w:spacing w:line="400" w:lineRule="exact"/>
              <w:ind w:firstLine="480" w:firstLineChars="200"/>
              <w:rPr>
                <w:rStyle w:val="213"/>
                <w:rFonts w:hint="default"/>
                <w:color w:val="auto"/>
                <w:sz w:val="24"/>
                <w:szCs w:val="24"/>
                <w:lang w:bidi="ar"/>
              </w:rPr>
            </w:pPr>
            <w:r>
              <w:rPr>
                <w:rStyle w:val="213"/>
                <w:rFonts w:hint="default"/>
                <w:color w:val="auto"/>
                <w:sz w:val="24"/>
                <w:szCs w:val="24"/>
                <w:lang w:bidi="ar"/>
              </w:rPr>
              <w:t>1、支持对发现的资源进行区域绑定；支持查看拓扑页面中的资源告警和线路告警；支持对告警进行处理；支持对拓扑图进行编辑操作，包括拓扑布局修改、拓扑节点搜索、拓扑路线编辑；支持查看监控点到服务器之间的网络连接和流量情况。</w:t>
            </w:r>
            <w:r>
              <w:rPr>
                <w:rStyle w:val="213"/>
                <w:rFonts w:hint="default"/>
                <w:b/>
                <w:bCs/>
                <w:color w:val="auto"/>
                <w:sz w:val="24"/>
                <w:szCs w:val="24"/>
                <w:lang w:bidi="ar"/>
              </w:rPr>
              <w:t>全部满足得3分。</w:t>
            </w:r>
          </w:p>
          <w:p>
            <w:pPr>
              <w:spacing w:line="400" w:lineRule="exact"/>
              <w:ind w:firstLine="480" w:firstLineChars="200"/>
              <w:rPr>
                <w:rStyle w:val="213"/>
                <w:rFonts w:hint="default"/>
                <w:color w:val="auto"/>
                <w:sz w:val="24"/>
                <w:szCs w:val="24"/>
                <w:lang w:bidi="ar"/>
              </w:rPr>
            </w:pPr>
            <w:r>
              <w:rPr>
                <w:rStyle w:val="213"/>
                <w:rFonts w:hint="default"/>
                <w:color w:val="auto"/>
                <w:sz w:val="24"/>
                <w:szCs w:val="24"/>
                <w:lang w:bidi="ar"/>
              </w:rPr>
              <w:t>2、支持多色彩（红、橙、黄）展示运行告警状态，支持告警统计、概览、处理，支持告警记录查看、查询，支持告警单条、批量处理；支持系统最近7天每日告警数统计，支持评分量化系统监控指数，显示系统运行状态。提供模型管理、模型下发、智能分析配置、抓图计划配置。通过将AI模型下发至设备，为设备通道配置智能分析任务，使设备拥有针对特定对象和场景的智能分析能力。</w:t>
            </w:r>
            <w:r>
              <w:rPr>
                <w:rStyle w:val="213"/>
                <w:rFonts w:hint="default"/>
                <w:b/>
                <w:bCs/>
                <w:color w:val="auto"/>
                <w:sz w:val="24"/>
                <w:szCs w:val="24"/>
                <w:lang w:bidi="ar"/>
              </w:rPr>
              <w:t>全部满足得3分。</w:t>
            </w:r>
          </w:p>
          <w:p>
            <w:pPr>
              <w:widowControl/>
              <w:spacing w:line="400" w:lineRule="exact"/>
              <w:textAlignment w:val="center"/>
              <w:rPr>
                <w:rStyle w:val="213"/>
                <w:rFonts w:hint="default"/>
                <w:color w:val="auto"/>
                <w:sz w:val="24"/>
                <w:szCs w:val="24"/>
                <w:lang w:bidi="ar"/>
              </w:rPr>
            </w:pPr>
            <w:r>
              <w:rPr>
                <w:rStyle w:val="213"/>
                <w:rFonts w:hint="default"/>
                <w:color w:val="auto"/>
                <w:sz w:val="24"/>
                <w:szCs w:val="24"/>
                <w:lang w:bidi="ar"/>
              </w:rPr>
              <w:t>3、支持大车超速阈值和小车超速阈值配置；支持批量导入布控车辆名单；支持通过系统违法类型+手动录入的自定义违法类型扣分方式配置；针对积分管控项中，车辆积分扣减完成之后，车辆加入出入口黑名单，并提供对外事件数据。</w:t>
            </w:r>
            <w:r>
              <w:rPr>
                <w:rStyle w:val="213"/>
                <w:rFonts w:hint="default"/>
                <w:b/>
                <w:bCs/>
                <w:color w:val="auto"/>
                <w:sz w:val="24"/>
                <w:szCs w:val="24"/>
                <w:lang w:bidi="ar"/>
              </w:rPr>
              <w:t>全部满足得4分。</w:t>
            </w:r>
            <w:r>
              <w:rPr>
                <w:rStyle w:val="213"/>
                <w:rFonts w:hint="default"/>
                <w:color w:val="auto"/>
                <w:sz w:val="24"/>
                <w:szCs w:val="24"/>
                <w:lang w:bidi="ar"/>
              </w:rPr>
              <w:br w:type="textWrapping"/>
            </w:r>
            <w:r>
              <w:rPr>
                <w:rStyle w:val="213"/>
                <w:rFonts w:hint="default"/>
                <w:b/>
                <w:bCs/>
                <w:color w:val="auto"/>
                <w:sz w:val="24"/>
                <w:szCs w:val="24"/>
                <w:lang w:bidi="ar"/>
              </w:rPr>
              <w:t>【评审依据：投标人在投标文件中提供第三方专业检测机构出具的封面具有CNAS或CMA认证标识的检测报告复印件并加盖制造商公章进行佐证，同时需提供对应检测报告在全国认证认可信息公共服务平台报告查询截图（须包含清晰可辨的网址信息）；未提供或提供不齐全不得分。】</w:t>
            </w:r>
          </w:p>
        </w:tc>
        <w:tc>
          <w:tcPr>
            <w:tcW w:w="1259" w:type="dxa"/>
            <w:noWrap w:val="0"/>
            <w:vAlign w:val="center"/>
          </w:tcPr>
          <w:p>
            <w:pPr>
              <w:spacing w:line="400" w:lineRule="exact"/>
              <w:jc w:val="center"/>
              <w:rPr>
                <w:rFonts w:ascii="宋体" w:hAnsi="宋体" w:cs="宋体"/>
                <w:bCs/>
                <w:sz w:val="24"/>
                <w:szCs w:val="24"/>
              </w:rPr>
            </w:pPr>
            <w:r>
              <w:rPr>
                <w:rFonts w:hint="eastAsia" w:ascii="宋体" w:hAnsi="宋体" w:cs="宋体"/>
                <w:bCs/>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57" w:type="dxa"/>
            <w:noWrap w:val="0"/>
            <w:vAlign w:val="center"/>
          </w:tcPr>
          <w:p>
            <w:pPr>
              <w:widowControl/>
              <w:spacing w:line="400" w:lineRule="exact"/>
              <w:jc w:val="center"/>
              <w:textAlignment w:val="center"/>
              <w:rPr>
                <w:rFonts w:ascii="宋体" w:hAnsi="宋体" w:cs="宋体"/>
                <w:sz w:val="24"/>
                <w:szCs w:val="24"/>
              </w:rPr>
            </w:pPr>
            <w:bookmarkStart w:id="251" w:name="_Toc43198214"/>
            <w:r>
              <w:rPr>
                <w:rFonts w:hint="eastAsia" w:ascii="宋体" w:hAnsi="宋体" w:cs="宋体"/>
                <w:sz w:val="24"/>
                <w:szCs w:val="24"/>
                <w:lang w:bidi="ar"/>
              </w:rPr>
              <w:t>平台技术对接</w:t>
            </w:r>
          </w:p>
        </w:tc>
        <w:tc>
          <w:tcPr>
            <w:tcW w:w="7260" w:type="dxa"/>
            <w:noWrap w:val="0"/>
            <w:vAlign w:val="top"/>
          </w:tcPr>
          <w:p>
            <w:pPr>
              <w:widowControl/>
              <w:spacing w:line="400" w:lineRule="exact"/>
              <w:textAlignment w:val="top"/>
              <w:rPr>
                <w:rFonts w:ascii="宋体" w:hAnsi="宋体" w:cs="宋体"/>
                <w:sz w:val="24"/>
                <w:szCs w:val="24"/>
                <w:lang w:bidi="ar"/>
              </w:rPr>
            </w:pPr>
            <w:r>
              <w:rPr>
                <w:rFonts w:hint="eastAsia" w:ascii="宋体" w:hAnsi="宋体" w:cs="宋体"/>
                <w:sz w:val="24"/>
                <w:szCs w:val="24"/>
                <w:lang w:bidi="ar"/>
              </w:rPr>
              <w:t>投标人所提供产品能与东乡经济开发区化工集中区安全智能管控平台进行对接。</w:t>
            </w:r>
            <w:r>
              <w:rPr>
                <w:rFonts w:hint="eastAsia" w:ascii="宋体" w:hAnsi="宋体" w:cs="宋体"/>
                <w:b/>
                <w:bCs/>
                <w:sz w:val="24"/>
                <w:szCs w:val="24"/>
                <w:lang w:bidi="ar"/>
              </w:rPr>
              <w:t>满足得3分。</w:t>
            </w:r>
          </w:p>
          <w:p>
            <w:pPr>
              <w:widowControl/>
              <w:spacing w:line="400" w:lineRule="exact"/>
              <w:textAlignment w:val="top"/>
              <w:rPr>
                <w:rFonts w:ascii="宋体" w:hAnsi="宋体" w:cs="宋体"/>
                <w:sz w:val="24"/>
                <w:szCs w:val="24"/>
              </w:rPr>
            </w:pPr>
            <w:r>
              <w:rPr>
                <w:rStyle w:val="213"/>
                <w:rFonts w:hint="default"/>
                <w:b/>
                <w:bCs/>
                <w:color w:val="auto"/>
                <w:sz w:val="24"/>
                <w:szCs w:val="24"/>
                <w:lang w:bidi="ar"/>
              </w:rPr>
              <w:t>【评审依据：投标人在投标文件中提供承诺函加盖单位公章，并加盖投标人公章】</w:t>
            </w:r>
          </w:p>
        </w:tc>
        <w:tc>
          <w:tcPr>
            <w:tcW w:w="1259" w:type="dxa"/>
            <w:noWrap w:val="0"/>
            <w:vAlign w:val="center"/>
          </w:tcPr>
          <w:p>
            <w:pPr>
              <w:spacing w:line="400" w:lineRule="exact"/>
              <w:jc w:val="center"/>
              <w:rPr>
                <w:rFonts w:ascii="宋体" w:hAnsi="宋体" w:cs="宋体"/>
                <w:bCs/>
                <w:sz w:val="24"/>
                <w:szCs w:val="24"/>
              </w:rPr>
            </w:pPr>
            <w:r>
              <w:rPr>
                <w:rFonts w:hint="eastAsia" w:ascii="宋体" w:hAnsi="宋体" w:cs="宋体"/>
                <w:bCs/>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57" w:type="dxa"/>
            <w:noWrap w:val="0"/>
            <w:vAlign w:val="center"/>
          </w:tcPr>
          <w:p>
            <w:pPr>
              <w:spacing w:line="400" w:lineRule="exact"/>
              <w:jc w:val="center"/>
              <w:rPr>
                <w:rFonts w:ascii="宋体" w:hAnsi="宋体" w:cs="宋体"/>
                <w:sz w:val="24"/>
                <w:szCs w:val="24"/>
              </w:rPr>
            </w:pPr>
            <w:r>
              <w:rPr>
                <w:rStyle w:val="213"/>
                <w:rFonts w:hint="default"/>
                <w:color w:val="auto"/>
                <w:sz w:val="24"/>
                <w:szCs w:val="24"/>
                <w:lang w:bidi="ar"/>
              </w:rPr>
              <w:t>建设方案</w:t>
            </w:r>
          </w:p>
        </w:tc>
        <w:tc>
          <w:tcPr>
            <w:tcW w:w="7260" w:type="dxa"/>
            <w:noWrap w:val="0"/>
            <w:vAlign w:val="center"/>
          </w:tcPr>
          <w:p>
            <w:pPr>
              <w:widowControl/>
              <w:spacing w:line="400" w:lineRule="exact"/>
              <w:textAlignment w:val="center"/>
              <w:rPr>
                <w:rStyle w:val="213"/>
                <w:rFonts w:hint="default"/>
                <w:color w:val="auto"/>
                <w:sz w:val="24"/>
                <w:szCs w:val="24"/>
                <w:lang w:bidi="ar"/>
              </w:rPr>
            </w:pPr>
            <w:r>
              <w:rPr>
                <w:rStyle w:val="213"/>
                <w:rFonts w:hint="default"/>
                <w:color w:val="auto"/>
                <w:sz w:val="24"/>
                <w:szCs w:val="24"/>
                <w:lang w:bidi="ar"/>
              </w:rPr>
              <w:t>投标人提供针对本项目的详细建设方案，包括但不限于：</w:t>
            </w:r>
            <w:r>
              <w:rPr>
                <w:rStyle w:val="213"/>
                <w:rFonts w:hint="default"/>
                <w:color w:val="auto"/>
                <w:sz w:val="24"/>
                <w:szCs w:val="24"/>
                <w:lang w:bidi="ar"/>
              </w:rPr>
              <w:br w:type="textWrapping"/>
            </w:r>
            <w:r>
              <w:rPr>
                <w:rStyle w:val="213"/>
                <w:rFonts w:hint="default"/>
                <w:color w:val="auto"/>
                <w:sz w:val="24"/>
                <w:szCs w:val="24"/>
                <w:lang w:bidi="ar"/>
              </w:rPr>
              <w:t>①项目实施整体规划；</w:t>
            </w:r>
            <w:r>
              <w:rPr>
                <w:rStyle w:val="213"/>
                <w:rFonts w:hint="default"/>
                <w:color w:val="auto"/>
                <w:sz w:val="24"/>
                <w:szCs w:val="24"/>
                <w:lang w:bidi="ar"/>
              </w:rPr>
              <w:br w:type="textWrapping"/>
            </w:r>
            <w:r>
              <w:rPr>
                <w:rStyle w:val="213"/>
                <w:rFonts w:hint="default"/>
                <w:color w:val="auto"/>
                <w:sz w:val="24"/>
                <w:szCs w:val="24"/>
                <w:lang w:bidi="ar"/>
              </w:rPr>
              <w:t>②施工组织与进度计划；</w:t>
            </w:r>
            <w:r>
              <w:rPr>
                <w:rStyle w:val="213"/>
                <w:rFonts w:hint="default"/>
                <w:color w:val="auto"/>
                <w:sz w:val="24"/>
                <w:szCs w:val="24"/>
                <w:lang w:bidi="ar"/>
              </w:rPr>
              <w:br w:type="textWrapping"/>
            </w:r>
            <w:r>
              <w:rPr>
                <w:rStyle w:val="213"/>
                <w:rFonts w:hint="default"/>
                <w:color w:val="auto"/>
                <w:sz w:val="24"/>
                <w:szCs w:val="24"/>
                <w:lang w:bidi="ar"/>
              </w:rPr>
              <w:t>③施工质量保障；</w:t>
            </w:r>
            <w:r>
              <w:rPr>
                <w:rStyle w:val="213"/>
                <w:rFonts w:hint="default"/>
                <w:color w:val="auto"/>
                <w:sz w:val="24"/>
                <w:szCs w:val="24"/>
                <w:lang w:bidi="ar"/>
              </w:rPr>
              <w:br w:type="textWrapping"/>
            </w:r>
            <w:r>
              <w:rPr>
                <w:rStyle w:val="213"/>
                <w:rFonts w:hint="default"/>
                <w:color w:val="auto"/>
                <w:sz w:val="24"/>
                <w:szCs w:val="24"/>
                <w:lang w:bidi="ar"/>
              </w:rPr>
              <w:t>④测试与验收方案；</w:t>
            </w:r>
            <w:r>
              <w:rPr>
                <w:rStyle w:val="213"/>
                <w:rFonts w:hint="default"/>
                <w:color w:val="auto"/>
                <w:sz w:val="24"/>
                <w:szCs w:val="24"/>
                <w:lang w:bidi="ar"/>
              </w:rPr>
              <w:br w:type="textWrapping"/>
            </w:r>
            <w:r>
              <w:rPr>
                <w:rStyle w:val="213"/>
                <w:rFonts w:hint="default"/>
                <w:color w:val="auto"/>
                <w:sz w:val="24"/>
                <w:szCs w:val="24"/>
                <w:lang w:bidi="ar"/>
              </w:rPr>
              <w:t>⑤人员培训方案；</w:t>
            </w:r>
            <w:r>
              <w:rPr>
                <w:rStyle w:val="213"/>
                <w:rFonts w:hint="default"/>
                <w:color w:val="auto"/>
                <w:sz w:val="24"/>
                <w:szCs w:val="24"/>
                <w:lang w:bidi="ar"/>
              </w:rPr>
              <w:br w:type="textWrapping"/>
            </w:r>
            <w:r>
              <w:rPr>
                <w:rStyle w:val="213"/>
                <w:rFonts w:hint="default"/>
                <w:color w:val="auto"/>
                <w:sz w:val="24"/>
                <w:szCs w:val="24"/>
                <w:lang w:bidi="ar"/>
              </w:rPr>
              <w:t>⑥备品备件供应方案；</w:t>
            </w:r>
            <w:r>
              <w:rPr>
                <w:rStyle w:val="213"/>
                <w:rFonts w:hint="default"/>
                <w:color w:val="auto"/>
                <w:sz w:val="24"/>
                <w:szCs w:val="24"/>
                <w:lang w:bidi="ar"/>
              </w:rPr>
              <w:br w:type="textWrapping"/>
            </w:r>
            <w:r>
              <w:rPr>
                <w:rStyle w:val="213"/>
                <w:rFonts w:hint="default"/>
                <w:color w:val="auto"/>
                <w:sz w:val="24"/>
                <w:szCs w:val="24"/>
                <w:lang w:bidi="ar"/>
              </w:rPr>
              <w:t>⑦售后服务方案。</w:t>
            </w:r>
          </w:p>
          <w:p>
            <w:pPr>
              <w:widowControl/>
              <w:spacing w:line="400" w:lineRule="exact"/>
              <w:textAlignment w:val="center"/>
              <w:rPr>
                <w:rStyle w:val="213"/>
                <w:rFonts w:hint="default"/>
                <w:color w:val="auto"/>
                <w:sz w:val="24"/>
                <w:szCs w:val="24"/>
                <w:lang w:bidi="ar"/>
              </w:rPr>
            </w:pPr>
            <w:r>
              <w:rPr>
                <w:rStyle w:val="213"/>
                <w:rFonts w:hint="default"/>
                <w:color w:val="auto"/>
                <w:sz w:val="24"/>
                <w:szCs w:val="24"/>
                <w:lang w:bidi="ar"/>
              </w:rPr>
              <w:t>方案科学合理、切实可行的，每包含一小项得1分。</w:t>
            </w:r>
          </w:p>
          <w:p>
            <w:pPr>
              <w:widowControl/>
              <w:spacing w:line="400" w:lineRule="exact"/>
              <w:textAlignment w:val="center"/>
              <w:rPr>
                <w:rStyle w:val="213"/>
                <w:rFonts w:hint="default"/>
                <w:b/>
                <w:bCs/>
                <w:color w:val="auto"/>
                <w:sz w:val="24"/>
                <w:szCs w:val="24"/>
                <w:lang w:bidi="ar"/>
              </w:rPr>
            </w:pPr>
            <w:r>
              <w:rPr>
                <w:rStyle w:val="213"/>
                <w:rFonts w:hint="default"/>
                <w:b/>
                <w:bCs/>
                <w:color w:val="auto"/>
                <w:sz w:val="24"/>
                <w:szCs w:val="24"/>
                <w:lang w:bidi="ar"/>
              </w:rPr>
              <w:t>【评审依据：投标人在投标文件中提供建设方案】</w:t>
            </w:r>
          </w:p>
        </w:tc>
        <w:tc>
          <w:tcPr>
            <w:tcW w:w="1259" w:type="dxa"/>
            <w:noWrap w:val="0"/>
            <w:vAlign w:val="center"/>
          </w:tcPr>
          <w:p>
            <w:pPr>
              <w:spacing w:line="400" w:lineRule="exact"/>
              <w:jc w:val="center"/>
              <w:rPr>
                <w:rFonts w:ascii="宋体" w:hAnsi="宋体" w:cs="宋体"/>
                <w:bCs/>
                <w:sz w:val="24"/>
                <w:szCs w:val="24"/>
              </w:rPr>
            </w:pPr>
            <w:r>
              <w:rPr>
                <w:rFonts w:hint="eastAsia" w:ascii="宋体" w:hAnsi="宋体" w:cs="宋体"/>
                <w:bCs/>
                <w:sz w:val="24"/>
                <w:szCs w:val="24"/>
              </w:rPr>
              <w:t>7分</w:t>
            </w:r>
          </w:p>
        </w:tc>
      </w:tr>
    </w:tbl>
    <w:p>
      <w:pPr>
        <w:rPr>
          <w:rFonts w:ascii="仿宋" w:hAnsi="仿宋" w:eastAsia="仿宋" w:cs="仿宋"/>
        </w:rPr>
      </w:pPr>
      <w:r>
        <w:rPr>
          <w:rFonts w:hint="eastAsia" w:ascii="仿宋" w:hAnsi="仿宋" w:eastAsia="仿宋" w:cs="仿宋"/>
        </w:rPr>
        <w:br w:type="page"/>
      </w:r>
    </w:p>
    <w:p>
      <w:pPr>
        <w:pStyle w:val="3"/>
        <w:rPr>
          <w:rFonts w:cs="仿宋"/>
        </w:rPr>
      </w:pPr>
      <w:bookmarkStart w:id="252" w:name="_Toc163636312"/>
      <w:r>
        <w:rPr>
          <w:rFonts w:hint="eastAsia" w:cs="仿宋"/>
        </w:rPr>
        <w:t>三、商务评分</w:t>
      </w:r>
      <w:bookmarkEnd w:id="251"/>
      <w:r>
        <w:rPr>
          <w:rFonts w:hint="eastAsia" w:cs="仿宋"/>
        </w:rPr>
        <w:t>（26分）</w:t>
      </w:r>
      <w:bookmarkEnd w:id="252"/>
    </w:p>
    <w:tbl>
      <w:tblPr>
        <w:tblStyle w:val="51"/>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7347"/>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235" w:type="dxa"/>
            <w:noWrap w:val="0"/>
            <w:vAlign w:val="center"/>
          </w:tcPr>
          <w:p>
            <w:pPr>
              <w:spacing w:line="480" w:lineRule="exact"/>
              <w:jc w:val="center"/>
              <w:rPr>
                <w:rFonts w:ascii="宋体" w:hAnsi="宋体" w:cs="仿宋"/>
                <w:b/>
                <w:bCs/>
                <w:sz w:val="28"/>
                <w:szCs w:val="28"/>
              </w:rPr>
            </w:pPr>
            <w:r>
              <w:rPr>
                <w:rFonts w:hint="eastAsia" w:ascii="宋体" w:hAnsi="宋体" w:cs="仿宋"/>
                <w:b/>
                <w:bCs/>
                <w:sz w:val="28"/>
                <w:szCs w:val="28"/>
              </w:rPr>
              <w:t>评分点</w:t>
            </w:r>
          </w:p>
        </w:tc>
        <w:tc>
          <w:tcPr>
            <w:tcW w:w="7347" w:type="dxa"/>
            <w:noWrap w:val="0"/>
            <w:vAlign w:val="center"/>
          </w:tcPr>
          <w:p>
            <w:pPr>
              <w:spacing w:line="480" w:lineRule="exact"/>
              <w:jc w:val="center"/>
              <w:rPr>
                <w:rFonts w:ascii="宋体" w:hAnsi="宋体" w:cs="仿宋"/>
                <w:b/>
                <w:bCs/>
                <w:sz w:val="28"/>
                <w:szCs w:val="28"/>
              </w:rPr>
            </w:pPr>
            <w:r>
              <w:rPr>
                <w:rFonts w:hint="eastAsia" w:ascii="宋体" w:hAnsi="宋体" w:cs="仿宋"/>
                <w:b/>
                <w:bCs/>
                <w:sz w:val="28"/>
                <w:szCs w:val="28"/>
              </w:rPr>
              <w:t>评审内容</w:t>
            </w:r>
          </w:p>
        </w:tc>
        <w:tc>
          <w:tcPr>
            <w:tcW w:w="1154" w:type="dxa"/>
            <w:noWrap w:val="0"/>
            <w:vAlign w:val="center"/>
          </w:tcPr>
          <w:p>
            <w:pPr>
              <w:spacing w:line="480" w:lineRule="exact"/>
              <w:jc w:val="center"/>
              <w:rPr>
                <w:rFonts w:ascii="宋体" w:hAnsi="宋体" w:cs="仿宋"/>
                <w:b/>
                <w:bCs/>
                <w:sz w:val="28"/>
                <w:szCs w:val="28"/>
              </w:rPr>
            </w:pPr>
            <w:r>
              <w:rPr>
                <w:rFonts w:hint="eastAsia" w:ascii="宋体" w:hAnsi="宋体" w:cs="仿宋"/>
                <w:b/>
                <w:bCs/>
                <w:sz w:val="28"/>
                <w:szCs w:val="28"/>
              </w:rPr>
              <w:t>总分值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235" w:type="dxa"/>
            <w:noWrap w:val="0"/>
            <w:vAlign w:val="center"/>
          </w:tcPr>
          <w:p>
            <w:pPr>
              <w:spacing w:line="480" w:lineRule="exact"/>
              <w:rPr>
                <w:rFonts w:ascii="宋体" w:hAnsi="宋体" w:cs="仿宋"/>
                <w:sz w:val="24"/>
                <w:szCs w:val="24"/>
              </w:rPr>
            </w:pPr>
            <w:r>
              <w:rPr>
                <w:rFonts w:hint="eastAsia" w:ascii="宋体" w:hAnsi="宋体"/>
                <w:sz w:val="24"/>
                <w:szCs w:val="24"/>
              </w:rPr>
              <w:t>基本要求</w:t>
            </w:r>
          </w:p>
        </w:tc>
        <w:tc>
          <w:tcPr>
            <w:tcW w:w="7347" w:type="dxa"/>
            <w:noWrap w:val="0"/>
            <w:vAlign w:val="center"/>
          </w:tcPr>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lang w:bidi="ar"/>
              </w:rPr>
              <w:t>完全响应或优于招标文件采购需求中商务要求的所有内容</w:t>
            </w:r>
            <w:r>
              <w:rPr>
                <w:rStyle w:val="213"/>
                <w:rFonts w:hint="default"/>
                <w:color w:val="auto"/>
                <w:sz w:val="24"/>
                <w:szCs w:val="24"/>
                <w:lang w:bidi="ar"/>
              </w:rPr>
              <w:t>，得5分，有一项负偏离的，</w:t>
            </w:r>
            <w:r>
              <w:rPr>
                <w:rStyle w:val="213"/>
                <w:rFonts w:hint="default"/>
                <w:b/>
                <w:bCs/>
                <w:color w:val="auto"/>
                <w:sz w:val="24"/>
                <w:szCs w:val="24"/>
                <w:lang w:bidi="ar"/>
              </w:rPr>
              <w:t>作无效投标处理。</w:t>
            </w:r>
          </w:p>
          <w:p>
            <w:pPr>
              <w:widowControl/>
              <w:spacing w:line="360" w:lineRule="exact"/>
              <w:textAlignment w:val="center"/>
              <w:rPr>
                <w:rStyle w:val="213"/>
                <w:rFonts w:hint="default"/>
                <w:color w:val="auto"/>
                <w:sz w:val="24"/>
                <w:szCs w:val="24"/>
                <w:lang w:bidi="ar"/>
              </w:rPr>
            </w:pPr>
            <w:r>
              <w:rPr>
                <w:rStyle w:val="213"/>
                <w:rFonts w:hint="default"/>
                <w:b/>
                <w:bCs/>
                <w:color w:val="auto"/>
                <w:sz w:val="24"/>
                <w:szCs w:val="24"/>
                <w:lang w:bidi="ar"/>
              </w:rPr>
              <w:t>【评审依据：</w:t>
            </w:r>
            <w:r>
              <w:rPr>
                <w:rFonts w:hint="eastAsia" w:ascii="宋体" w:hAnsi="宋体" w:cs="宋体"/>
                <w:b/>
                <w:bCs/>
                <w:sz w:val="24"/>
                <w:szCs w:val="24"/>
              </w:rPr>
              <w:t>以投标文件提供的“商务要求</w:t>
            </w:r>
            <w:r>
              <w:rPr>
                <w:rStyle w:val="213"/>
                <w:rFonts w:hint="default"/>
                <w:b/>
                <w:bCs/>
                <w:color w:val="auto"/>
                <w:sz w:val="24"/>
                <w:szCs w:val="24"/>
                <w:lang w:bidi="ar"/>
              </w:rPr>
              <w:t>响应偏离表</w:t>
            </w:r>
            <w:r>
              <w:rPr>
                <w:rFonts w:hint="eastAsia" w:ascii="宋体" w:hAnsi="宋体" w:cs="宋体"/>
                <w:b/>
                <w:bCs/>
                <w:sz w:val="24"/>
                <w:szCs w:val="24"/>
              </w:rPr>
              <w:t>”为依据</w:t>
            </w:r>
            <w:r>
              <w:rPr>
                <w:rStyle w:val="213"/>
                <w:rFonts w:hint="default"/>
                <w:b/>
                <w:bCs/>
                <w:color w:val="auto"/>
                <w:sz w:val="24"/>
                <w:szCs w:val="24"/>
                <w:lang w:bidi="ar"/>
              </w:rPr>
              <w:t>】</w:t>
            </w:r>
          </w:p>
        </w:tc>
        <w:tc>
          <w:tcPr>
            <w:tcW w:w="1154" w:type="dxa"/>
            <w:noWrap w:val="0"/>
            <w:vAlign w:val="center"/>
          </w:tcPr>
          <w:p>
            <w:pPr>
              <w:widowControl/>
              <w:spacing w:line="360" w:lineRule="exact"/>
              <w:jc w:val="center"/>
              <w:textAlignment w:val="center"/>
              <w:rPr>
                <w:rStyle w:val="213"/>
                <w:rFonts w:hint="default"/>
                <w:color w:val="auto"/>
                <w:sz w:val="24"/>
                <w:szCs w:val="24"/>
                <w:lang w:bidi="ar"/>
              </w:rPr>
            </w:pPr>
            <w:r>
              <w:rPr>
                <w:rStyle w:val="213"/>
                <w:rFonts w:hint="default"/>
                <w:color w:val="auto"/>
                <w:sz w:val="24"/>
                <w:szCs w:val="24"/>
                <w:lang w:bidi="ar"/>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9" w:hRule="atLeast"/>
          <w:jc w:val="center"/>
        </w:trPr>
        <w:tc>
          <w:tcPr>
            <w:tcW w:w="1235" w:type="dxa"/>
            <w:noWrap w:val="0"/>
            <w:vAlign w:val="center"/>
          </w:tcPr>
          <w:p>
            <w:pPr>
              <w:jc w:val="center"/>
              <w:rPr>
                <w:rFonts w:ascii="宋体" w:hAnsi="宋体"/>
                <w:sz w:val="24"/>
                <w:szCs w:val="24"/>
              </w:rPr>
            </w:pPr>
            <w:r>
              <w:rPr>
                <w:rFonts w:hint="eastAsia" w:ascii="宋体" w:hAnsi="宋体" w:cs="宋体"/>
                <w:sz w:val="24"/>
                <w:szCs w:val="24"/>
              </w:rPr>
              <w:t>企业实力</w:t>
            </w:r>
          </w:p>
        </w:tc>
        <w:tc>
          <w:tcPr>
            <w:tcW w:w="7347" w:type="dxa"/>
            <w:noWrap w:val="0"/>
            <w:vAlign w:val="center"/>
          </w:tcPr>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1、投标人通过质量管理体系认证、环境管理体系认证、职业健康安全管理体系认证、信息技术服务管理体系认证、信息安全管理体系认证，每满足一项得0.5分，本项最高得2.5分。</w:t>
            </w:r>
          </w:p>
          <w:p>
            <w:pPr>
              <w:widowControl/>
              <w:spacing w:line="360" w:lineRule="exact"/>
              <w:textAlignment w:val="center"/>
              <w:rPr>
                <w:rStyle w:val="213"/>
                <w:rFonts w:hint="default"/>
                <w:b/>
                <w:bCs/>
                <w:color w:val="auto"/>
                <w:sz w:val="24"/>
                <w:szCs w:val="24"/>
                <w:lang w:bidi="ar"/>
              </w:rPr>
            </w:pPr>
            <w:r>
              <w:rPr>
                <w:rStyle w:val="213"/>
                <w:rFonts w:hint="default"/>
                <w:b/>
                <w:bCs/>
                <w:color w:val="auto"/>
                <w:sz w:val="24"/>
                <w:szCs w:val="24"/>
                <w:lang w:bidi="ar"/>
              </w:rPr>
              <w:t>【评审依据：投标人在投标文件中提供相关有效证书扫描件并加盖投标人单位公章佐证，未提供或提供无效不得分】</w:t>
            </w:r>
          </w:p>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2、为保证东乡经济开发区化工集中区安全智能管控平台正常稳定运行，投标人具有系统集成企业能力标准证书得1.5分，未提供不得分。</w:t>
            </w:r>
          </w:p>
          <w:p>
            <w:pPr>
              <w:widowControl/>
              <w:spacing w:line="360" w:lineRule="exact"/>
              <w:textAlignment w:val="center"/>
              <w:rPr>
                <w:rStyle w:val="213"/>
                <w:rFonts w:hint="default"/>
                <w:b/>
                <w:bCs/>
                <w:color w:val="auto"/>
                <w:sz w:val="24"/>
                <w:szCs w:val="24"/>
                <w:lang w:bidi="ar"/>
              </w:rPr>
            </w:pPr>
            <w:r>
              <w:rPr>
                <w:rStyle w:val="213"/>
                <w:rFonts w:hint="default"/>
                <w:b/>
                <w:bCs/>
                <w:color w:val="auto"/>
                <w:sz w:val="24"/>
                <w:szCs w:val="24"/>
                <w:lang w:bidi="ar"/>
              </w:rPr>
              <w:t>【评审依据：投标人在投标文件中提供相关有效证书扫描件并加盖投标人单位公章佐证，未提供或提供无效不得分】</w:t>
            </w:r>
          </w:p>
          <w:p>
            <w:pPr>
              <w:widowControl/>
              <w:spacing w:line="360" w:lineRule="exact"/>
              <w:ind w:firstLine="480" w:firstLineChars="200"/>
              <w:textAlignment w:val="center"/>
              <w:rPr>
                <w:rStyle w:val="213"/>
                <w:rFonts w:hint="default"/>
                <w:color w:val="auto"/>
                <w:sz w:val="24"/>
                <w:szCs w:val="24"/>
                <w:highlight w:val="yellow"/>
                <w:lang w:bidi="ar"/>
              </w:rPr>
            </w:pPr>
            <w:r>
              <w:rPr>
                <w:rStyle w:val="213"/>
                <w:rFonts w:hint="default"/>
                <w:color w:val="auto"/>
                <w:sz w:val="24"/>
                <w:szCs w:val="24"/>
                <w:lang w:bidi="ar"/>
              </w:rPr>
              <w:t>3、为保证东乡经济开发区化工集中区安全智能管控平台正常稳定运行，投标人通过信息安全服务认证信息系统安全运维认证得2分，未提供不得分。</w:t>
            </w:r>
          </w:p>
          <w:p>
            <w:pPr>
              <w:widowControl/>
              <w:spacing w:line="360" w:lineRule="exact"/>
              <w:textAlignment w:val="center"/>
              <w:rPr>
                <w:rStyle w:val="213"/>
                <w:rFonts w:hint="default"/>
                <w:color w:val="auto"/>
                <w:sz w:val="24"/>
                <w:szCs w:val="24"/>
                <w:lang w:bidi="ar"/>
              </w:rPr>
            </w:pPr>
            <w:r>
              <w:rPr>
                <w:rStyle w:val="213"/>
                <w:rFonts w:hint="default"/>
                <w:b/>
                <w:bCs/>
                <w:color w:val="auto"/>
                <w:sz w:val="24"/>
                <w:szCs w:val="24"/>
                <w:lang w:bidi="ar"/>
              </w:rPr>
              <w:t>【评审依据：投标人在投标文件中提供相关有效证书扫描件并加盖投标人单位公章佐证，未提供或提供无效不得分】</w:t>
            </w:r>
          </w:p>
        </w:tc>
        <w:tc>
          <w:tcPr>
            <w:tcW w:w="1154" w:type="dxa"/>
            <w:noWrap w:val="0"/>
            <w:vAlign w:val="center"/>
          </w:tcPr>
          <w:p>
            <w:pPr>
              <w:widowControl/>
              <w:spacing w:line="360" w:lineRule="exact"/>
              <w:jc w:val="center"/>
              <w:textAlignment w:val="center"/>
              <w:rPr>
                <w:rStyle w:val="213"/>
                <w:rFonts w:hint="default"/>
                <w:color w:val="auto"/>
                <w:sz w:val="24"/>
                <w:szCs w:val="24"/>
                <w:lang w:bidi="ar"/>
              </w:rPr>
            </w:pPr>
            <w:r>
              <w:rPr>
                <w:rStyle w:val="213"/>
                <w:rFonts w:hint="default"/>
                <w:color w:val="auto"/>
                <w:sz w:val="24"/>
                <w:szCs w:val="24"/>
                <w:lang w:bidi="ar"/>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35" w:type="dxa"/>
            <w:noWrap w:val="0"/>
            <w:vAlign w:val="center"/>
          </w:tcPr>
          <w:p>
            <w:pPr>
              <w:jc w:val="center"/>
              <w:rPr>
                <w:rFonts w:ascii="宋体" w:hAnsi="宋体" w:cs="宋体"/>
                <w:sz w:val="24"/>
                <w:szCs w:val="24"/>
              </w:rPr>
            </w:pPr>
            <w:r>
              <w:rPr>
                <w:rFonts w:hint="eastAsia" w:ascii="宋体" w:hAnsi="宋体" w:cs="宋体"/>
                <w:sz w:val="24"/>
                <w:szCs w:val="24"/>
              </w:rPr>
              <w:t>项目服务团队</w:t>
            </w:r>
          </w:p>
        </w:tc>
        <w:tc>
          <w:tcPr>
            <w:tcW w:w="7347" w:type="dxa"/>
            <w:noWrap w:val="0"/>
            <w:vAlign w:val="center"/>
          </w:tcPr>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1、投标人运维团队中至少1人具备CISP注册信息安全工程师证书，满足得2分，不符合要求不得分。</w:t>
            </w:r>
          </w:p>
          <w:p>
            <w:pPr>
              <w:widowControl/>
              <w:spacing w:line="360" w:lineRule="exact"/>
              <w:textAlignment w:val="center"/>
              <w:rPr>
                <w:rStyle w:val="213"/>
                <w:rFonts w:hint="default"/>
                <w:color w:val="auto"/>
                <w:sz w:val="24"/>
                <w:szCs w:val="24"/>
                <w:lang w:bidi="ar"/>
              </w:rPr>
            </w:pPr>
            <w:r>
              <w:rPr>
                <w:rStyle w:val="213"/>
                <w:rFonts w:hint="default"/>
                <w:b/>
                <w:bCs/>
                <w:color w:val="auto"/>
                <w:sz w:val="24"/>
                <w:szCs w:val="24"/>
                <w:lang w:bidi="ar"/>
              </w:rPr>
              <w:t>【评审依据：投标人在投标文件中提供上述人员对应评分项要求的证书扫描件，同时提供开标截止时间前6个月内任意连续3个月为其缴纳社保的证明材料，并加盖投标人公章佐证，未提供或提供无效不得分。】</w:t>
            </w:r>
          </w:p>
        </w:tc>
        <w:tc>
          <w:tcPr>
            <w:tcW w:w="1154" w:type="dxa"/>
            <w:noWrap w:val="0"/>
            <w:vAlign w:val="center"/>
          </w:tcPr>
          <w:p>
            <w:pPr>
              <w:spacing w:line="360" w:lineRule="auto"/>
              <w:jc w:val="center"/>
              <w:rPr>
                <w:rFonts w:ascii="宋体" w:hAnsi="宋体" w:cs="宋体"/>
                <w:bCs/>
                <w:sz w:val="24"/>
                <w:szCs w:val="24"/>
              </w:rPr>
            </w:pPr>
            <w:r>
              <w:rPr>
                <w:rFonts w:hint="eastAsia" w:ascii="宋体" w:hAnsi="宋体" w:cs="宋体"/>
                <w:bCs/>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35" w:type="dxa"/>
            <w:noWrap w:val="0"/>
            <w:vAlign w:val="center"/>
          </w:tcPr>
          <w:p>
            <w:pPr>
              <w:spacing w:line="360" w:lineRule="auto"/>
              <w:jc w:val="center"/>
              <w:rPr>
                <w:rFonts w:ascii="宋体" w:hAnsi="宋体" w:cs="宋体"/>
                <w:sz w:val="24"/>
                <w:szCs w:val="24"/>
              </w:rPr>
            </w:pPr>
            <w:r>
              <w:rPr>
                <w:rFonts w:hint="eastAsia" w:ascii="宋体" w:hAnsi="宋体" w:cs="宋体"/>
                <w:sz w:val="24"/>
                <w:szCs w:val="24"/>
              </w:rPr>
              <w:t>售后服务</w:t>
            </w:r>
          </w:p>
        </w:tc>
        <w:tc>
          <w:tcPr>
            <w:tcW w:w="7347" w:type="dxa"/>
            <w:noWrap w:val="0"/>
            <w:vAlign w:val="center"/>
          </w:tcPr>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1、为保证货物售后服务质量，投标人或所投产品（出入口抓拍机、LED显示屏、400万白光全彩筒型网络摄像机、视频流媒体平台）制造商具有充足的售后资源及规范的管理制度，按照《CTEAS售后服务体系完善程度认证评价规范》（CTEAS1001）建立完善、成熟的商品售后服务工作体系，可提供由权威第三方机构颁发的售后服务体系完善程度认证七星证书的，得3分；可提供由权威第三方机构颁发的售后服务体系完善程度认证六星证书的，得2分；可提供由权威第三方机构颁发的售后服务体系完善程度认证五星证书的，得1分；其余不得分。</w:t>
            </w:r>
          </w:p>
          <w:p>
            <w:pPr>
              <w:widowControl/>
              <w:spacing w:line="360" w:lineRule="exact"/>
              <w:textAlignment w:val="center"/>
              <w:rPr>
                <w:rStyle w:val="213"/>
                <w:rFonts w:hint="default"/>
                <w:b/>
                <w:bCs/>
                <w:color w:val="auto"/>
                <w:sz w:val="24"/>
                <w:szCs w:val="24"/>
                <w:lang w:bidi="ar"/>
              </w:rPr>
            </w:pPr>
            <w:r>
              <w:rPr>
                <w:rStyle w:val="213"/>
                <w:rFonts w:hint="default"/>
                <w:b/>
                <w:bCs/>
                <w:color w:val="auto"/>
                <w:sz w:val="24"/>
                <w:szCs w:val="24"/>
                <w:lang w:bidi="ar"/>
              </w:rPr>
              <w:t>【评审依据：投标人在投标文件中提供有效证书扫描件并加盖投标人公章】</w:t>
            </w:r>
          </w:p>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2、投标人在满足招标文件要求的基础上，对本项目售后服务响应时间在2小时内的得2分，售后服务响应时间在4小时内的得1分。</w:t>
            </w:r>
          </w:p>
          <w:p>
            <w:pPr>
              <w:widowControl/>
              <w:spacing w:line="360" w:lineRule="exact"/>
              <w:textAlignment w:val="center"/>
              <w:rPr>
                <w:rStyle w:val="213"/>
                <w:rFonts w:hint="default"/>
                <w:color w:val="auto"/>
                <w:sz w:val="24"/>
                <w:szCs w:val="24"/>
                <w:lang w:bidi="ar"/>
              </w:rPr>
            </w:pPr>
            <w:r>
              <w:rPr>
                <w:rStyle w:val="213"/>
                <w:rFonts w:hint="default"/>
                <w:b/>
                <w:bCs/>
                <w:color w:val="auto"/>
                <w:sz w:val="24"/>
                <w:szCs w:val="24"/>
                <w:lang w:bidi="ar"/>
              </w:rPr>
              <w:t>【评审依据：投标人在投标文件中提供售后服务承诺书并加盖投标人公章】</w:t>
            </w:r>
          </w:p>
        </w:tc>
        <w:tc>
          <w:tcPr>
            <w:tcW w:w="1154" w:type="dxa"/>
            <w:noWrap w:val="0"/>
            <w:vAlign w:val="center"/>
          </w:tcPr>
          <w:p>
            <w:pPr>
              <w:spacing w:line="360" w:lineRule="auto"/>
              <w:jc w:val="center"/>
              <w:rPr>
                <w:rFonts w:ascii="宋体" w:hAnsi="宋体" w:cs="宋体"/>
                <w:sz w:val="24"/>
                <w:szCs w:val="24"/>
              </w:rPr>
            </w:pPr>
            <w:r>
              <w:rPr>
                <w:rFonts w:hint="eastAsia" w:ascii="宋体" w:hAnsi="宋体" w:cs="宋体"/>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35" w:type="dxa"/>
            <w:noWrap w:val="0"/>
            <w:vAlign w:val="center"/>
          </w:tcPr>
          <w:p>
            <w:pPr>
              <w:widowControl/>
              <w:spacing w:line="400" w:lineRule="exact"/>
              <w:jc w:val="center"/>
              <w:textAlignment w:val="top"/>
              <w:rPr>
                <w:rFonts w:ascii="宋体" w:hAnsi="宋体" w:cs="宋体"/>
                <w:sz w:val="24"/>
                <w:szCs w:val="24"/>
                <w:lang w:bidi="ar"/>
              </w:rPr>
            </w:pPr>
            <w:r>
              <w:rPr>
                <w:rFonts w:hint="eastAsia" w:ascii="宋体" w:hAnsi="宋体" w:cs="宋体"/>
                <w:sz w:val="24"/>
                <w:szCs w:val="24"/>
                <w:lang w:bidi="ar"/>
              </w:rPr>
              <w:t>项目评审</w:t>
            </w:r>
          </w:p>
        </w:tc>
        <w:tc>
          <w:tcPr>
            <w:tcW w:w="7347" w:type="dxa"/>
            <w:noWrap w:val="0"/>
            <w:vAlign w:val="top"/>
          </w:tcPr>
          <w:p>
            <w:pPr>
              <w:spacing w:line="400" w:lineRule="exact"/>
              <w:ind w:firstLine="480" w:firstLineChars="200"/>
              <w:rPr>
                <w:rStyle w:val="213"/>
                <w:rFonts w:hint="default"/>
                <w:color w:val="auto"/>
                <w:sz w:val="24"/>
                <w:szCs w:val="24"/>
                <w:lang w:bidi="ar"/>
              </w:rPr>
            </w:pPr>
            <w:r>
              <w:rPr>
                <w:rStyle w:val="213"/>
                <w:rFonts w:hint="default"/>
                <w:color w:val="auto"/>
                <w:sz w:val="24"/>
                <w:szCs w:val="24"/>
                <w:lang w:bidi="ar"/>
              </w:rPr>
              <w:t>投标人承诺本项目可通过《应急管理部办公厅 财政部办公厅关于加强重点化工产业聚集区重大安全风险防控项目建设管理的通知》（应急厅〔2023〕18号）中的《重点化工产业聚集区重大安全风险防控项目技术验收评分表》的评审。</w:t>
            </w:r>
            <w:r>
              <w:rPr>
                <w:rStyle w:val="213"/>
                <w:rFonts w:hint="default"/>
                <w:b/>
                <w:bCs/>
                <w:color w:val="auto"/>
                <w:sz w:val="24"/>
                <w:szCs w:val="24"/>
                <w:lang w:bidi="ar"/>
              </w:rPr>
              <w:t>满足得4分。</w:t>
            </w:r>
          </w:p>
          <w:p>
            <w:pPr>
              <w:pStyle w:val="50"/>
              <w:spacing w:after="0" w:line="400" w:lineRule="exact"/>
              <w:ind w:left="0" w:leftChars="0" w:firstLine="0" w:firstLineChars="0"/>
            </w:pPr>
            <w:r>
              <w:rPr>
                <w:rStyle w:val="213"/>
                <w:rFonts w:hint="default"/>
                <w:b/>
                <w:bCs/>
                <w:color w:val="auto"/>
                <w:sz w:val="24"/>
                <w:szCs w:val="24"/>
                <w:lang w:bidi="ar"/>
              </w:rPr>
              <w:t>【评审依据：投标人在投标文件中提供项目评审承诺函，并加盖投标人公章】</w:t>
            </w:r>
          </w:p>
        </w:tc>
        <w:tc>
          <w:tcPr>
            <w:tcW w:w="1154" w:type="dxa"/>
            <w:noWrap w:val="0"/>
            <w:vAlign w:val="center"/>
          </w:tcPr>
          <w:p>
            <w:pPr>
              <w:spacing w:line="400" w:lineRule="exact"/>
              <w:jc w:val="center"/>
              <w:rPr>
                <w:rFonts w:ascii="宋体" w:hAnsi="宋体" w:cs="宋体"/>
                <w:bCs/>
                <w:sz w:val="24"/>
                <w:szCs w:val="24"/>
              </w:rPr>
            </w:pPr>
            <w:r>
              <w:rPr>
                <w:rFonts w:hint="eastAsia" w:ascii="宋体" w:hAnsi="宋体" w:cs="宋体"/>
                <w:bCs/>
                <w:sz w:val="24"/>
                <w:szCs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35" w:type="dxa"/>
            <w:noWrap w:val="0"/>
            <w:vAlign w:val="center"/>
          </w:tcPr>
          <w:p>
            <w:pPr>
              <w:jc w:val="center"/>
              <w:rPr>
                <w:rFonts w:ascii="宋体" w:hAnsi="宋体" w:cs="宋体"/>
                <w:sz w:val="24"/>
                <w:szCs w:val="24"/>
              </w:rPr>
            </w:pPr>
            <w:r>
              <w:rPr>
                <w:rFonts w:hint="eastAsia" w:ascii="宋体" w:hAnsi="宋体" w:cs="宋体"/>
                <w:sz w:val="24"/>
                <w:szCs w:val="24"/>
              </w:rPr>
              <w:t>业绩能力</w:t>
            </w:r>
          </w:p>
        </w:tc>
        <w:tc>
          <w:tcPr>
            <w:tcW w:w="7347" w:type="dxa"/>
            <w:noWrap w:val="0"/>
            <w:vAlign w:val="center"/>
          </w:tcPr>
          <w:p>
            <w:pPr>
              <w:widowControl/>
              <w:spacing w:line="360" w:lineRule="exact"/>
              <w:ind w:firstLine="480" w:firstLineChars="200"/>
              <w:textAlignment w:val="center"/>
              <w:rPr>
                <w:rStyle w:val="213"/>
                <w:rFonts w:hint="default"/>
                <w:color w:val="auto"/>
                <w:sz w:val="24"/>
                <w:szCs w:val="24"/>
                <w:lang w:bidi="ar"/>
              </w:rPr>
            </w:pPr>
            <w:r>
              <w:rPr>
                <w:rStyle w:val="213"/>
                <w:rFonts w:hint="default"/>
                <w:color w:val="auto"/>
                <w:sz w:val="24"/>
                <w:szCs w:val="24"/>
                <w:lang w:bidi="ar"/>
              </w:rPr>
              <w:t>投标人自2021年1月1日（时间以合同签订时间为准）以来，承接过类似项目业绩，每提供一个得2分，最高得4分。</w:t>
            </w:r>
          </w:p>
          <w:p>
            <w:pPr>
              <w:widowControl/>
              <w:spacing w:line="360" w:lineRule="exact"/>
              <w:textAlignment w:val="center"/>
              <w:rPr>
                <w:rFonts w:ascii="宋体" w:hAnsi="宋体" w:cs="宋体"/>
                <w:b/>
                <w:bCs/>
                <w:sz w:val="24"/>
                <w:szCs w:val="24"/>
                <w:lang w:bidi="ar"/>
              </w:rPr>
            </w:pPr>
            <w:r>
              <w:rPr>
                <w:rStyle w:val="213"/>
                <w:rFonts w:hint="default"/>
                <w:b/>
                <w:bCs/>
                <w:color w:val="auto"/>
                <w:sz w:val="24"/>
                <w:szCs w:val="24"/>
                <w:lang w:bidi="ar"/>
              </w:rPr>
              <w:t>【评审依据：投标人在投标文件中提供合同关键页（可反映项目服务内容、合同签订时间）扫描件并加盖投标人公章，未提供或或提供无效不得分】</w:t>
            </w:r>
          </w:p>
        </w:tc>
        <w:tc>
          <w:tcPr>
            <w:tcW w:w="1154" w:type="dxa"/>
            <w:noWrap w:val="0"/>
            <w:vAlign w:val="center"/>
          </w:tcPr>
          <w:p>
            <w:pPr>
              <w:spacing w:line="360" w:lineRule="auto"/>
              <w:jc w:val="center"/>
              <w:rPr>
                <w:rFonts w:ascii="宋体" w:hAnsi="宋体" w:cs="宋体"/>
                <w:bCs/>
                <w:sz w:val="24"/>
                <w:szCs w:val="24"/>
              </w:rPr>
            </w:pPr>
            <w:r>
              <w:rPr>
                <w:rFonts w:hint="eastAsia" w:ascii="宋体" w:hAnsi="宋体" w:cs="宋体"/>
                <w:bCs/>
                <w:sz w:val="24"/>
                <w:szCs w:val="24"/>
              </w:rPr>
              <w:t>4分</w:t>
            </w:r>
          </w:p>
        </w:tc>
      </w:tr>
    </w:tbl>
    <w:p>
      <w:pPr>
        <w:widowControl/>
        <w:spacing w:line="360" w:lineRule="exact"/>
        <w:ind w:firstLine="480" w:firstLineChars="200"/>
        <w:textAlignment w:val="center"/>
        <w:rPr>
          <w:rStyle w:val="213"/>
          <w:rFonts w:hint="default"/>
          <w:color w:val="auto"/>
          <w:sz w:val="24"/>
          <w:szCs w:val="24"/>
          <w:lang w:bidi="ar"/>
        </w:rPr>
      </w:pPr>
    </w:p>
    <w:p>
      <w:pPr>
        <w:widowControl/>
        <w:spacing w:line="360" w:lineRule="exact"/>
        <w:ind w:firstLine="440" w:firstLineChars="200"/>
        <w:textAlignment w:val="center"/>
        <w:rPr>
          <w:rStyle w:val="213"/>
          <w:rFonts w:hint="default"/>
          <w:color w:val="auto"/>
          <w:lang w:bidi="ar"/>
        </w:rPr>
      </w:pPr>
      <w:r>
        <w:rPr>
          <w:rStyle w:val="213"/>
          <w:rFonts w:hint="default"/>
          <w:color w:val="auto"/>
          <w:lang w:bidi="ar"/>
        </w:rPr>
        <w:t>注：投标供应商提供的证明材料必须真实有效。中标人确定后，采购人可会同招标代理向第三方检测机构及相关部门核实投标文件内容真实性。如证实投标人提供虚假材料，将被取消资格且没收投标保证金，采购人将相关材料上报至同级财政监管部门，追究其以虚假材料谋取中标的法律责任。根据《政府采购法》第七十七条的规定：投标人提供虚假材料谋取中标、成交的，处以采购金额千分之五以上千分之十以下的罚款，列入不良行为记录名单，在一至三年内禁止参加政府采购活动，有违法所得的，并处没收违法所得，情节严重的，由相关部门吊销营业执照；构成犯罪的，依法追究刑事责任；其中标、成交无效。</w:t>
      </w:r>
    </w:p>
    <w:p>
      <w:pPr>
        <w:spacing w:before="240" w:line="360" w:lineRule="auto"/>
        <w:ind w:left="-142" w:firstLine="480" w:firstLineChars="200"/>
        <w:rPr>
          <w:rFonts w:ascii="宋体" w:hAnsi="宋体" w:cs="宋体"/>
          <w:sz w:val="24"/>
          <w:szCs w:val="24"/>
        </w:rPr>
      </w:pPr>
    </w:p>
    <w:sectPr>
      <w:headerReference r:id="rId18" w:type="first"/>
      <w:footerReference r:id="rId21" w:type="first"/>
      <w:headerReference r:id="rId17" w:type="default"/>
      <w:footerReference r:id="rId19" w:type="default"/>
      <w:footerReference r:id="rId20" w:type="even"/>
      <w:pgSz w:w="11906" w:h="16838"/>
      <w:pgMar w:top="1247" w:right="1029" w:bottom="1702" w:left="141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DotumChe">
    <w:altName w:val="Malgun Gothic"/>
    <w:panose1 w:val="00000000000000000000"/>
    <w:charset w:val="81"/>
    <w:family w:val="modern"/>
    <w:pitch w:val="default"/>
    <w:sig w:usb0="B00002AF" w:usb1="69D77CFB" w:usb2="00000030" w:usb3="00000000" w:csb0="0008009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Segoe UI Emoji">
    <w:panose1 w:val="020B0502040204020203"/>
    <w:charset w:val="00"/>
    <w:family w:val="swiss"/>
    <w:pitch w:val="default"/>
    <w:sig w:usb0="00000001" w:usb1="02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separate"/>
    </w:r>
    <w:r>
      <w:rPr>
        <w:rStyle w:val="55"/>
        <w:lang/>
      </w:rPr>
      <w:t>21</w:t>
    </w:r>
    <w:r>
      <w:fldChar w:fldCharType="end"/>
    </w:r>
  </w:p>
  <w:p>
    <w:pPr>
      <w:pStyle w:val="31"/>
      <w:ind w:right="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fldChar w:fldCharType="begin"/>
    </w:r>
    <w:r>
      <w:instrText xml:space="preserve"> PAGE   \* MERGEFORMAT </w:instrText>
    </w:r>
    <w:r>
      <w:fldChar w:fldCharType="separate"/>
    </w:r>
    <w:r>
      <w:rPr>
        <w:lang w:val="zh-CN"/>
      </w:rPr>
      <w:t>26</w:t>
    </w:r>
    <w:r>
      <w:fldChar w:fldCharType="end"/>
    </w:r>
  </w:p>
  <w:p>
    <w:pPr>
      <w:pStyle w:val="3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separate"/>
    </w:r>
    <w:r>
      <w:fldChar w:fldCharType="end"/>
    </w:r>
  </w:p>
  <w:p>
    <w:pPr>
      <w:pStyle w:val="3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separate"/>
    </w:r>
    <w:r>
      <w:rPr>
        <w:rStyle w:val="55"/>
        <w:lang/>
      </w:rPr>
      <w:t>29</w:t>
    </w:r>
    <w:r>
      <w:fldChar w:fldCharType="end"/>
    </w:r>
  </w:p>
  <w:p>
    <w:pPr>
      <w:pStyle w:val="31"/>
      <w:ind w:right="360"/>
      <w:jc w:val="center"/>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end"/>
    </w:r>
  </w:p>
  <w:p>
    <w:pPr>
      <w:pStyle w:val="3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rPr>
        <w:rFonts w:hint="eastAsia"/>
      </w:rPr>
    </w:pPr>
    <w:r>
      <w:rPr>
        <w:szCs w:val="21"/>
      </w:rPr>
      <w:t xml:space="preserve">- </w:t>
    </w:r>
    <w:r>
      <w:rPr>
        <w:szCs w:val="21"/>
      </w:rPr>
      <w:fldChar w:fldCharType="begin"/>
    </w:r>
    <w:r>
      <w:rPr>
        <w:szCs w:val="21"/>
      </w:rPr>
      <w:instrText xml:space="preserve"> PAGE </w:instrText>
    </w:r>
    <w:r>
      <w:rPr>
        <w:szCs w:val="21"/>
      </w:rPr>
      <w:fldChar w:fldCharType="separate"/>
    </w:r>
    <w:r>
      <w:rPr>
        <w:szCs w:val="21"/>
        <w:lang/>
      </w:rPr>
      <w:t>63</w:t>
    </w:r>
    <w:r>
      <w:rPr>
        <w:szCs w:val="21"/>
      </w:rPr>
      <w:fldChar w:fldCharType="end"/>
    </w:r>
    <w:r>
      <w:rPr>
        <w:szCs w:val="21"/>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5"/>
      </w:rPr>
    </w:pPr>
    <w:r>
      <w:fldChar w:fldCharType="begin"/>
    </w:r>
    <w:r>
      <w:rPr>
        <w:rStyle w:val="55"/>
      </w:rPr>
      <w:instrText xml:space="preserve">PAGE  </w:instrText>
    </w:r>
    <w:r>
      <w:fldChar w:fldCharType="separate"/>
    </w:r>
    <w:r>
      <w:rPr>
        <w:rStyle w:val="55"/>
      </w:rPr>
      <w:t>3</w:t>
    </w:r>
    <w:r>
      <w:fldChar w:fldCharType="end"/>
    </w:r>
  </w:p>
  <w:p>
    <w:pPr>
      <w:pStyle w:val="31"/>
      <w:ind w:right="360"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jc w:val="center"/>
    </w:pPr>
    <w:r>
      <w:rPr>
        <w:szCs w:val="21"/>
      </w:rPr>
      <w:t xml:space="preserve">- </w:t>
    </w:r>
    <w:r>
      <w:rPr>
        <w:szCs w:val="21"/>
      </w:rPr>
      <w:fldChar w:fldCharType="begin"/>
    </w:r>
    <w:r>
      <w:rPr>
        <w:szCs w:val="21"/>
      </w:rPr>
      <w:instrText xml:space="preserve"> PAGE </w:instrText>
    </w:r>
    <w:r>
      <w:rPr>
        <w:szCs w:val="21"/>
      </w:rPr>
      <w:fldChar w:fldCharType="separate"/>
    </w:r>
    <w:r>
      <w:rPr>
        <w:szCs w:val="21"/>
        <w:lang/>
      </w:rPr>
      <w:t>1</w:t>
    </w:r>
    <w:r>
      <w:rPr>
        <w:szCs w:val="21"/>
      </w:rPr>
      <w:fldChar w:fldCharType="end"/>
    </w:r>
    <w:r>
      <w:rPr>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left"/>
    </w:pPr>
    <w:r>
      <w:rPr>
        <w:rFonts w:hint="eastAsia"/>
      </w:rPr>
      <w:t>江西众恒工程咨询有限公司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A76067"/>
    <w:multiLevelType w:val="singleLevel"/>
    <w:tmpl w:val="D6A76067"/>
    <w:lvl w:ilvl="0" w:tentative="0">
      <w:start w:val="15"/>
      <w:numFmt w:val="decimal"/>
      <w:pStyle w:val="26"/>
      <w:suff w:val="space"/>
      <w:lvlText w:val="%1、"/>
      <w:lvlJc w:val="left"/>
    </w:lvl>
  </w:abstractNum>
  <w:abstractNum w:abstractNumId="1">
    <w:nsid w:val="45260BA2"/>
    <w:multiLevelType w:val="multilevel"/>
    <w:tmpl w:val="45260BA2"/>
    <w:lvl w:ilvl="0" w:tentative="0">
      <w:start w:val="1"/>
      <w:numFmt w:val="chineseCountingThousand"/>
      <w:pStyle w:val="42"/>
      <w:suff w:val="space"/>
      <w:lvlText w:val="第%1章"/>
      <w:lvlJc w:val="left"/>
      <w:pPr>
        <w:ind w:left="0" w:firstLine="0"/>
      </w:pPr>
      <w:rPr>
        <w:rFonts w:hint="eastAsia" w:ascii="宋体" w:eastAsia="宋体"/>
      </w:rPr>
    </w:lvl>
    <w:lvl w:ilvl="1" w:tentative="0">
      <w:start w:val="1"/>
      <w:numFmt w:val="decimal"/>
      <w:isLgl/>
      <w:suff w:val="space"/>
      <w:lvlText w:val="%1.%2"/>
      <w:lvlJc w:val="left"/>
      <w:pPr>
        <w:ind w:left="0" w:firstLine="0"/>
      </w:pPr>
      <w:rPr>
        <w:rFonts w:hint="eastAsia" w:ascii="宋体" w:eastAsia="宋体"/>
      </w:rPr>
    </w:lvl>
    <w:lvl w:ilvl="2" w:tentative="0">
      <w:start w:val="1"/>
      <w:numFmt w:val="decimal"/>
      <w:isLgl/>
      <w:suff w:val="space"/>
      <w:lvlText w:val="%1.%2.%3"/>
      <w:lvlJc w:val="left"/>
      <w:pPr>
        <w:ind w:left="0" w:firstLine="0"/>
      </w:pPr>
      <w:rPr>
        <w:rFonts w:hint="eastAsia" w:ascii="宋体" w:eastAsia="宋体"/>
      </w:rPr>
    </w:lvl>
    <w:lvl w:ilvl="3" w:tentative="0">
      <w:start w:val="1"/>
      <w:numFmt w:val="decimal"/>
      <w:pStyle w:val="5"/>
      <w:isLgl/>
      <w:suff w:val="space"/>
      <w:lvlText w:val="%1.%2.%3.%4"/>
      <w:lvlJc w:val="left"/>
      <w:pPr>
        <w:ind w:left="0" w:firstLine="0"/>
      </w:pPr>
      <w:rPr>
        <w:rFonts w:hint="eastAsia" w:ascii="宋体" w:eastAsia="宋体"/>
      </w:rPr>
    </w:lvl>
    <w:lvl w:ilvl="4" w:tentative="0">
      <w:start w:val="1"/>
      <w:numFmt w:val="decimal"/>
      <w:isLgl/>
      <w:suff w:val="space"/>
      <w:lvlText w:val="%1.%2.%3.%4.%5"/>
      <w:lvlJc w:val="left"/>
      <w:pPr>
        <w:ind w:left="0" w:firstLine="0"/>
      </w:pPr>
      <w:rPr>
        <w:rFonts w:hint="eastAsia" w:ascii="宋体" w:eastAsia="宋体"/>
      </w:rPr>
    </w:lvl>
    <w:lvl w:ilvl="5" w:tentative="0">
      <w:start w:val="1"/>
      <w:numFmt w:val="decimal"/>
      <w:isLgl/>
      <w:suff w:val="space"/>
      <w:lvlText w:val="%1.%2.%3.%4.%5.%6"/>
      <w:lvlJc w:val="left"/>
      <w:pPr>
        <w:ind w:left="0" w:firstLine="0"/>
      </w:pPr>
      <w:rPr>
        <w:rFonts w:hint="eastAsia" w:ascii="宋体" w:eastAsia="宋体"/>
      </w:rPr>
    </w:lvl>
    <w:lvl w:ilvl="6" w:tentative="0">
      <w:start w:val="1"/>
      <w:numFmt w:val="decimal"/>
      <w:isLgl/>
      <w:suff w:val="space"/>
      <w:lvlText w:val="%1.%2.%3.%4.%5.%6.%7"/>
      <w:lvlJc w:val="left"/>
      <w:pPr>
        <w:ind w:left="0" w:firstLine="0"/>
      </w:pPr>
      <w:rPr>
        <w:rFonts w:hint="eastAsia" w:ascii="宋体" w:eastAsia="宋体"/>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
    <w:nsid w:val="6E311AD4"/>
    <w:multiLevelType w:val="multilevel"/>
    <w:tmpl w:val="6E311AD4"/>
    <w:lvl w:ilvl="0" w:tentative="0">
      <w:start w:val="6"/>
      <w:numFmt w:val="japaneseCounting"/>
      <w:lvlText w:val="第%1章"/>
      <w:lvlJc w:val="left"/>
      <w:pPr>
        <w:tabs>
          <w:tab w:val="left" w:pos="1290"/>
        </w:tabs>
        <w:ind w:left="1290" w:hanging="129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000569"/>
    <w:rsid w:val="00000BAA"/>
    <w:rsid w:val="00000C4F"/>
    <w:rsid w:val="00001317"/>
    <w:rsid w:val="00001AF1"/>
    <w:rsid w:val="00001CA2"/>
    <w:rsid w:val="0000286D"/>
    <w:rsid w:val="000030BF"/>
    <w:rsid w:val="0000355C"/>
    <w:rsid w:val="00003F35"/>
    <w:rsid w:val="00004266"/>
    <w:rsid w:val="000042DA"/>
    <w:rsid w:val="00004C02"/>
    <w:rsid w:val="00004CF8"/>
    <w:rsid w:val="00004F43"/>
    <w:rsid w:val="00005D32"/>
    <w:rsid w:val="00006385"/>
    <w:rsid w:val="00006BAC"/>
    <w:rsid w:val="00007B8C"/>
    <w:rsid w:val="00010DE6"/>
    <w:rsid w:val="00011DA0"/>
    <w:rsid w:val="00011F4D"/>
    <w:rsid w:val="000126C4"/>
    <w:rsid w:val="00012735"/>
    <w:rsid w:val="00013022"/>
    <w:rsid w:val="000133D3"/>
    <w:rsid w:val="0001341C"/>
    <w:rsid w:val="00013955"/>
    <w:rsid w:val="000144A5"/>
    <w:rsid w:val="00015D57"/>
    <w:rsid w:val="00016E3C"/>
    <w:rsid w:val="00021193"/>
    <w:rsid w:val="000226BA"/>
    <w:rsid w:val="00022C89"/>
    <w:rsid w:val="00023402"/>
    <w:rsid w:val="000236CF"/>
    <w:rsid w:val="00023F1D"/>
    <w:rsid w:val="00023F99"/>
    <w:rsid w:val="000248EC"/>
    <w:rsid w:val="00024B3B"/>
    <w:rsid w:val="00024F42"/>
    <w:rsid w:val="000250E0"/>
    <w:rsid w:val="000259FE"/>
    <w:rsid w:val="000272CF"/>
    <w:rsid w:val="00030396"/>
    <w:rsid w:val="00031917"/>
    <w:rsid w:val="00032AD0"/>
    <w:rsid w:val="0003418C"/>
    <w:rsid w:val="000346F1"/>
    <w:rsid w:val="00034C17"/>
    <w:rsid w:val="00034D51"/>
    <w:rsid w:val="000354BB"/>
    <w:rsid w:val="00036427"/>
    <w:rsid w:val="00036E25"/>
    <w:rsid w:val="00036E51"/>
    <w:rsid w:val="00036F2E"/>
    <w:rsid w:val="00036FD1"/>
    <w:rsid w:val="0003712C"/>
    <w:rsid w:val="00040BDD"/>
    <w:rsid w:val="00040E5C"/>
    <w:rsid w:val="000410AC"/>
    <w:rsid w:val="0004139A"/>
    <w:rsid w:val="000422C2"/>
    <w:rsid w:val="000427C0"/>
    <w:rsid w:val="00042DAF"/>
    <w:rsid w:val="00043B3B"/>
    <w:rsid w:val="00044113"/>
    <w:rsid w:val="000448B3"/>
    <w:rsid w:val="00046963"/>
    <w:rsid w:val="00050DB8"/>
    <w:rsid w:val="00050DF2"/>
    <w:rsid w:val="00051F71"/>
    <w:rsid w:val="000520FB"/>
    <w:rsid w:val="000532CD"/>
    <w:rsid w:val="000536D2"/>
    <w:rsid w:val="0005372A"/>
    <w:rsid w:val="00054079"/>
    <w:rsid w:val="0005410D"/>
    <w:rsid w:val="00054B4B"/>
    <w:rsid w:val="00057086"/>
    <w:rsid w:val="000576CD"/>
    <w:rsid w:val="00057F41"/>
    <w:rsid w:val="00057F56"/>
    <w:rsid w:val="00060184"/>
    <w:rsid w:val="0006129A"/>
    <w:rsid w:val="00061311"/>
    <w:rsid w:val="0006146A"/>
    <w:rsid w:val="0006149A"/>
    <w:rsid w:val="00061F80"/>
    <w:rsid w:val="00062279"/>
    <w:rsid w:val="000625E7"/>
    <w:rsid w:val="000627CB"/>
    <w:rsid w:val="00063414"/>
    <w:rsid w:val="00063A90"/>
    <w:rsid w:val="0006491A"/>
    <w:rsid w:val="0006512D"/>
    <w:rsid w:val="000652C7"/>
    <w:rsid w:val="00065386"/>
    <w:rsid w:val="00065665"/>
    <w:rsid w:val="00065E32"/>
    <w:rsid w:val="00065F84"/>
    <w:rsid w:val="000663D0"/>
    <w:rsid w:val="000664E8"/>
    <w:rsid w:val="00066EC5"/>
    <w:rsid w:val="000670D2"/>
    <w:rsid w:val="000673D6"/>
    <w:rsid w:val="000676F1"/>
    <w:rsid w:val="00067BD2"/>
    <w:rsid w:val="00067C22"/>
    <w:rsid w:val="000708DB"/>
    <w:rsid w:val="0007092F"/>
    <w:rsid w:val="00071541"/>
    <w:rsid w:val="00071DCC"/>
    <w:rsid w:val="00073C10"/>
    <w:rsid w:val="00073D25"/>
    <w:rsid w:val="00074853"/>
    <w:rsid w:val="0007511D"/>
    <w:rsid w:val="000751AD"/>
    <w:rsid w:val="0007641A"/>
    <w:rsid w:val="000770A2"/>
    <w:rsid w:val="000774ED"/>
    <w:rsid w:val="000776E8"/>
    <w:rsid w:val="00077716"/>
    <w:rsid w:val="00077DA2"/>
    <w:rsid w:val="00077EA5"/>
    <w:rsid w:val="000803C5"/>
    <w:rsid w:val="00081071"/>
    <w:rsid w:val="000815E3"/>
    <w:rsid w:val="000844F1"/>
    <w:rsid w:val="00084903"/>
    <w:rsid w:val="00084BD4"/>
    <w:rsid w:val="00084C64"/>
    <w:rsid w:val="00084D2D"/>
    <w:rsid w:val="00085295"/>
    <w:rsid w:val="00085784"/>
    <w:rsid w:val="00085C01"/>
    <w:rsid w:val="000878D0"/>
    <w:rsid w:val="00087AA0"/>
    <w:rsid w:val="00087B64"/>
    <w:rsid w:val="000906F9"/>
    <w:rsid w:val="000908B2"/>
    <w:rsid w:val="000908C7"/>
    <w:rsid w:val="000910D9"/>
    <w:rsid w:val="00091953"/>
    <w:rsid w:val="00094055"/>
    <w:rsid w:val="0009473C"/>
    <w:rsid w:val="00094EF8"/>
    <w:rsid w:val="00095423"/>
    <w:rsid w:val="000A155B"/>
    <w:rsid w:val="000A1D91"/>
    <w:rsid w:val="000A2BB7"/>
    <w:rsid w:val="000A402A"/>
    <w:rsid w:val="000A4139"/>
    <w:rsid w:val="000A479C"/>
    <w:rsid w:val="000A53F7"/>
    <w:rsid w:val="000A543A"/>
    <w:rsid w:val="000A5537"/>
    <w:rsid w:val="000A55A8"/>
    <w:rsid w:val="000A5623"/>
    <w:rsid w:val="000A566C"/>
    <w:rsid w:val="000A58AC"/>
    <w:rsid w:val="000A6CE4"/>
    <w:rsid w:val="000A7B3B"/>
    <w:rsid w:val="000A7C53"/>
    <w:rsid w:val="000A7D19"/>
    <w:rsid w:val="000B154F"/>
    <w:rsid w:val="000B1B52"/>
    <w:rsid w:val="000B2BAA"/>
    <w:rsid w:val="000B31B9"/>
    <w:rsid w:val="000B3323"/>
    <w:rsid w:val="000B37E4"/>
    <w:rsid w:val="000B3F12"/>
    <w:rsid w:val="000B49D9"/>
    <w:rsid w:val="000B4B48"/>
    <w:rsid w:val="000B5863"/>
    <w:rsid w:val="000B6DA1"/>
    <w:rsid w:val="000C089E"/>
    <w:rsid w:val="000C0ADD"/>
    <w:rsid w:val="000C12E4"/>
    <w:rsid w:val="000C16B0"/>
    <w:rsid w:val="000C1D83"/>
    <w:rsid w:val="000C1F6D"/>
    <w:rsid w:val="000C269C"/>
    <w:rsid w:val="000C2743"/>
    <w:rsid w:val="000C29F1"/>
    <w:rsid w:val="000C2FD6"/>
    <w:rsid w:val="000C2FD9"/>
    <w:rsid w:val="000C490E"/>
    <w:rsid w:val="000C50B5"/>
    <w:rsid w:val="000C5176"/>
    <w:rsid w:val="000C669B"/>
    <w:rsid w:val="000C72E5"/>
    <w:rsid w:val="000C73F3"/>
    <w:rsid w:val="000C747B"/>
    <w:rsid w:val="000C7BF8"/>
    <w:rsid w:val="000D03E3"/>
    <w:rsid w:val="000D1367"/>
    <w:rsid w:val="000D1CAA"/>
    <w:rsid w:val="000D1EB1"/>
    <w:rsid w:val="000D293F"/>
    <w:rsid w:val="000D3D6D"/>
    <w:rsid w:val="000D3FDF"/>
    <w:rsid w:val="000D4655"/>
    <w:rsid w:val="000D46FA"/>
    <w:rsid w:val="000D4AAF"/>
    <w:rsid w:val="000D4CE3"/>
    <w:rsid w:val="000D56A8"/>
    <w:rsid w:val="000D6927"/>
    <w:rsid w:val="000D6CA6"/>
    <w:rsid w:val="000D6F78"/>
    <w:rsid w:val="000D6F9F"/>
    <w:rsid w:val="000D70CE"/>
    <w:rsid w:val="000D7571"/>
    <w:rsid w:val="000E06E5"/>
    <w:rsid w:val="000E10F9"/>
    <w:rsid w:val="000E25F1"/>
    <w:rsid w:val="000E2612"/>
    <w:rsid w:val="000E29F0"/>
    <w:rsid w:val="000E2F76"/>
    <w:rsid w:val="000E3359"/>
    <w:rsid w:val="000E39C2"/>
    <w:rsid w:val="000E40D2"/>
    <w:rsid w:val="000E4579"/>
    <w:rsid w:val="000E5124"/>
    <w:rsid w:val="000E62B1"/>
    <w:rsid w:val="000E66C4"/>
    <w:rsid w:val="000E678A"/>
    <w:rsid w:val="000E745D"/>
    <w:rsid w:val="000E74A2"/>
    <w:rsid w:val="000F03DF"/>
    <w:rsid w:val="000F0B53"/>
    <w:rsid w:val="000F0F9E"/>
    <w:rsid w:val="000F1707"/>
    <w:rsid w:val="000F233E"/>
    <w:rsid w:val="000F2F84"/>
    <w:rsid w:val="000F353D"/>
    <w:rsid w:val="000F4786"/>
    <w:rsid w:val="000F529D"/>
    <w:rsid w:val="000F5ECC"/>
    <w:rsid w:val="000F6000"/>
    <w:rsid w:val="000F6394"/>
    <w:rsid w:val="000F6DF4"/>
    <w:rsid w:val="000F7D84"/>
    <w:rsid w:val="00100084"/>
    <w:rsid w:val="0010022E"/>
    <w:rsid w:val="001002AF"/>
    <w:rsid w:val="00101545"/>
    <w:rsid w:val="001015DF"/>
    <w:rsid w:val="00101B63"/>
    <w:rsid w:val="00102471"/>
    <w:rsid w:val="001028F3"/>
    <w:rsid w:val="0010328D"/>
    <w:rsid w:val="00103777"/>
    <w:rsid w:val="00104098"/>
    <w:rsid w:val="001049AF"/>
    <w:rsid w:val="00104CED"/>
    <w:rsid w:val="00104D12"/>
    <w:rsid w:val="00105372"/>
    <w:rsid w:val="00105E33"/>
    <w:rsid w:val="00105F6A"/>
    <w:rsid w:val="001065DA"/>
    <w:rsid w:val="0010661B"/>
    <w:rsid w:val="00107839"/>
    <w:rsid w:val="001079F2"/>
    <w:rsid w:val="00107A24"/>
    <w:rsid w:val="001101FC"/>
    <w:rsid w:val="00111343"/>
    <w:rsid w:val="0011147D"/>
    <w:rsid w:val="0011182D"/>
    <w:rsid w:val="00111909"/>
    <w:rsid w:val="00111E37"/>
    <w:rsid w:val="00112576"/>
    <w:rsid w:val="0011295A"/>
    <w:rsid w:val="00114625"/>
    <w:rsid w:val="001146EE"/>
    <w:rsid w:val="00114858"/>
    <w:rsid w:val="00115EFC"/>
    <w:rsid w:val="00115F7B"/>
    <w:rsid w:val="0011776A"/>
    <w:rsid w:val="00117C38"/>
    <w:rsid w:val="00117CF5"/>
    <w:rsid w:val="0012028B"/>
    <w:rsid w:val="001212D8"/>
    <w:rsid w:val="00121444"/>
    <w:rsid w:val="00121C4A"/>
    <w:rsid w:val="00121F3F"/>
    <w:rsid w:val="00122F3C"/>
    <w:rsid w:val="001246E8"/>
    <w:rsid w:val="0012549A"/>
    <w:rsid w:val="00125D06"/>
    <w:rsid w:val="00125E4A"/>
    <w:rsid w:val="001263A4"/>
    <w:rsid w:val="00126BC5"/>
    <w:rsid w:val="001272A8"/>
    <w:rsid w:val="001275C1"/>
    <w:rsid w:val="001277C4"/>
    <w:rsid w:val="001310C8"/>
    <w:rsid w:val="0013121E"/>
    <w:rsid w:val="00131338"/>
    <w:rsid w:val="00131361"/>
    <w:rsid w:val="00131AEA"/>
    <w:rsid w:val="0013245C"/>
    <w:rsid w:val="001324B0"/>
    <w:rsid w:val="00133621"/>
    <w:rsid w:val="0013363E"/>
    <w:rsid w:val="00133E5B"/>
    <w:rsid w:val="00133EA5"/>
    <w:rsid w:val="00134353"/>
    <w:rsid w:val="00135A0C"/>
    <w:rsid w:val="00135B2D"/>
    <w:rsid w:val="00135F50"/>
    <w:rsid w:val="00136422"/>
    <w:rsid w:val="00136A4A"/>
    <w:rsid w:val="00136EA8"/>
    <w:rsid w:val="00136FB0"/>
    <w:rsid w:val="00140873"/>
    <w:rsid w:val="00141380"/>
    <w:rsid w:val="00141CAC"/>
    <w:rsid w:val="00141DEF"/>
    <w:rsid w:val="00142C92"/>
    <w:rsid w:val="001439D7"/>
    <w:rsid w:val="00143B10"/>
    <w:rsid w:val="00144817"/>
    <w:rsid w:val="001449BD"/>
    <w:rsid w:val="00145040"/>
    <w:rsid w:val="00145411"/>
    <w:rsid w:val="00145CDF"/>
    <w:rsid w:val="001464B5"/>
    <w:rsid w:val="00146E22"/>
    <w:rsid w:val="0014743D"/>
    <w:rsid w:val="001475A5"/>
    <w:rsid w:val="001475E1"/>
    <w:rsid w:val="001508E9"/>
    <w:rsid w:val="00151056"/>
    <w:rsid w:val="001510FF"/>
    <w:rsid w:val="0015121D"/>
    <w:rsid w:val="00151F4F"/>
    <w:rsid w:val="0015246B"/>
    <w:rsid w:val="00153001"/>
    <w:rsid w:val="0015329B"/>
    <w:rsid w:val="0015346E"/>
    <w:rsid w:val="001549F5"/>
    <w:rsid w:val="00154AD5"/>
    <w:rsid w:val="00155888"/>
    <w:rsid w:val="00155B36"/>
    <w:rsid w:val="00156035"/>
    <w:rsid w:val="00156592"/>
    <w:rsid w:val="00156CCE"/>
    <w:rsid w:val="001571DB"/>
    <w:rsid w:val="00157D10"/>
    <w:rsid w:val="00157E3A"/>
    <w:rsid w:val="001602D3"/>
    <w:rsid w:val="0016032C"/>
    <w:rsid w:val="00160965"/>
    <w:rsid w:val="00161BD1"/>
    <w:rsid w:val="00161F14"/>
    <w:rsid w:val="00162574"/>
    <w:rsid w:val="00162C86"/>
    <w:rsid w:val="00162F81"/>
    <w:rsid w:val="00163029"/>
    <w:rsid w:val="00163509"/>
    <w:rsid w:val="00163B5C"/>
    <w:rsid w:val="00164962"/>
    <w:rsid w:val="001653C3"/>
    <w:rsid w:val="001662DD"/>
    <w:rsid w:val="001666A5"/>
    <w:rsid w:val="00166F9D"/>
    <w:rsid w:val="00167B11"/>
    <w:rsid w:val="00167B8A"/>
    <w:rsid w:val="00167C78"/>
    <w:rsid w:val="00167FC0"/>
    <w:rsid w:val="0017030C"/>
    <w:rsid w:val="00170C2A"/>
    <w:rsid w:val="00170D59"/>
    <w:rsid w:val="00171119"/>
    <w:rsid w:val="00171200"/>
    <w:rsid w:val="001715CC"/>
    <w:rsid w:val="00171A49"/>
    <w:rsid w:val="0017206F"/>
    <w:rsid w:val="001720FE"/>
    <w:rsid w:val="00172213"/>
    <w:rsid w:val="00173BE8"/>
    <w:rsid w:val="001743C2"/>
    <w:rsid w:val="00175195"/>
    <w:rsid w:val="00175D7B"/>
    <w:rsid w:val="0017627A"/>
    <w:rsid w:val="00176A87"/>
    <w:rsid w:val="00176A91"/>
    <w:rsid w:val="001774C0"/>
    <w:rsid w:val="001803D7"/>
    <w:rsid w:val="0018123B"/>
    <w:rsid w:val="0018163F"/>
    <w:rsid w:val="001817E6"/>
    <w:rsid w:val="00182712"/>
    <w:rsid w:val="00182980"/>
    <w:rsid w:val="00183416"/>
    <w:rsid w:val="00183A5D"/>
    <w:rsid w:val="00183EE7"/>
    <w:rsid w:val="00184813"/>
    <w:rsid w:val="00186AF9"/>
    <w:rsid w:val="00186E9D"/>
    <w:rsid w:val="001870B4"/>
    <w:rsid w:val="00187836"/>
    <w:rsid w:val="0019019A"/>
    <w:rsid w:val="0019044E"/>
    <w:rsid w:val="00190827"/>
    <w:rsid w:val="00190AB8"/>
    <w:rsid w:val="00191374"/>
    <w:rsid w:val="00191F4B"/>
    <w:rsid w:val="00192042"/>
    <w:rsid w:val="001920BC"/>
    <w:rsid w:val="00192579"/>
    <w:rsid w:val="00192A23"/>
    <w:rsid w:val="00193623"/>
    <w:rsid w:val="00193687"/>
    <w:rsid w:val="00196560"/>
    <w:rsid w:val="0019705B"/>
    <w:rsid w:val="0019721E"/>
    <w:rsid w:val="00197BAD"/>
    <w:rsid w:val="001A0D97"/>
    <w:rsid w:val="001A0DD8"/>
    <w:rsid w:val="001A17F4"/>
    <w:rsid w:val="001A1982"/>
    <w:rsid w:val="001A3B2F"/>
    <w:rsid w:val="001A4336"/>
    <w:rsid w:val="001A4340"/>
    <w:rsid w:val="001A4593"/>
    <w:rsid w:val="001A4AC0"/>
    <w:rsid w:val="001A521E"/>
    <w:rsid w:val="001A5421"/>
    <w:rsid w:val="001A551D"/>
    <w:rsid w:val="001A5707"/>
    <w:rsid w:val="001A6009"/>
    <w:rsid w:val="001A62EB"/>
    <w:rsid w:val="001A6387"/>
    <w:rsid w:val="001A67C6"/>
    <w:rsid w:val="001A6C4F"/>
    <w:rsid w:val="001A6E11"/>
    <w:rsid w:val="001A7BE5"/>
    <w:rsid w:val="001A7FD8"/>
    <w:rsid w:val="001B00F2"/>
    <w:rsid w:val="001B0115"/>
    <w:rsid w:val="001B1170"/>
    <w:rsid w:val="001B1333"/>
    <w:rsid w:val="001B134C"/>
    <w:rsid w:val="001B13C3"/>
    <w:rsid w:val="001B1AC1"/>
    <w:rsid w:val="001B1B3D"/>
    <w:rsid w:val="001B2370"/>
    <w:rsid w:val="001B36B5"/>
    <w:rsid w:val="001B3979"/>
    <w:rsid w:val="001B3C82"/>
    <w:rsid w:val="001B3FCA"/>
    <w:rsid w:val="001B4516"/>
    <w:rsid w:val="001B4576"/>
    <w:rsid w:val="001B4AFA"/>
    <w:rsid w:val="001B5B52"/>
    <w:rsid w:val="001B6146"/>
    <w:rsid w:val="001B6AD2"/>
    <w:rsid w:val="001B71F2"/>
    <w:rsid w:val="001B7CC8"/>
    <w:rsid w:val="001C023E"/>
    <w:rsid w:val="001C0467"/>
    <w:rsid w:val="001C080E"/>
    <w:rsid w:val="001C16BA"/>
    <w:rsid w:val="001C1EEC"/>
    <w:rsid w:val="001C23DA"/>
    <w:rsid w:val="001C246D"/>
    <w:rsid w:val="001C247A"/>
    <w:rsid w:val="001C3708"/>
    <w:rsid w:val="001C4CD0"/>
    <w:rsid w:val="001C50DF"/>
    <w:rsid w:val="001C5724"/>
    <w:rsid w:val="001C5A0F"/>
    <w:rsid w:val="001C60A3"/>
    <w:rsid w:val="001C657B"/>
    <w:rsid w:val="001C69A3"/>
    <w:rsid w:val="001C6D74"/>
    <w:rsid w:val="001C6EBA"/>
    <w:rsid w:val="001C7F7E"/>
    <w:rsid w:val="001D0A6D"/>
    <w:rsid w:val="001D1555"/>
    <w:rsid w:val="001D16AE"/>
    <w:rsid w:val="001D362F"/>
    <w:rsid w:val="001D3F8D"/>
    <w:rsid w:val="001D41BD"/>
    <w:rsid w:val="001D483D"/>
    <w:rsid w:val="001D65B5"/>
    <w:rsid w:val="001D6643"/>
    <w:rsid w:val="001D799C"/>
    <w:rsid w:val="001E01E4"/>
    <w:rsid w:val="001E0BDF"/>
    <w:rsid w:val="001E0C9E"/>
    <w:rsid w:val="001E1813"/>
    <w:rsid w:val="001E1D9C"/>
    <w:rsid w:val="001E2185"/>
    <w:rsid w:val="001E2D55"/>
    <w:rsid w:val="001E2F19"/>
    <w:rsid w:val="001E3BDB"/>
    <w:rsid w:val="001E4165"/>
    <w:rsid w:val="001E4616"/>
    <w:rsid w:val="001E47E1"/>
    <w:rsid w:val="001E5426"/>
    <w:rsid w:val="001E5451"/>
    <w:rsid w:val="001E58E2"/>
    <w:rsid w:val="001E5ABF"/>
    <w:rsid w:val="001E6BF0"/>
    <w:rsid w:val="001E6EF0"/>
    <w:rsid w:val="001E6FF3"/>
    <w:rsid w:val="001E7B92"/>
    <w:rsid w:val="001F0763"/>
    <w:rsid w:val="001F1164"/>
    <w:rsid w:val="001F11D0"/>
    <w:rsid w:val="001F2673"/>
    <w:rsid w:val="001F2D97"/>
    <w:rsid w:val="001F575B"/>
    <w:rsid w:val="001F5EE2"/>
    <w:rsid w:val="001F60D6"/>
    <w:rsid w:val="001F65A3"/>
    <w:rsid w:val="001F682D"/>
    <w:rsid w:val="001F6B63"/>
    <w:rsid w:val="001F6CA5"/>
    <w:rsid w:val="00200601"/>
    <w:rsid w:val="00200C18"/>
    <w:rsid w:val="00201BC1"/>
    <w:rsid w:val="00201C71"/>
    <w:rsid w:val="00201D2A"/>
    <w:rsid w:val="00201FE4"/>
    <w:rsid w:val="002029C3"/>
    <w:rsid w:val="00202A91"/>
    <w:rsid w:val="00202B3E"/>
    <w:rsid w:val="0020323F"/>
    <w:rsid w:val="00203D8C"/>
    <w:rsid w:val="00203ECF"/>
    <w:rsid w:val="00206C17"/>
    <w:rsid w:val="00207505"/>
    <w:rsid w:val="002077DE"/>
    <w:rsid w:val="00210F52"/>
    <w:rsid w:val="00210FEC"/>
    <w:rsid w:val="00211992"/>
    <w:rsid w:val="002122AD"/>
    <w:rsid w:val="00213380"/>
    <w:rsid w:val="002139B8"/>
    <w:rsid w:val="00215122"/>
    <w:rsid w:val="00215330"/>
    <w:rsid w:val="002158EE"/>
    <w:rsid w:val="00215AA7"/>
    <w:rsid w:val="00215BDD"/>
    <w:rsid w:val="00216A95"/>
    <w:rsid w:val="00216F3E"/>
    <w:rsid w:val="0021746B"/>
    <w:rsid w:val="0021758A"/>
    <w:rsid w:val="00217FA6"/>
    <w:rsid w:val="0022030A"/>
    <w:rsid w:val="00220527"/>
    <w:rsid w:val="00220802"/>
    <w:rsid w:val="00220AF8"/>
    <w:rsid w:val="00221CEF"/>
    <w:rsid w:val="0022221F"/>
    <w:rsid w:val="0022295C"/>
    <w:rsid w:val="00222CC0"/>
    <w:rsid w:val="00223606"/>
    <w:rsid w:val="0022378B"/>
    <w:rsid w:val="00225251"/>
    <w:rsid w:val="002258BB"/>
    <w:rsid w:val="0022660B"/>
    <w:rsid w:val="00227137"/>
    <w:rsid w:val="002271A1"/>
    <w:rsid w:val="0023029C"/>
    <w:rsid w:val="00230764"/>
    <w:rsid w:val="0023192B"/>
    <w:rsid w:val="00231C4C"/>
    <w:rsid w:val="00232ADB"/>
    <w:rsid w:val="00232E73"/>
    <w:rsid w:val="00233A33"/>
    <w:rsid w:val="00234F77"/>
    <w:rsid w:val="002353DC"/>
    <w:rsid w:val="0023613F"/>
    <w:rsid w:val="00236317"/>
    <w:rsid w:val="00236CEB"/>
    <w:rsid w:val="00237244"/>
    <w:rsid w:val="0023759B"/>
    <w:rsid w:val="00237C1C"/>
    <w:rsid w:val="00241027"/>
    <w:rsid w:val="0024109E"/>
    <w:rsid w:val="0024131E"/>
    <w:rsid w:val="0024188E"/>
    <w:rsid w:val="00242287"/>
    <w:rsid w:val="002428F2"/>
    <w:rsid w:val="00242C71"/>
    <w:rsid w:val="00242D6E"/>
    <w:rsid w:val="0024334E"/>
    <w:rsid w:val="00243901"/>
    <w:rsid w:val="00243DEA"/>
    <w:rsid w:val="0024442E"/>
    <w:rsid w:val="0024516B"/>
    <w:rsid w:val="00245503"/>
    <w:rsid w:val="0024551F"/>
    <w:rsid w:val="002461E9"/>
    <w:rsid w:val="0024659D"/>
    <w:rsid w:val="00246880"/>
    <w:rsid w:val="00246D6E"/>
    <w:rsid w:val="00246F49"/>
    <w:rsid w:val="00247530"/>
    <w:rsid w:val="002478F7"/>
    <w:rsid w:val="0025001F"/>
    <w:rsid w:val="002506D9"/>
    <w:rsid w:val="002508D1"/>
    <w:rsid w:val="002513E5"/>
    <w:rsid w:val="00252EBE"/>
    <w:rsid w:val="00253D15"/>
    <w:rsid w:val="00253FB1"/>
    <w:rsid w:val="00255E9F"/>
    <w:rsid w:val="002575D3"/>
    <w:rsid w:val="002576CB"/>
    <w:rsid w:val="002577AF"/>
    <w:rsid w:val="00257F1A"/>
    <w:rsid w:val="002605B4"/>
    <w:rsid w:val="002607C9"/>
    <w:rsid w:val="00261132"/>
    <w:rsid w:val="00261416"/>
    <w:rsid w:val="00262C91"/>
    <w:rsid w:val="00263C1C"/>
    <w:rsid w:val="00263C2D"/>
    <w:rsid w:val="00263FB8"/>
    <w:rsid w:val="00264BEE"/>
    <w:rsid w:val="00264ED1"/>
    <w:rsid w:val="0026591A"/>
    <w:rsid w:val="00265A4C"/>
    <w:rsid w:val="00266348"/>
    <w:rsid w:val="0026658E"/>
    <w:rsid w:val="0026772B"/>
    <w:rsid w:val="0027022C"/>
    <w:rsid w:val="00270DC8"/>
    <w:rsid w:val="00270FA3"/>
    <w:rsid w:val="00271E86"/>
    <w:rsid w:val="00271F1E"/>
    <w:rsid w:val="00272529"/>
    <w:rsid w:val="00273E86"/>
    <w:rsid w:val="00275A68"/>
    <w:rsid w:val="002765BC"/>
    <w:rsid w:val="00277434"/>
    <w:rsid w:val="00277CA4"/>
    <w:rsid w:val="002813EC"/>
    <w:rsid w:val="0028156D"/>
    <w:rsid w:val="002823DA"/>
    <w:rsid w:val="00282FD5"/>
    <w:rsid w:val="00283381"/>
    <w:rsid w:val="00283D37"/>
    <w:rsid w:val="002844CE"/>
    <w:rsid w:val="00284781"/>
    <w:rsid w:val="00285A71"/>
    <w:rsid w:val="00285D94"/>
    <w:rsid w:val="00286417"/>
    <w:rsid w:val="00287E43"/>
    <w:rsid w:val="0029180D"/>
    <w:rsid w:val="00291D1F"/>
    <w:rsid w:val="00292C24"/>
    <w:rsid w:val="00293183"/>
    <w:rsid w:val="00293224"/>
    <w:rsid w:val="00293AED"/>
    <w:rsid w:val="00293F84"/>
    <w:rsid w:val="002953C5"/>
    <w:rsid w:val="00295C0F"/>
    <w:rsid w:val="00296CA7"/>
    <w:rsid w:val="00297468"/>
    <w:rsid w:val="002A096E"/>
    <w:rsid w:val="002A1C1A"/>
    <w:rsid w:val="002A205D"/>
    <w:rsid w:val="002A206A"/>
    <w:rsid w:val="002A27BC"/>
    <w:rsid w:val="002A3692"/>
    <w:rsid w:val="002A4333"/>
    <w:rsid w:val="002A47A3"/>
    <w:rsid w:val="002A480F"/>
    <w:rsid w:val="002A481F"/>
    <w:rsid w:val="002A4D3E"/>
    <w:rsid w:val="002A4F55"/>
    <w:rsid w:val="002A5023"/>
    <w:rsid w:val="002A5565"/>
    <w:rsid w:val="002A5B5B"/>
    <w:rsid w:val="002A5B9E"/>
    <w:rsid w:val="002A5E99"/>
    <w:rsid w:val="002A5F6A"/>
    <w:rsid w:val="002A67CE"/>
    <w:rsid w:val="002A7199"/>
    <w:rsid w:val="002B00FC"/>
    <w:rsid w:val="002B0587"/>
    <w:rsid w:val="002B15E3"/>
    <w:rsid w:val="002B19B4"/>
    <w:rsid w:val="002B19E5"/>
    <w:rsid w:val="002B1AE4"/>
    <w:rsid w:val="002B1C3E"/>
    <w:rsid w:val="002B1DBA"/>
    <w:rsid w:val="002B21D8"/>
    <w:rsid w:val="002B3503"/>
    <w:rsid w:val="002B35CD"/>
    <w:rsid w:val="002B4436"/>
    <w:rsid w:val="002B5469"/>
    <w:rsid w:val="002B5CD7"/>
    <w:rsid w:val="002B6997"/>
    <w:rsid w:val="002B6E81"/>
    <w:rsid w:val="002B7562"/>
    <w:rsid w:val="002B7C10"/>
    <w:rsid w:val="002C02C2"/>
    <w:rsid w:val="002C04C0"/>
    <w:rsid w:val="002C0896"/>
    <w:rsid w:val="002C14E7"/>
    <w:rsid w:val="002C159F"/>
    <w:rsid w:val="002C249F"/>
    <w:rsid w:val="002C2BE2"/>
    <w:rsid w:val="002C2C58"/>
    <w:rsid w:val="002C2ED4"/>
    <w:rsid w:val="002C33FB"/>
    <w:rsid w:val="002C357F"/>
    <w:rsid w:val="002C3875"/>
    <w:rsid w:val="002C397D"/>
    <w:rsid w:val="002C39BB"/>
    <w:rsid w:val="002C431D"/>
    <w:rsid w:val="002C50B2"/>
    <w:rsid w:val="002C5582"/>
    <w:rsid w:val="002C6EC1"/>
    <w:rsid w:val="002C6F98"/>
    <w:rsid w:val="002C70FC"/>
    <w:rsid w:val="002C73A1"/>
    <w:rsid w:val="002D05A8"/>
    <w:rsid w:val="002D1068"/>
    <w:rsid w:val="002D1630"/>
    <w:rsid w:val="002D178B"/>
    <w:rsid w:val="002D2448"/>
    <w:rsid w:val="002D3F73"/>
    <w:rsid w:val="002D4130"/>
    <w:rsid w:val="002D415A"/>
    <w:rsid w:val="002D41D0"/>
    <w:rsid w:val="002D4314"/>
    <w:rsid w:val="002D4E0D"/>
    <w:rsid w:val="002D50D6"/>
    <w:rsid w:val="002D5583"/>
    <w:rsid w:val="002D5E52"/>
    <w:rsid w:val="002D5EC5"/>
    <w:rsid w:val="002D64D4"/>
    <w:rsid w:val="002D676B"/>
    <w:rsid w:val="002D6F7D"/>
    <w:rsid w:val="002D6FB0"/>
    <w:rsid w:val="002E0D74"/>
    <w:rsid w:val="002E16F3"/>
    <w:rsid w:val="002E17D2"/>
    <w:rsid w:val="002E1CD9"/>
    <w:rsid w:val="002E20D6"/>
    <w:rsid w:val="002E2169"/>
    <w:rsid w:val="002E2845"/>
    <w:rsid w:val="002E29B7"/>
    <w:rsid w:val="002E395F"/>
    <w:rsid w:val="002E4FC3"/>
    <w:rsid w:val="002E555F"/>
    <w:rsid w:val="002E5666"/>
    <w:rsid w:val="002E6696"/>
    <w:rsid w:val="002E692A"/>
    <w:rsid w:val="002E6FC4"/>
    <w:rsid w:val="002E71AF"/>
    <w:rsid w:val="002E7C5B"/>
    <w:rsid w:val="002F0165"/>
    <w:rsid w:val="002F0C49"/>
    <w:rsid w:val="002F2050"/>
    <w:rsid w:val="002F22D6"/>
    <w:rsid w:val="002F2345"/>
    <w:rsid w:val="002F3AA2"/>
    <w:rsid w:val="002F3E3E"/>
    <w:rsid w:val="002F44AE"/>
    <w:rsid w:val="002F499F"/>
    <w:rsid w:val="002F65DF"/>
    <w:rsid w:val="002F6976"/>
    <w:rsid w:val="002F729D"/>
    <w:rsid w:val="002F79A4"/>
    <w:rsid w:val="002F7BED"/>
    <w:rsid w:val="002F7CDD"/>
    <w:rsid w:val="00300024"/>
    <w:rsid w:val="0030009A"/>
    <w:rsid w:val="00300BA2"/>
    <w:rsid w:val="00300F08"/>
    <w:rsid w:val="00301402"/>
    <w:rsid w:val="003016B4"/>
    <w:rsid w:val="0030255F"/>
    <w:rsid w:val="00302BA6"/>
    <w:rsid w:val="00302C84"/>
    <w:rsid w:val="00302E11"/>
    <w:rsid w:val="00302F7B"/>
    <w:rsid w:val="00303641"/>
    <w:rsid w:val="003041AE"/>
    <w:rsid w:val="00304245"/>
    <w:rsid w:val="00304275"/>
    <w:rsid w:val="00304293"/>
    <w:rsid w:val="00304481"/>
    <w:rsid w:val="0030488B"/>
    <w:rsid w:val="003048CB"/>
    <w:rsid w:val="00304E38"/>
    <w:rsid w:val="00305267"/>
    <w:rsid w:val="003057D6"/>
    <w:rsid w:val="00305CEF"/>
    <w:rsid w:val="0030630C"/>
    <w:rsid w:val="0030652B"/>
    <w:rsid w:val="0030731B"/>
    <w:rsid w:val="00307776"/>
    <w:rsid w:val="00307C36"/>
    <w:rsid w:val="00310A1A"/>
    <w:rsid w:val="00310BDA"/>
    <w:rsid w:val="00311EA4"/>
    <w:rsid w:val="00312F32"/>
    <w:rsid w:val="00313320"/>
    <w:rsid w:val="00313C86"/>
    <w:rsid w:val="00313CF1"/>
    <w:rsid w:val="00314DA4"/>
    <w:rsid w:val="003156EB"/>
    <w:rsid w:val="00315A20"/>
    <w:rsid w:val="0032011F"/>
    <w:rsid w:val="00320862"/>
    <w:rsid w:val="00320A53"/>
    <w:rsid w:val="00321506"/>
    <w:rsid w:val="003216DF"/>
    <w:rsid w:val="003218F4"/>
    <w:rsid w:val="00321DD0"/>
    <w:rsid w:val="00321FE0"/>
    <w:rsid w:val="0032207F"/>
    <w:rsid w:val="003225A3"/>
    <w:rsid w:val="00322B46"/>
    <w:rsid w:val="00322FB2"/>
    <w:rsid w:val="0032501B"/>
    <w:rsid w:val="003251B2"/>
    <w:rsid w:val="003258BD"/>
    <w:rsid w:val="00326263"/>
    <w:rsid w:val="00327612"/>
    <w:rsid w:val="0032769B"/>
    <w:rsid w:val="00327D18"/>
    <w:rsid w:val="00330010"/>
    <w:rsid w:val="003303AE"/>
    <w:rsid w:val="00330A5B"/>
    <w:rsid w:val="003316B0"/>
    <w:rsid w:val="00331AFB"/>
    <w:rsid w:val="00332BCE"/>
    <w:rsid w:val="00332BCF"/>
    <w:rsid w:val="00333239"/>
    <w:rsid w:val="00333FAA"/>
    <w:rsid w:val="0033429C"/>
    <w:rsid w:val="00334541"/>
    <w:rsid w:val="00334AA4"/>
    <w:rsid w:val="0033546E"/>
    <w:rsid w:val="003363C4"/>
    <w:rsid w:val="003364CF"/>
    <w:rsid w:val="00336705"/>
    <w:rsid w:val="00340E16"/>
    <w:rsid w:val="003425A0"/>
    <w:rsid w:val="00342DE0"/>
    <w:rsid w:val="003431F7"/>
    <w:rsid w:val="00343BA5"/>
    <w:rsid w:val="003440C8"/>
    <w:rsid w:val="00344109"/>
    <w:rsid w:val="003442D7"/>
    <w:rsid w:val="00344566"/>
    <w:rsid w:val="00345234"/>
    <w:rsid w:val="00346C83"/>
    <w:rsid w:val="003477F7"/>
    <w:rsid w:val="00350500"/>
    <w:rsid w:val="00350B88"/>
    <w:rsid w:val="0035197E"/>
    <w:rsid w:val="00352302"/>
    <w:rsid w:val="00352A77"/>
    <w:rsid w:val="00352F39"/>
    <w:rsid w:val="003531FC"/>
    <w:rsid w:val="003532CE"/>
    <w:rsid w:val="003534C1"/>
    <w:rsid w:val="00354697"/>
    <w:rsid w:val="00354818"/>
    <w:rsid w:val="00355532"/>
    <w:rsid w:val="00355A77"/>
    <w:rsid w:val="00355B40"/>
    <w:rsid w:val="00355CAB"/>
    <w:rsid w:val="00355EA3"/>
    <w:rsid w:val="003562CD"/>
    <w:rsid w:val="003567DD"/>
    <w:rsid w:val="00356948"/>
    <w:rsid w:val="00356B03"/>
    <w:rsid w:val="00356CC0"/>
    <w:rsid w:val="00357563"/>
    <w:rsid w:val="00357A02"/>
    <w:rsid w:val="003602B3"/>
    <w:rsid w:val="003602C8"/>
    <w:rsid w:val="00360CF1"/>
    <w:rsid w:val="0036115C"/>
    <w:rsid w:val="00362477"/>
    <w:rsid w:val="003624D7"/>
    <w:rsid w:val="0036308D"/>
    <w:rsid w:val="00363961"/>
    <w:rsid w:val="00363BA6"/>
    <w:rsid w:val="00366D37"/>
    <w:rsid w:val="00366F8B"/>
    <w:rsid w:val="00366FBC"/>
    <w:rsid w:val="003679DA"/>
    <w:rsid w:val="003713FF"/>
    <w:rsid w:val="00371913"/>
    <w:rsid w:val="00372086"/>
    <w:rsid w:val="003723E6"/>
    <w:rsid w:val="003725C2"/>
    <w:rsid w:val="0037314F"/>
    <w:rsid w:val="003736DB"/>
    <w:rsid w:val="00373EE2"/>
    <w:rsid w:val="00374883"/>
    <w:rsid w:val="00374A54"/>
    <w:rsid w:val="00374C1A"/>
    <w:rsid w:val="00374F0E"/>
    <w:rsid w:val="00374F9E"/>
    <w:rsid w:val="0037526A"/>
    <w:rsid w:val="00375A82"/>
    <w:rsid w:val="00375C5B"/>
    <w:rsid w:val="00375D00"/>
    <w:rsid w:val="00377330"/>
    <w:rsid w:val="00377344"/>
    <w:rsid w:val="00377AD8"/>
    <w:rsid w:val="0038014C"/>
    <w:rsid w:val="003804A9"/>
    <w:rsid w:val="0038081A"/>
    <w:rsid w:val="00380956"/>
    <w:rsid w:val="00380B2A"/>
    <w:rsid w:val="0038110E"/>
    <w:rsid w:val="00381B08"/>
    <w:rsid w:val="00381CEF"/>
    <w:rsid w:val="00382AA4"/>
    <w:rsid w:val="00382D30"/>
    <w:rsid w:val="00383582"/>
    <w:rsid w:val="00383B93"/>
    <w:rsid w:val="003840E0"/>
    <w:rsid w:val="003840E5"/>
    <w:rsid w:val="003843FD"/>
    <w:rsid w:val="00385B65"/>
    <w:rsid w:val="00386678"/>
    <w:rsid w:val="00386922"/>
    <w:rsid w:val="00386E11"/>
    <w:rsid w:val="00386FA8"/>
    <w:rsid w:val="00386FD5"/>
    <w:rsid w:val="0038764E"/>
    <w:rsid w:val="00387A1E"/>
    <w:rsid w:val="0039005C"/>
    <w:rsid w:val="00390BE2"/>
    <w:rsid w:val="00390C71"/>
    <w:rsid w:val="00391578"/>
    <w:rsid w:val="003915C0"/>
    <w:rsid w:val="0039223F"/>
    <w:rsid w:val="00392FB1"/>
    <w:rsid w:val="00393978"/>
    <w:rsid w:val="00393D73"/>
    <w:rsid w:val="00394544"/>
    <w:rsid w:val="00394992"/>
    <w:rsid w:val="00394FCD"/>
    <w:rsid w:val="003950F4"/>
    <w:rsid w:val="00395459"/>
    <w:rsid w:val="00395C45"/>
    <w:rsid w:val="003965FF"/>
    <w:rsid w:val="00396BE4"/>
    <w:rsid w:val="003A2066"/>
    <w:rsid w:val="003A2754"/>
    <w:rsid w:val="003A2FA9"/>
    <w:rsid w:val="003A3B6A"/>
    <w:rsid w:val="003A3D8B"/>
    <w:rsid w:val="003A4638"/>
    <w:rsid w:val="003A4C10"/>
    <w:rsid w:val="003A6089"/>
    <w:rsid w:val="003A7254"/>
    <w:rsid w:val="003A7CC1"/>
    <w:rsid w:val="003A7E11"/>
    <w:rsid w:val="003B071F"/>
    <w:rsid w:val="003B100E"/>
    <w:rsid w:val="003B1A5A"/>
    <w:rsid w:val="003B1DFC"/>
    <w:rsid w:val="003B3D42"/>
    <w:rsid w:val="003B3EB5"/>
    <w:rsid w:val="003B3F56"/>
    <w:rsid w:val="003B4685"/>
    <w:rsid w:val="003B5A59"/>
    <w:rsid w:val="003B745A"/>
    <w:rsid w:val="003B7623"/>
    <w:rsid w:val="003B7FC0"/>
    <w:rsid w:val="003C03CE"/>
    <w:rsid w:val="003C1F21"/>
    <w:rsid w:val="003C22A8"/>
    <w:rsid w:val="003C26FD"/>
    <w:rsid w:val="003C2C52"/>
    <w:rsid w:val="003C2F0E"/>
    <w:rsid w:val="003C2F1D"/>
    <w:rsid w:val="003C3474"/>
    <w:rsid w:val="003C417B"/>
    <w:rsid w:val="003C61FA"/>
    <w:rsid w:val="003C629C"/>
    <w:rsid w:val="003C67E0"/>
    <w:rsid w:val="003C6A87"/>
    <w:rsid w:val="003C6CB3"/>
    <w:rsid w:val="003C6DB3"/>
    <w:rsid w:val="003C6FC9"/>
    <w:rsid w:val="003C7183"/>
    <w:rsid w:val="003C76C0"/>
    <w:rsid w:val="003C772B"/>
    <w:rsid w:val="003D0655"/>
    <w:rsid w:val="003D0886"/>
    <w:rsid w:val="003D0D4E"/>
    <w:rsid w:val="003D2345"/>
    <w:rsid w:val="003D2629"/>
    <w:rsid w:val="003D2867"/>
    <w:rsid w:val="003D3CCE"/>
    <w:rsid w:val="003D4260"/>
    <w:rsid w:val="003D44F0"/>
    <w:rsid w:val="003D476E"/>
    <w:rsid w:val="003D48F1"/>
    <w:rsid w:val="003D4A3D"/>
    <w:rsid w:val="003D52EA"/>
    <w:rsid w:val="003D57E1"/>
    <w:rsid w:val="003D66BC"/>
    <w:rsid w:val="003D68C8"/>
    <w:rsid w:val="003D782C"/>
    <w:rsid w:val="003E0068"/>
    <w:rsid w:val="003E04F1"/>
    <w:rsid w:val="003E0838"/>
    <w:rsid w:val="003E0E79"/>
    <w:rsid w:val="003E15C5"/>
    <w:rsid w:val="003E16B7"/>
    <w:rsid w:val="003E19A1"/>
    <w:rsid w:val="003E1C54"/>
    <w:rsid w:val="003E1D7B"/>
    <w:rsid w:val="003E1FE7"/>
    <w:rsid w:val="003E2B98"/>
    <w:rsid w:val="003E3A1B"/>
    <w:rsid w:val="003E4E3A"/>
    <w:rsid w:val="003E504A"/>
    <w:rsid w:val="003E5129"/>
    <w:rsid w:val="003E567F"/>
    <w:rsid w:val="003E5BFD"/>
    <w:rsid w:val="003E71E5"/>
    <w:rsid w:val="003E7D8C"/>
    <w:rsid w:val="003E7FC5"/>
    <w:rsid w:val="003F0739"/>
    <w:rsid w:val="003F1E11"/>
    <w:rsid w:val="003F251D"/>
    <w:rsid w:val="003F25CE"/>
    <w:rsid w:val="003F2BDB"/>
    <w:rsid w:val="003F2F10"/>
    <w:rsid w:val="003F34DE"/>
    <w:rsid w:val="003F38E2"/>
    <w:rsid w:val="003F4654"/>
    <w:rsid w:val="003F4C5F"/>
    <w:rsid w:val="003F6109"/>
    <w:rsid w:val="003F7CD6"/>
    <w:rsid w:val="004006C0"/>
    <w:rsid w:val="00400C6F"/>
    <w:rsid w:val="00400D0C"/>
    <w:rsid w:val="0040161C"/>
    <w:rsid w:val="00401BE8"/>
    <w:rsid w:val="00401D77"/>
    <w:rsid w:val="00402163"/>
    <w:rsid w:val="004023E2"/>
    <w:rsid w:val="00402534"/>
    <w:rsid w:val="00402AD6"/>
    <w:rsid w:val="00402C13"/>
    <w:rsid w:val="004035C2"/>
    <w:rsid w:val="00403ED1"/>
    <w:rsid w:val="00404F0E"/>
    <w:rsid w:val="004054C8"/>
    <w:rsid w:val="00405743"/>
    <w:rsid w:val="00405E47"/>
    <w:rsid w:val="0040628A"/>
    <w:rsid w:val="00406455"/>
    <w:rsid w:val="00406AFE"/>
    <w:rsid w:val="004070DE"/>
    <w:rsid w:val="004073B5"/>
    <w:rsid w:val="0040772F"/>
    <w:rsid w:val="004077A8"/>
    <w:rsid w:val="00410564"/>
    <w:rsid w:val="004106B1"/>
    <w:rsid w:val="0041101D"/>
    <w:rsid w:val="004112C3"/>
    <w:rsid w:val="004118FD"/>
    <w:rsid w:val="00413257"/>
    <w:rsid w:val="00414167"/>
    <w:rsid w:val="0041541D"/>
    <w:rsid w:val="00415DBA"/>
    <w:rsid w:val="004171EF"/>
    <w:rsid w:val="004203CC"/>
    <w:rsid w:val="00420753"/>
    <w:rsid w:val="00420F29"/>
    <w:rsid w:val="00420FC2"/>
    <w:rsid w:val="004215C8"/>
    <w:rsid w:val="0042253A"/>
    <w:rsid w:val="0042255B"/>
    <w:rsid w:val="004227B4"/>
    <w:rsid w:val="00422ACE"/>
    <w:rsid w:val="00423385"/>
    <w:rsid w:val="0042426D"/>
    <w:rsid w:val="00425699"/>
    <w:rsid w:val="00427539"/>
    <w:rsid w:val="004277AA"/>
    <w:rsid w:val="0042796C"/>
    <w:rsid w:val="00427F81"/>
    <w:rsid w:val="00431220"/>
    <w:rsid w:val="00431982"/>
    <w:rsid w:val="004319DD"/>
    <w:rsid w:val="00431EDF"/>
    <w:rsid w:val="00432586"/>
    <w:rsid w:val="00432829"/>
    <w:rsid w:val="00432A08"/>
    <w:rsid w:val="00432DF2"/>
    <w:rsid w:val="00432EF1"/>
    <w:rsid w:val="00433CF4"/>
    <w:rsid w:val="00434298"/>
    <w:rsid w:val="00434BD6"/>
    <w:rsid w:val="00434DC3"/>
    <w:rsid w:val="00435003"/>
    <w:rsid w:val="00435620"/>
    <w:rsid w:val="00435D6C"/>
    <w:rsid w:val="0043632A"/>
    <w:rsid w:val="0043764B"/>
    <w:rsid w:val="0043785A"/>
    <w:rsid w:val="004379D3"/>
    <w:rsid w:val="00437DDC"/>
    <w:rsid w:val="00441FCB"/>
    <w:rsid w:val="00442288"/>
    <w:rsid w:val="0044277D"/>
    <w:rsid w:val="00443C3E"/>
    <w:rsid w:val="00444291"/>
    <w:rsid w:val="00445122"/>
    <w:rsid w:val="004457AC"/>
    <w:rsid w:val="00445E77"/>
    <w:rsid w:val="004460CF"/>
    <w:rsid w:val="0044792C"/>
    <w:rsid w:val="004503DF"/>
    <w:rsid w:val="00450F1F"/>
    <w:rsid w:val="0045105A"/>
    <w:rsid w:val="00451245"/>
    <w:rsid w:val="0045175B"/>
    <w:rsid w:val="00451D51"/>
    <w:rsid w:val="004525C8"/>
    <w:rsid w:val="004532D4"/>
    <w:rsid w:val="004532F0"/>
    <w:rsid w:val="004535CF"/>
    <w:rsid w:val="0045373E"/>
    <w:rsid w:val="00453CA2"/>
    <w:rsid w:val="004558C9"/>
    <w:rsid w:val="004560FB"/>
    <w:rsid w:val="0045699D"/>
    <w:rsid w:val="00457A45"/>
    <w:rsid w:val="0046164B"/>
    <w:rsid w:val="0046242B"/>
    <w:rsid w:val="00463995"/>
    <w:rsid w:val="00463E7F"/>
    <w:rsid w:val="00464DE5"/>
    <w:rsid w:val="00465008"/>
    <w:rsid w:val="004650B1"/>
    <w:rsid w:val="00465BA3"/>
    <w:rsid w:val="00466768"/>
    <w:rsid w:val="00466774"/>
    <w:rsid w:val="00466862"/>
    <w:rsid w:val="00466DFF"/>
    <w:rsid w:val="004719B7"/>
    <w:rsid w:val="00471E6B"/>
    <w:rsid w:val="004723AA"/>
    <w:rsid w:val="004729C8"/>
    <w:rsid w:val="00472AC1"/>
    <w:rsid w:val="00472FF6"/>
    <w:rsid w:val="00475306"/>
    <w:rsid w:val="00476035"/>
    <w:rsid w:val="0047657E"/>
    <w:rsid w:val="0047779A"/>
    <w:rsid w:val="004815F2"/>
    <w:rsid w:val="00482AA1"/>
    <w:rsid w:val="00483D84"/>
    <w:rsid w:val="00484285"/>
    <w:rsid w:val="00484787"/>
    <w:rsid w:val="0048533C"/>
    <w:rsid w:val="004856FC"/>
    <w:rsid w:val="004857EB"/>
    <w:rsid w:val="00485A6B"/>
    <w:rsid w:val="004864CC"/>
    <w:rsid w:val="00486A95"/>
    <w:rsid w:val="00486D24"/>
    <w:rsid w:val="00487121"/>
    <w:rsid w:val="00487BF7"/>
    <w:rsid w:val="004907CE"/>
    <w:rsid w:val="00490F6A"/>
    <w:rsid w:val="00491438"/>
    <w:rsid w:val="004923FA"/>
    <w:rsid w:val="004933D2"/>
    <w:rsid w:val="00493C47"/>
    <w:rsid w:val="00493CA2"/>
    <w:rsid w:val="00493EA9"/>
    <w:rsid w:val="004947E3"/>
    <w:rsid w:val="00494881"/>
    <w:rsid w:val="00494DE8"/>
    <w:rsid w:val="00495160"/>
    <w:rsid w:val="00496605"/>
    <w:rsid w:val="004970FE"/>
    <w:rsid w:val="004A088F"/>
    <w:rsid w:val="004A0C09"/>
    <w:rsid w:val="004A1CC2"/>
    <w:rsid w:val="004A1CED"/>
    <w:rsid w:val="004A20F0"/>
    <w:rsid w:val="004A218B"/>
    <w:rsid w:val="004A25AC"/>
    <w:rsid w:val="004A26EF"/>
    <w:rsid w:val="004A2747"/>
    <w:rsid w:val="004A2887"/>
    <w:rsid w:val="004A39A6"/>
    <w:rsid w:val="004A411F"/>
    <w:rsid w:val="004A45F0"/>
    <w:rsid w:val="004A462B"/>
    <w:rsid w:val="004A4C36"/>
    <w:rsid w:val="004A5794"/>
    <w:rsid w:val="004A6470"/>
    <w:rsid w:val="004A72DF"/>
    <w:rsid w:val="004B0070"/>
    <w:rsid w:val="004B1079"/>
    <w:rsid w:val="004B112F"/>
    <w:rsid w:val="004B2004"/>
    <w:rsid w:val="004B2EC8"/>
    <w:rsid w:val="004B3976"/>
    <w:rsid w:val="004B4BBF"/>
    <w:rsid w:val="004B4E66"/>
    <w:rsid w:val="004B5522"/>
    <w:rsid w:val="004B6067"/>
    <w:rsid w:val="004B640C"/>
    <w:rsid w:val="004B6660"/>
    <w:rsid w:val="004B6C6D"/>
    <w:rsid w:val="004B6CE9"/>
    <w:rsid w:val="004C044A"/>
    <w:rsid w:val="004C0D58"/>
    <w:rsid w:val="004C0EB0"/>
    <w:rsid w:val="004C14AD"/>
    <w:rsid w:val="004C1B79"/>
    <w:rsid w:val="004C1EEA"/>
    <w:rsid w:val="004C278C"/>
    <w:rsid w:val="004C330D"/>
    <w:rsid w:val="004C3550"/>
    <w:rsid w:val="004C36AC"/>
    <w:rsid w:val="004C38A5"/>
    <w:rsid w:val="004C38F4"/>
    <w:rsid w:val="004C49C8"/>
    <w:rsid w:val="004C5F89"/>
    <w:rsid w:val="004C6847"/>
    <w:rsid w:val="004C6B01"/>
    <w:rsid w:val="004C701F"/>
    <w:rsid w:val="004C76EE"/>
    <w:rsid w:val="004D033C"/>
    <w:rsid w:val="004D035C"/>
    <w:rsid w:val="004D09D0"/>
    <w:rsid w:val="004D0B60"/>
    <w:rsid w:val="004D0F68"/>
    <w:rsid w:val="004D1A34"/>
    <w:rsid w:val="004D24E8"/>
    <w:rsid w:val="004D2510"/>
    <w:rsid w:val="004D25BE"/>
    <w:rsid w:val="004D2608"/>
    <w:rsid w:val="004D2BE2"/>
    <w:rsid w:val="004D2DEA"/>
    <w:rsid w:val="004D2F5E"/>
    <w:rsid w:val="004D2F82"/>
    <w:rsid w:val="004D30F2"/>
    <w:rsid w:val="004D376D"/>
    <w:rsid w:val="004D3860"/>
    <w:rsid w:val="004D4B7E"/>
    <w:rsid w:val="004D538D"/>
    <w:rsid w:val="004D57EA"/>
    <w:rsid w:val="004D73F4"/>
    <w:rsid w:val="004E10F7"/>
    <w:rsid w:val="004E1701"/>
    <w:rsid w:val="004E18E8"/>
    <w:rsid w:val="004E25E8"/>
    <w:rsid w:val="004E3690"/>
    <w:rsid w:val="004E3932"/>
    <w:rsid w:val="004E464B"/>
    <w:rsid w:val="004E4BA2"/>
    <w:rsid w:val="004E5420"/>
    <w:rsid w:val="004E5B68"/>
    <w:rsid w:val="004E5E16"/>
    <w:rsid w:val="004E60DB"/>
    <w:rsid w:val="004E6761"/>
    <w:rsid w:val="004E70BA"/>
    <w:rsid w:val="004E7D77"/>
    <w:rsid w:val="004E7F8B"/>
    <w:rsid w:val="004F0849"/>
    <w:rsid w:val="004F1D5D"/>
    <w:rsid w:val="004F1FC0"/>
    <w:rsid w:val="004F3098"/>
    <w:rsid w:val="004F3373"/>
    <w:rsid w:val="004F376E"/>
    <w:rsid w:val="004F3D46"/>
    <w:rsid w:val="004F3D99"/>
    <w:rsid w:val="004F471F"/>
    <w:rsid w:val="004F562B"/>
    <w:rsid w:val="004F5784"/>
    <w:rsid w:val="004F5A4C"/>
    <w:rsid w:val="004F5F77"/>
    <w:rsid w:val="004F786C"/>
    <w:rsid w:val="004F7E59"/>
    <w:rsid w:val="00501920"/>
    <w:rsid w:val="00501D0C"/>
    <w:rsid w:val="00501FC2"/>
    <w:rsid w:val="005021D2"/>
    <w:rsid w:val="00502B3D"/>
    <w:rsid w:val="00503072"/>
    <w:rsid w:val="00503514"/>
    <w:rsid w:val="00504939"/>
    <w:rsid w:val="00505878"/>
    <w:rsid w:val="0050652D"/>
    <w:rsid w:val="005069B9"/>
    <w:rsid w:val="00507628"/>
    <w:rsid w:val="00507857"/>
    <w:rsid w:val="00507BA8"/>
    <w:rsid w:val="005100BD"/>
    <w:rsid w:val="0051046F"/>
    <w:rsid w:val="00510D6C"/>
    <w:rsid w:val="00511304"/>
    <w:rsid w:val="005125E1"/>
    <w:rsid w:val="00512795"/>
    <w:rsid w:val="005128FA"/>
    <w:rsid w:val="00512C63"/>
    <w:rsid w:val="00513EB6"/>
    <w:rsid w:val="00514020"/>
    <w:rsid w:val="005142AE"/>
    <w:rsid w:val="00514A2E"/>
    <w:rsid w:val="005159C1"/>
    <w:rsid w:val="00515D41"/>
    <w:rsid w:val="005168C1"/>
    <w:rsid w:val="00516F2F"/>
    <w:rsid w:val="00516F99"/>
    <w:rsid w:val="00517011"/>
    <w:rsid w:val="00517468"/>
    <w:rsid w:val="005179BA"/>
    <w:rsid w:val="00517FD0"/>
    <w:rsid w:val="005203AB"/>
    <w:rsid w:val="00520408"/>
    <w:rsid w:val="005205D4"/>
    <w:rsid w:val="0052091B"/>
    <w:rsid w:val="00520DF4"/>
    <w:rsid w:val="00521CA8"/>
    <w:rsid w:val="005224FE"/>
    <w:rsid w:val="00522852"/>
    <w:rsid w:val="005228DB"/>
    <w:rsid w:val="005239C6"/>
    <w:rsid w:val="00523AC1"/>
    <w:rsid w:val="00523BC2"/>
    <w:rsid w:val="00523D27"/>
    <w:rsid w:val="00523DD9"/>
    <w:rsid w:val="00526116"/>
    <w:rsid w:val="00527201"/>
    <w:rsid w:val="00527765"/>
    <w:rsid w:val="00527E02"/>
    <w:rsid w:val="005304C3"/>
    <w:rsid w:val="00530787"/>
    <w:rsid w:val="005310C1"/>
    <w:rsid w:val="0053180E"/>
    <w:rsid w:val="00532353"/>
    <w:rsid w:val="005330C8"/>
    <w:rsid w:val="00533577"/>
    <w:rsid w:val="00533C05"/>
    <w:rsid w:val="00533E77"/>
    <w:rsid w:val="00534306"/>
    <w:rsid w:val="00535C31"/>
    <w:rsid w:val="00535CA0"/>
    <w:rsid w:val="005365A9"/>
    <w:rsid w:val="005369B9"/>
    <w:rsid w:val="005376BF"/>
    <w:rsid w:val="00537700"/>
    <w:rsid w:val="005407A9"/>
    <w:rsid w:val="005410DB"/>
    <w:rsid w:val="0054166E"/>
    <w:rsid w:val="005417D9"/>
    <w:rsid w:val="0054202A"/>
    <w:rsid w:val="00542EC2"/>
    <w:rsid w:val="00542FB7"/>
    <w:rsid w:val="005431C5"/>
    <w:rsid w:val="005447DC"/>
    <w:rsid w:val="00544DF4"/>
    <w:rsid w:val="00545F8F"/>
    <w:rsid w:val="0054687C"/>
    <w:rsid w:val="00547419"/>
    <w:rsid w:val="005477D2"/>
    <w:rsid w:val="00547EB2"/>
    <w:rsid w:val="005503B6"/>
    <w:rsid w:val="00550948"/>
    <w:rsid w:val="00551019"/>
    <w:rsid w:val="00552BE7"/>
    <w:rsid w:val="005530F1"/>
    <w:rsid w:val="00555293"/>
    <w:rsid w:val="0055582A"/>
    <w:rsid w:val="00556344"/>
    <w:rsid w:val="005566B5"/>
    <w:rsid w:val="00556ED5"/>
    <w:rsid w:val="005571B0"/>
    <w:rsid w:val="00557BB5"/>
    <w:rsid w:val="00557F37"/>
    <w:rsid w:val="00560008"/>
    <w:rsid w:val="00560B82"/>
    <w:rsid w:val="00560CD0"/>
    <w:rsid w:val="005613CE"/>
    <w:rsid w:val="005614B7"/>
    <w:rsid w:val="00561757"/>
    <w:rsid w:val="0056211A"/>
    <w:rsid w:val="00562552"/>
    <w:rsid w:val="00562716"/>
    <w:rsid w:val="00562D9F"/>
    <w:rsid w:val="00563087"/>
    <w:rsid w:val="005631D3"/>
    <w:rsid w:val="00563971"/>
    <w:rsid w:val="00564280"/>
    <w:rsid w:val="00564CED"/>
    <w:rsid w:val="00565E00"/>
    <w:rsid w:val="005663DB"/>
    <w:rsid w:val="00566A55"/>
    <w:rsid w:val="005670E0"/>
    <w:rsid w:val="005673ED"/>
    <w:rsid w:val="00567614"/>
    <w:rsid w:val="0056796B"/>
    <w:rsid w:val="00567FE1"/>
    <w:rsid w:val="00571B78"/>
    <w:rsid w:val="00572617"/>
    <w:rsid w:val="00572B08"/>
    <w:rsid w:val="00573DA6"/>
    <w:rsid w:val="00574CA5"/>
    <w:rsid w:val="00574DFF"/>
    <w:rsid w:val="005753BF"/>
    <w:rsid w:val="00575AD7"/>
    <w:rsid w:val="00576927"/>
    <w:rsid w:val="00576B22"/>
    <w:rsid w:val="0057710D"/>
    <w:rsid w:val="00577346"/>
    <w:rsid w:val="0058066E"/>
    <w:rsid w:val="005808DB"/>
    <w:rsid w:val="00580FE1"/>
    <w:rsid w:val="005825A7"/>
    <w:rsid w:val="005839ED"/>
    <w:rsid w:val="00583B80"/>
    <w:rsid w:val="00584EEA"/>
    <w:rsid w:val="005852B8"/>
    <w:rsid w:val="005859A6"/>
    <w:rsid w:val="00586320"/>
    <w:rsid w:val="0058649A"/>
    <w:rsid w:val="00586C3A"/>
    <w:rsid w:val="00587058"/>
    <w:rsid w:val="00587386"/>
    <w:rsid w:val="0058756D"/>
    <w:rsid w:val="00587EA4"/>
    <w:rsid w:val="005909D5"/>
    <w:rsid w:val="00591205"/>
    <w:rsid w:val="005919AA"/>
    <w:rsid w:val="00591A24"/>
    <w:rsid w:val="00591DFC"/>
    <w:rsid w:val="00592887"/>
    <w:rsid w:val="00592ABB"/>
    <w:rsid w:val="00592BEA"/>
    <w:rsid w:val="005931B9"/>
    <w:rsid w:val="00593571"/>
    <w:rsid w:val="005938EE"/>
    <w:rsid w:val="00593BFE"/>
    <w:rsid w:val="00594744"/>
    <w:rsid w:val="005948F6"/>
    <w:rsid w:val="00594B67"/>
    <w:rsid w:val="00594E7E"/>
    <w:rsid w:val="00594EFE"/>
    <w:rsid w:val="00595DB3"/>
    <w:rsid w:val="0059699A"/>
    <w:rsid w:val="00596BE3"/>
    <w:rsid w:val="00596EC5"/>
    <w:rsid w:val="00596EDD"/>
    <w:rsid w:val="005A017A"/>
    <w:rsid w:val="005A02FD"/>
    <w:rsid w:val="005A0685"/>
    <w:rsid w:val="005A0DB8"/>
    <w:rsid w:val="005A1469"/>
    <w:rsid w:val="005A3194"/>
    <w:rsid w:val="005A33C8"/>
    <w:rsid w:val="005A3ED0"/>
    <w:rsid w:val="005A4050"/>
    <w:rsid w:val="005A4724"/>
    <w:rsid w:val="005A47F9"/>
    <w:rsid w:val="005A533A"/>
    <w:rsid w:val="005A5C1E"/>
    <w:rsid w:val="005A67B6"/>
    <w:rsid w:val="005A698B"/>
    <w:rsid w:val="005A6D1D"/>
    <w:rsid w:val="005A7B69"/>
    <w:rsid w:val="005B0191"/>
    <w:rsid w:val="005B0429"/>
    <w:rsid w:val="005B1E53"/>
    <w:rsid w:val="005B2770"/>
    <w:rsid w:val="005B29AE"/>
    <w:rsid w:val="005B2D7D"/>
    <w:rsid w:val="005B330B"/>
    <w:rsid w:val="005B3351"/>
    <w:rsid w:val="005B3499"/>
    <w:rsid w:val="005B3ADB"/>
    <w:rsid w:val="005B5562"/>
    <w:rsid w:val="005B6240"/>
    <w:rsid w:val="005B7EC0"/>
    <w:rsid w:val="005B7EC9"/>
    <w:rsid w:val="005C118F"/>
    <w:rsid w:val="005C1738"/>
    <w:rsid w:val="005C3FBA"/>
    <w:rsid w:val="005C447D"/>
    <w:rsid w:val="005C4E4D"/>
    <w:rsid w:val="005C4E7D"/>
    <w:rsid w:val="005C4F3C"/>
    <w:rsid w:val="005C55EB"/>
    <w:rsid w:val="005C642B"/>
    <w:rsid w:val="005C6658"/>
    <w:rsid w:val="005C77F3"/>
    <w:rsid w:val="005D0508"/>
    <w:rsid w:val="005D1357"/>
    <w:rsid w:val="005D20C4"/>
    <w:rsid w:val="005D2612"/>
    <w:rsid w:val="005D398C"/>
    <w:rsid w:val="005D4D5C"/>
    <w:rsid w:val="005D4E04"/>
    <w:rsid w:val="005D5A53"/>
    <w:rsid w:val="005D687B"/>
    <w:rsid w:val="005D6B5B"/>
    <w:rsid w:val="005D715C"/>
    <w:rsid w:val="005D763E"/>
    <w:rsid w:val="005D77FF"/>
    <w:rsid w:val="005D7D86"/>
    <w:rsid w:val="005E0834"/>
    <w:rsid w:val="005E0B8F"/>
    <w:rsid w:val="005E0D3C"/>
    <w:rsid w:val="005E0F0E"/>
    <w:rsid w:val="005E1D9E"/>
    <w:rsid w:val="005E25AC"/>
    <w:rsid w:val="005E358A"/>
    <w:rsid w:val="005E3738"/>
    <w:rsid w:val="005E4443"/>
    <w:rsid w:val="005E465A"/>
    <w:rsid w:val="005E4E6A"/>
    <w:rsid w:val="005E4F20"/>
    <w:rsid w:val="005E55C8"/>
    <w:rsid w:val="005E6055"/>
    <w:rsid w:val="005E677E"/>
    <w:rsid w:val="005E7346"/>
    <w:rsid w:val="005F033E"/>
    <w:rsid w:val="005F0EC1"/>
    <w:rsid w:val="005F1871"/>
    <w:rsid w:val="005F1DD6"/>
    <w:rsid w:val="005F2493"/>
    <w:rsid w:val="005F256D"/>
    <w:rsid w:val="005F27F4"/>
    <w:rsid w:val="005F28A8"/>
    <w:rsid w:val="005F3C34"/>
    <w:rsid w:val="005F4185"/>
    <w:rsid w:val="005F4668"/>
    <w:rsid w:val="005F6BD8"/>
    <w:rsid w:val="005F702A"/>
    <w:rsid w:val="005F7207"/>
    <w:rsid w:val="0060099C"/>
    <w:rsid w:val="00601E79"/>
    <w:rsid w:val="00602CE0"/>
    <w:rsid w:val="0060306A"/>
    <w:rsid w:val="0060315F"/>
    <w:rsid w:val="006036BD"/>
    <w:rsid w:val="00604DCB"/>
    <w:rsid w:val="006057C8"/>
    <w:rsid w:val="00605DE4"/>
    <w:rsid w:val="00606BC6"/>
    <w:rsid w:val="00610A71"/>
    <w:rsid w:val="00612232"/>
    <w:rsid w:val="0061391A"/>
    <w:rsid w:val="00613BBD"/>
    <w:rsid w:val="00613C28"/>
    <w:rsid w:val="00613E41"/>
    <w:rsid w:val="00615748"/>
    <w:rsid w:val="0061577B"/>
    <w:rsid w:val="00617475"/>
    <w:rsid w:val="006207ED"/>
    <w:rsid w:val="00620B54"/>
    <w:rsid w:val="00621251"/>
    <w:rsid w:val="006215CA"/>
    <w:rsid w:val="006225C8"/>
    <w:rsid w:val="00622C71"/>
    <w:rsid w:val="0062441C"/>
    <w:rsid w:val="00624D23"/>
    <w:rsid w:val="00624DC0"/>
    <w:rsid w:val="00625D73"/>
    <w:rsid w:val="00625FC3"/>
    <w:rsid w:val="0062616A"/>
    <w:rsid w:val="00626301"/>
    <w:rsid w:val="00626DB0"/>
    <w:rsid w:val="0063138B"/>
    <w:rsid w:val="006313EE"/>
    <w:rsid w:val="00632936"/>
    <w:rsid w:val="00632B19"/>
    <w:rsid w:val="00632C31"/>
    <w:rsid w:val="00633726"/>
    <w:rsid w:val="0063477E"/>
    <w:rsid w:val="00635016"/>
    <w:rsid w:val="00635292"/>
    <w:rsid w:val="00637C65"/>
    <w:rsid w:val="0064043F"/>
    <w:rsid w:val="0064059A"/>
    <w:rsid w:val="006412DB"/>
    <w:rsid w:val="006419EA"/>
    <w:rsid w:val="00642126"/>
    <w:rsid w:val="0064298B"/>
    <w:rsid w:val="006429E3"/>
    <w:rsid w:val="006432F8"/>
    <w:rsid w:val="0064352F"/>
    <w:rsid w:val="00643A5E"/>
    <w:rsid w:val="00644652"/>
    <w:rsid w:val="00644E68"/>
    <w:rsid w:val="00645229"/>
    <w:rsid w:val="00645A75"/>
    <w:rsid w:val="00646AF2"/>
    <w:rsid w:val="00650F6A"/>
    <w:rsid w:val="0065119E"/>
    <w:rsid w:val="00651512"/>
    <w:rsid w:val="00651CC5"/>
    <w:rsid w:val="0065255D"/>
    <w:rsid w:val="00652BB1"/>
    <w:rsid w:val="00652CC5"/>
    <w:rsid w:val="006560F2"/>
    <w:rsid w:val="00656135"/>
    <w:rsid w:val="00656C72"/>
    <w:rsid w:val="00656D9C"/>
    <w:rsid w:val="00656E55"/>
    <w:rsid w:val="00657A72"/>
    <w:rsid w:val="00657EDC"/>
    <w:rsid w:val="00660AAE"/>
    <w:rsid w:val="00662416"/>
    <w:rsid w:val="00662772"/>
    <w:rsid w:val="00662DB2"/>
    <w:rsid w:val="00663532"/>
    <w:rsid w:val="00663EE8"/>
    <w:rsid w:val="0066438C"/>
    <w:rsid w:val="00664A7E"/>
    <w:rsid w:val="0066595E"/>
    <w:rsid w:val="00666CE7"/>
    <w:rsid w:val="00666D3C"/>
    <w:rsid w:val="006672B7"/>
    <w:rsid w:val="006703AF"/>
    <w:rsid w:val="006711C7"/>
    <w:rsid w:val="006712EA"/>
    <w:rsid w:val="00671A39"/>
    <w:rsid w:val="00672110"/>
    <w:rsid w:val="006734FD"/>
    <w:rsid w:val="0067367A"/>
    <w:rsid w:val="0067505C"/>
    <w:rsid w:val="006751C9"/>
    <w:rsid w:val="006752F1"/>
    <w:rsid w:val="006754F9"/>
    <w:rsid w:val="006760D1"/>
    <w:rsid w:val="00676FE1"/>
    <w:rsid w:val="00681010"/>
    <w:rsid w:val="00681431"/>
    <w:rsid w:val="00682502"/>
    <w:rsid w:val="00682C3F"/>
    <w:rsid w:val="00683427"/>
    <w:rsid w:val="00683651"/>
    <w:rsid w:val="006839FF"/>
    <w:rsid w:val="00683F22"/>
    <w:rsid w:val="00684DCE"/>
    <w:rsid w:val="00685EF0"/>
    <w:rsid w:val="0068635F"/>
    <w:rsid w:val="00686765"/>
    <w:rsid w:val="006867BB"/>
    <w:rsid w:val="00687F3B"/>
    <w:rsid w:val="0069033C"/>
    <w:rsid w:val="00690918"/>
    <w:rsid w:val="006914CD"/>
    <w:rsid w:val="0069163E"/>
    <w:rsid w:val="00691B15"/>
    <w:rsid w:val="006921EC"/>
    <w:rsid w:val="00692504"/>
    <w:rsid w:val="00692963"/>
    <w:rsid w:val="00693652"/>
    <w:rsid w:val="006937DA"/>
    <w:rsid w:val="00694233"/>
    <w:rsid w:val="00694378"/>
    <w:rsid w:val="006950D5"/>
    <w:rsid w:val="006955F0"/>
    <w:rsid w:val="0069572A"/>
    <w:rsid w:val="00695868"/>
    <w:rsid w:val="00695BE0"/>
    <w:rsid w:val="006962C5"/>
    <w:rsid w:val="006967B7"/>
    <w:rsid w:val="006969C3"/>
    <w:rsid w:val="006A039F"/>
    <w:rsid w:val="006A1F0B"/>
    <w:rsid w:val="006A2812"/>
    <w:rsid w:val="006A3292"/>
    <w:rsid w:val="006A35EE"/>
    <w:rsid w:val="006A4A39"/>
    <w:rsid w:val="006A513F"/>
    <w:rsid w:val="006A518B"/>
    <w:rsid w:val="006A5286"/>
    <w:rsid w:val="006A591B"/>
    <w:rsid w:val="006A679A"/>
    <w:rsid w:val="006A6D5B"/>
    <w:rsid w:val="006A6FFC"/>
    <w:rsid w:val="006B0185"/>
    <w:rsid w:val="006B0760"/>
    <w:rsid w:val="006B08C7"/>
    <w:rsid w:val="006B2AC4"/>
    <w:rsid w:val="006B30AA"/>
    <w:rsid w:val="006B3699"/>
    <w:rsid w:val="006B3F78"/>
    <w:rsid w:val="006B55D5"/>
    <w:rsid w:val="006B687D"/>
    <w:rsid w:val="006B7791"/>
    <w:rsid w:val="006B7B54"/>
    <w:rsid w:val="006C03DB"/>
    <w:rsid w:val="006C0456"/>
    <w:rsid w:val="006C09D7"/>
    <w:rsid w:val="006C0C6F"/>
    <w:rsid w:val="006C1000"/>
    <w:rsid w:val="006C12E7"/>
    <w:rsid w:val="006C1530"/>
    <w:rsid w:val="006C1994"/>
    <w:rsid w:val="006C1B51"/>
    <w:rsid w:val="006C1C06"/>
    <w:rsid w:val="006C1ECE"/>
    <w:rsid w:val="006C2E07"/>
    <w:rsid w:val="006C3631"/>
    <w:rsid w:val="006C3843"/>
    <w:rsid w:val="006C3AC7"/>
    <w:rsid w:val="006C43B1"/>
    <w:rsid w:val="006C4F39"/>
    <w:rsid w:val="006C5120"/>
    <w:rsid w:val="006C590B"/>
    <w:rsid w:val="006C5B9B"/>
    <w:rsid w:val="006C65C7"/>
    <w:rsid w:val="006C6AD5"/>
    <w:rsid w:val="006C7CC3"/>
    <w:rsid w:val="006D1C13"/>
    <w:rsid w:val="006D1D9B"/>
    <w:rsid w:val="006D673F"/>
    <w:rsid w:val="006E0712"/>
    <w:rsid w:val="006E084F"/>
    <w:rsid w:val="006E08C3"/>
    <w:rsid w:val="006E0AD2"/>
    <w:rsid w:val="006E0FCC"/>
    <w:rsid w:val="006E1481"/>
    <w:rsid w:val="006E1928"/>
    <w:rsid w:val="006E1B43"/>
    <w:rsid w:val="006E209A"/>
    <w:rsid w:val="006E2227"/>
    <w:rsid w:val="006E2A33"/>
    <w:rsid w:val="006E529C"/>
    <w:rsid w:val="006E54F3"/>
    <w:rsid w:val="006E5616"/>
    <w:rsid w:val="006E65F1"/>
    <w:rsid w:val="006E754E"/>
    <w:rsid w:val="006F0752"/>
    <w:rsid w:val="006F09C5"/>
    <w:rsid w:val="006F0E57"/>
    <w:rsid w:val="006F2068"/>
    <w:rsid w:val="006F221E"/>
    <w:rsid w:val="006F29FD"/>
    <w:rsid w:val="006F3E4E"/>
    <w:rsid w:val="006F4525"/>
    <w:rsid w:val="006F45BC"/>
    <w:rsid w:val="006F4830"/>
    <w:rsid w:val="006F4CF6"/>
    <w:rsid w:val="006F4E18"/>
    <w:rsid w:val="006F55D5"/>
    <w:rsid w:val="006F5CC2"/>
    <w:rsid w:val="006F5F2A"/>
    <w:rsid w:val="006F6066"/>
    <w:rsid w:val="006F735D"/>
    <w:rsid w:val="006F79AA"/>
    <w:rsid w:val="00700671"/>
    <w:rsid w:val="00700ED5"/>
    <w:rsid w:val="00701190"/>
    <w:rsid w:val="00701BE4"/>
    <w:rsid w:val="0070214A"/>
    <w:rsid w:val="00702EAE"/>
    <w:rsid w:val="007038E6"/>
    <w:rsid w:val="0070390C"/>
    <w:rsid w:val="00703B93"/>
    <w:rsid w:val="00703EBE"/>
    <w:rsid w:val="00704309"/>
    <w:rsid w:val="007046CC"/>
    <w:rsid w:val="00704872"/>
    <w:rsid w:val="00705C34"/>
    <w:rsid w:val="0070612F"/>
    <w:rsid w:val="007072A7"/>
    <w:rsid w:val="00707348"/>
    <w:rsid w:val="0070794E"/>
    <w:rsid w:val="00711426"/>
    <w:rsid w:val="00711A98"/>
    <w:rsid w:val="00711ACD"/>
    <w:rsid w:val="00712CE3"/>
    <w:rsid w:val="00713205"/>
    <w:rsid w:val="00713609"/>
    <w:rsid w:val="007142B9"/>
    <w:rsid w:val="00715A5D"/>
    <w:rsid w:val="00715E70"/>
    <w:rsid w:val="00716FBD"/>
    <w:rsid w:val="00717047"/>
    <w:rsid w:val="00717D96"/>
    <w:rsid w:val="007202A3"/>
    <w:rsid w:val="00720693"/>
    <w:rsid w:val="00720C93"/>
    <w:rsid w:val="00721041"/>
    <w:rsid w:val="0072114A"/>
    <w:rsid w:val="00721B8C"/>
    <w:rsid w:val="00722917"/>
    <w:rsid w:val="00722DD8"/>
    <w:rsid w:val="007231BC"/>
    <w:rsid w:val="007242B8"/>
    <w:rsid w:val="007243DA"/>
    <w:rsid w:val="00724B1C"/>
    <w:rsid w:val="00724C50"/>
    <w:rsid w:val="0072558A"/>
    <w:rsid w:val="00725864"/>
    <w:rsid w:val="00725E19"/>
    <w:rsid w:val="0072649A"/>
    <w:rsid w:val="00726A03"/>
    <w:rsid w:val="007302E4"/>
    <w:rsid w:val="0073049B"/>
    <w:rsid w:val="007308F4"/>
    <w:rsid w:val="00731025"/>
    <w:rsid w:val="0073104F"/>
    <w:rsid w:val="00731F89"/>
    <w:rsid w:val="00732774"/>
    <w:rsid w:val="00732C38"/>
    <w:rsid w:val="007332D2"/>
    <w:rsid w:val="007337E3"/>
    <w:rsid w:val="0073444C"/>
    <w:rsid w:val="00734C80"/>
    <w:rsid w:val="0073552A"/>
    <w:rsid w:val="00735A74"/>
    <w:rsid w:val="00735DDB"/>
    <w:rsid w:val="00736789"/>
    <w:rsid w:val="007375F7"/>
    <w:rsid w:val="007377E9"/>
    <w:rsid w:val="00740B75"/>
    <w:rsid w:val="00740D30"/>
    <w:rsid w:val="00741390"/>
    <w:rsid w:val="00741895"/>
    <w:rsid w:val="00742285"/>
    <w:rsid w:val="007426ED"/>
    <w:rsid w:val="0074284D"/>
    <w:rsid w:val="00742A28"/>
    <w:rsid w:val="007438C4"/>
    <w:rsid w:val="0074404D"/>
    <w:rsid w:val="00744C45"/>
    <w:rsid w:val="00745CAF"/>
    <w:rsid w:val="00745D6F"/>
    <w:rsid w:val="00746177"/>
    <w:rsid w:val="007461D9"/>
    <w:rsid w:val="00746C8B"/>
    <w:rsid w:val="00746C97"/>
    <w:rsid w:val="00750C56"/>
    <w:rsid w:val="0075305E"/>
    <w:rsid w:val="007532F9"/>
    <w:rsid w:val="00754014"/>
    <w:rsid w:val="007542F1"/>
    <w:rsid w:val="00754A7D"/>
    <w:rsid w:val="00754B45"/>
    <w:rsid w:val="00754BF1"/>
    <w:rsid w:val="00754C7F"/>
    <w:rsid w:val="007551CA"/>
    <w:rsid w:val="00755355"/>
    <w:rsid w:val="007554B6"/>
    <w:rsid w:val="00755DD0"/>
    <w:rsid w:val="00756082"/>
    <w:rsid w:val="007561C3"/>
    <w:rsid w:val="00756894"/>
    <w:rsid w:val="0075704E"/>
    <w:rsid w:val="00757766"/>
    <w:rsid w:val="00757EEB"/>
    <w:rsid w:val="007610CB"/>
    <w:rsid w:val="0076135C"/>
    <w:rsid w:val="00761CAC"/>
    <w:rsid w:val="00763A19"/>
    <w:rsid w:val="007641B6"/>
    <w:rsid w:val="0076466F"/>
    <w:rsid w:val="00764797"/>
    <w:rsid w:val="00765176"/>
    <w:rsid w:val="00765755"/>
    <w:rsid w:val="00765777"/>
    <w:rsid w:val="00765BEC"/>
    <w:rsid w:val="007673B5"/>
    <w:rsid w:val="00767CDA"/>
    <w:rsid w:val="00767E4D"/>
    <w:rsid w:val="00770B33"/>
    <w:rsid w:val="00770CE5"/>
    <w:rsid w:val="0077227C"/>
    <w:rsid w:val="00773841"/>
    <w:rsid w:val="00773BFE"/>
    <w:rsid w:val="00773DDA"/>
    <w:rsid w:val="00774F01"/>
    <w:rsid w:val="00775AF8"/>
    <w:rsid w:val="007766ED"/>
    <w:rsid w:val="00776E62"/>
    <w:rsid w:val="00777548"/>
    <w:rsid w:val="0078003A"/>
    <w:rsid w:val="0078038B"/>
    <w:rsid w:val="00782810"/>
    <w:rsid w:val="007828FB"/>
    <w:rsid w:val="0078296A"/>
    <w:rsid w:val="00782A84"/>
    <w:rsid w:val="00783278"/>
    <w:rsid w:val="00783C74"/>
    <w:rsid w:val="00784473"/>
    <w:rsid w:val="00784E31"/>
    <w:rsid w:val="00785925"/>
    <w:rsid w:val="007862BC"/>
    <w:rsid w:val="00786313"/>
    <w:rsid w:val="00786357"/>
    <w:rsid w:val="007863FB"/>
    <w:rsid w:val="00786766"/>
    <w:rsid w:val="00786C70"/>
    <w:rsid w:val="00790C82"/>
    <w:rsid w:val="007922E7"/>
    <w:rsid w:val="00793018"/>
    <w:rsid w:val="00793398"/>
    <w:rsid w:val="007933FF"/>
    <w:rsid w:val="007935A1"/>
    <w:rsid w:val="00793A70"/>
    <w:rsid w:val="007941BC"/>
    <w:rsid w:val="00795329"/>
    <w:rsid w:val="007960E8"/>
    <w:rsid w:val="00796213"/>
    <w:rsid w:val="00796B9C"/>
    <w:rsid w:val="00796EEA"/>
    <w:rsid w:val="007A0001"/>
    <w:rsid w:val="007A0B12"/>
    <w:rsid w:val="007A0D1B"/>
    <w:rsid w:val="007A1484"/>
    <w:rsid w:val="007A19B6"/>
    <w:rsid w:val="007A1C81"/>
    <w:rsid w:val="007A2234"/>
    <w:rsid w:val="007A270B"/>
    <w:rsid w:val="007A2C48"/>
    <w:rsid w:val="007A4FEE"/>
    <w:rsid w:val="007A543F"/>
    <w:rsid w:val="007A5DC3"/>
    <w:rsid w:val="007A681B"/>
    <w:rsid w:val="007A6FF1"/>
    <w:rsid w:val="007A7169"/>
    <w:rsid w:val="007A79AF"/>
    <w:rsid w:val="007B08EC"/>
    <w:rsid w:val="007B148E"/>
    <w:rsid w:val="007B1512"/>
    <w:rsid w:val="007B1E37"/>
    <w:rsid w:val="007B200B"/>
    <w:rsid w:val="007B218F"/>
    <w:rsid w:val="007B312A"/>
    <w:rsid w:val="007B3573"/>
    <w:rsid w:val="007B3657"/>
    <w:rsid w:val="007B529D"/>
    <w:rsid w:val="007B5DC8"/>
    <w:rsid w:val="007B7349"/>
    <w:rsid w:val="007B7AEE"/>
    <w:rsid w:val="007C0024"/>
    <w:rsid w:val="007C0102"/>
    <w:rsid w:val="007C1CFE"/>
    <w:rsid w:val="007C28AA"/>
    <w:rsid w:val="007C3187"/>
    <w:rsid w:val="007C38F7"/>
    <w:rsid w:val="007C3961"/>
    <w:rsid w:val="007C3DD4"/>
    <w:rsid w:val="007C4CE2"/>
    <w:rsid w:val="007C4FF5"/>
    <w:rsid w:val="007C599B"/>
    <w:rsid w:val="007C5C9F"/>
    <w:rsid w:val="007C62B6"/>
    <w:rsid w:val="007C6AA8"/>
    <w:rsid w:val="007C6BA6"/>
    <w:rsid w:val="007C7AC5"/>
    <w:rsid w:val="007D0E60"/>
    <w:rsid w:val="007D1773"/>
    <w:rsid w:val="007D2E75"/>
    <w:rsid w:val="007D3761"/>
    <w:rsid w:val="007D4185"/>
    <w:rsid w:val="007D42D7"/>
    <w:rsid w:val="007D431B"/>
    <w:rsid w:val="007D4FF6"/>
    <w:rsid w:val="007D549F"/>
    <w:rsid w:val="007D5738"/>
    <w:rsid w:val="007D5AEC"/>
    <w:rsid w:val="007D6A25"/>
    <w:rsid w:val="007E0110"/>
    <w:rsid w:val="007E148A"/>
    <w:rsid w:val="007E164D"/>
    <w:rsid w:val="007E1DAC"/>
    <w:rsid w:val="007E23BB"/>
    <w:rsid w:val="007E23BE"/>
    <w:rsid w:val="007E33F4"/>
    <w:rsid w:val="007E3901"/>
    <w:rsid w:val="007E415D"/>
    <w:rsid w:val="007E4A14"/>
    <w:rsid w:val="007E4C41"/>
    <w:rsid w:val="007E5BE7"/>
    <w:rsid w:val="007E5C6A"/>
    <w:rsid w:val="007E5C9C"/>
    <w:rsid w:val="007E5F4E"/>
    <w:rsid w:val="007E617B"/>
    <w:rsid w:val="007E6277"/>
    <w:rsid w:val="007E6293"/>
    <w:rsid w:val="007E6E8E"/>
    <w:rsid w:val="007E71AA"/>
    <w:rsid w:val="007E791B"/>
    <w:rsid w:val="007E7930"/>
    <w:rsid w:val="007E7FD0"/>
    <w:rsid w:val="007F0370"/>
    <w:rsid w:val="007F0CED"/>
    <w:rsid w:val="007F19EB"/>
    <w:rsid w:val="007F1E64"/>
    <w:rsid w:val="007F21D9"/>
    <w:rsid w:val="007F2205"/>
    <w:rsid w:val="007F25E1"/>
    <w:rsid w:val="007F2E50"/>
    <w:rsid w:val="007F3511"/>
    <w:rsid w:val="007F370F"/>
    <w:rsid w:val="007F4461"/>
    <w:rsid w:val="007F4954"/>
    <w:rsid w:val="007F57A5"/>
    <w:rsid w:val="007F581E"/>
    <w:rsid w:val="007F6A66"/>
    <w:rsid w:val="007F7216"/>
    <w:rsid w:val="007F787A"/>
    <w:rsid w:val="00800265"/>
    <w:rsid w:val="00800FDA"/>
    <w:rsid w:val="00801E5B"/>
    <w:rsid w:val="008023B2"/>
    <w:rsid w:val="008030F1"/>
    <w:rsid w:val="0080318C"/>
    <w:rsid w:val="00803FEC"/>
    <w:rsid w:val="0080423B"/>
    <w:rsid w:val="00804BDD"/>
    <w:rsid w:val="0080538F"/>
    <w:rsid w:val="008064C7"/>
    <w:rsid w:val="00806838"/>
    <w:rsid w:val="0080683E"/>
    <w:rsid w:val="00807B82"/>
    <w:rsid w:val="00807CC7"/>
    <w:rsid w:val="008114A1"/>
    <w:rsid w:val="00812294"/>
    <w:rsid w:val="00813121"/>
    <w:rsid w:val="00813685"/>
    <w:rsid w:val="00813FEC"/>
    <w:rsid w:val="00816E77"/>
    <w:rsid w:val="008170ED"/>
    <w:rsid w:val="008174A1"/>
    <w:rsid w:val="00817CC2"/>
    <w:rsid w:val="00820E17"/>
    <w:rsid w:val="00820F84"/>
    <w:rsid w:val="00821E0A"/>
    <w:rsid w:val="008224A4"/>
    <w:rsid w:val="00822E8C"/>
    <w:rsid w:val="008230F7"/>
    <w:rsid w:val="008233A4"/>
    <w:rsid w:val="0082372A"/>
    <w:rsid w:val="00823EB3"/>
    <w:rsid w:val="00824025"/>
    <w:rsid w:val="008243DB"/>
    <w:rsid w:val="00827043"/>
    <w:rsid w:val="00827C56"/>
    <w:rsid w:val="00830400"/>
    <w:rsid w:val="0083051D"/>
    <w:rsid w:val="0083098A"/>
    <w:rsid w:val="00831050"/>
    <w:rsid w:val="00831500"/>
    <w:rsid w:val="00831C28"/>
    <w:rsid w:val="00832B52"/>
    <w:rsid w:val="00833471"/>
    <w:rsid w:val="00834148"/>
    <w:rsid w:val="008341C2"/>
    <w:rsid w:val="00834D28"/>
    <w:rsid w:val="008358CA"/>
    <w:rsid w:val="008367BD"/>
    <w:rsid w:val="0083698D"/>
    <w:rsid w:val="00836AE5"/>
    <w:rsid w:val="00836ECD"/>
    <w:rsid w:val="008376FE"/>
    <w:rsid w:val="00840C37"/>
    <w:rsid w:val="00841316"/>
    <w:rsid w:val="00841CE7"/>
    <w:rsid w:val="00841F27"/>
    <w:rsid w:val="008423A4"/>
    <w:rsid w:val="00843926"/>
    <w:rsid w:val="00844FD2"/>
    <w:rsid w:val="0084583E"/>
    <w:rsid w:val="00845DAD"/>
    <w:rsid w:val="00846445"/>
    <w:rsid w:val="008465B7"/>
    <w:rsid w:val="008465EE"/>
    <w:rsid w:val="008466D2"/>
    <w:rsid w:val="00846D2A"/>
    <w:rsid w:val="00847B06"/>
    <w:rsid w:val="00847D59"/>
    <w:rsid w:val="00850137"/>
    <w:rsid w:val="008501DE"/>
    <w:rsid w:val="00850C44"/>
    <w:rsid w:val="0085138A"/>
    <w:rsid w:val="00851F7B"/>
    <w:rsid w:val="0085292F"/>
    <w:rsid w:val="00852973"/>
    <w:rsid w:val="00852E87"/>
    <w:rsid w:val="008532AC"/>
    <w:rsid w:val="0085388F"/>
    <w:rsid w:val="00854D78"/>
    <w:rsid w:val="0085502B"/>
    <w:rsid w:val="00855258"/>
    <w:rsid w:val="008554C3"/>
    <w:rsid w:val="00855E8C"/>
    <w:rsid w:val="00860195"/>
    <w:rsid w:val="00860219"/>
    <w:rsid w:val="008603DF"/>
    <w:rsid w:val="00860A23"/>
    <w:rsid w:val="0086269D"/>
    <w:rsid w:val="00862BB3"/>
    <w:rsid w:val="00863005"/>
    <w:rsid w:val="008631B7"/>
    <w:rsid w:val="008636DC"/>
    <w:rsid w:val="00863795"/>
    <w:rsid w:val="00865903"/>
    <w:rsid w:val="008662BE"/>
    <w:rsid w:val="008667B4"/>
    <w:rsid w:val="00867052"/>
    <w:rsid w:val="008675F0"/>
    <w:rsid w:val="0086772A"/>
    <w:rsid w:val="00867B1F"/>
    <w:rsid w:val="0087017B"/>
    <w:rsid w:val="008705B9"/>
    <w:rsid w:val="00870620"/>
    <w:rsid w:val="00870D1F"/>
    <w:rsid w:val="00870F98"/>
    <w:rsid w:val="00871728"/>
    <w:rsid w:val="0087174B"/>
    <w:rsid w:val="00871C67"/>
    <w:rsid w:val="00872DBE"/>
    <w:rsid w:val="008731CA"/>
    <w:rsid w:val="00873A44"/>
    <w:rsid w:val="00874E61"/>
    <w:rsid w:val="00874ED7"/>
    <w:rsid w:val="00876B4D"/>
    <w:rsid w:val="00876CAF"/>
    <w:rsid w:val="0087718B"/>
    <w:rsid w:val="00877629"/>
    <w:rsid w:val="008802C4"/>
    <w:rsid w:val="00880467"/>
    <w:rsid w:val="00880700"/>
    <w:rsid w:val="00880AC5"/>
    <w:rsid w:val="008811E2"/>
    <w:rsid w:val="00881281"/>
    <w:rsid w:val="008817A2"/>
    <w:rsid w:val="00881DC5"/>
    <w:rsid w:val="008829C5"/>
    <w:rsid w:val="008829CF"/>
    <w:rsid w:val="00883451"/>
    <w:rsid w:val="00883BA0"/>
    <w:rsid w:val="008841DA"/>
    <w:rsid w:val="008845AF"/>
    <w:rsid w:val="008847A7"/>
    <w:rsid w:val="008847B1"/>
    <w:rsid w:val="00884B97"/>
    <w:rsid w:val="00884E28"/>
    <w:rsid w:val="00885CF4"/>
    <w:rsid w:val="00886007"/>
    <w:rsid w:val="008864AF"/>
    <w:rsid w:val="00886A51"/>
    <w:rsid w:val="00886F23"/>
    <w:rsid w:val="0088702A"/>
    <w:rsid w:val="008908A9"/>
    <w:rsid w:val="00890D35"/>
    <w:rsid w:val="00891608"/>
    <w:rsid w:val="0089191F"/>
    <w:rsid w:val="00891C9C"/>
    <w:rsid w:val="008921EC"/>
    <w:rsid w:val="0089223B"/>
    <w:rsid w:val="008922CC"/>
    <w:rsid w:val="00892500"/>
    <w:rsid w:val="0089312A"/>
    <w:rsid w:val="00893148"/>
    <w:rsid w:val="00893631"/>
    <w:rsid w:val="00893C02"/>
    <w:rsid w:val="00894303"/>
    <w:rsid w:val="00894C2B"/>
    <w:rsid w:val="0089548F"/>
    <w:rsid w:val="008960BB"/>
    <w:rsid w:val="0089770B"/>
    <w:rsid w:val="00897C8D"/>
    <w:rsid w:val="00897D9C"/>
    <w:rsid w:val="008A00D5"/>
    <w:rsid w:val="008A0AE6"/>
    <w:rsid w:val="008A1464"/>
    <w:rsid w:val="008A1767"/>
    <w:rsid w:val="008A1E94"/>
    <w:rsid w:val="008A2BC3"/>
    <w:rsid w:val="008A3720"/>
    <w:rsid w:val="008A3FE9"/>
    <w:rsid w:val="008A45F2"/>
    <w:rsid w:val="008A6981"/>
    <w:rsid w:val="008A7D52"/>
    <w:rsid w:val="008B0379"/>
    <w:rsid w:val="008B09D1"/>
    <w:rsid w:val="008B1D92"/>
    <w:rsid w:val="008B217E"/>
    <w:rsid w:val="008B3226"/>
    <w:rsid w:val="008B330A"/>
    <w:rsid w:val="008B64F8"/>
    <w:rsid w:val="008B6668"/>
    <w:rsid w:val="008B7DC6"/>
    <w:rsid w:val="008C04C6"/>
    <w:rsid w:val="008C04E1"/>
    <w:rsid w:val="008C10E3"/>
    <w:rsid w:val="008C180B"/>
    <w:rsid w:val="008C21F9"/>
    <w:rsid w:val="008C2B6C"/>
    <w:rsid w:val="008C2D1F"/>
    <w:rsid w:val="008C3789"/>
    <w:rsid w:val="008C41D1"/>
    <w:rsid w:val="008C4BD0"/>
    <w:rsid w:val="008C560F"/>
    <w:rsid w:val="008C5987"/>
    <w:rsid w:val="008C6093"/>
    <w:rsid w:val="008C6396"/>
    <w:rsid w:val="008C66D2"/>
    <w:rsid w:val="008D1506"/>
    <w:rsid w:val="008D1707"/>
    <w:rsid w:val="008D1CFF"/>
    <w:rsid w:val="008D1DE5"/>
    <w:rsid w:val="008D1F85"/>
    <w:rsid w:val="008D235F"/>
    <w:rsid w:val="008D281A"/>
    <w:rsid w:val="008D291B"/>
    <w:rsid w:val="008D29A2"/>
    <w:rsid w:val="008D2CFA"/>
    <w:rsid w:val="008D36FB"/>
    <w:rsid w:val="008D3FB0"/>
    <w:rsid w:val="008D519B"/>
    <w:rsid w:val="008D619E"/>
    <w:rsid w:val="008D63CD"/>
    <w:rsid w:val="008D6ABC"/>
    <w:rsid w:val="008D73B2"/>
    <w:rsid w:val="008D7D5B"/>
    <w:rsid w:val="008E00B2"/>
    <w:rsid w:val="008E0536"/>
    <w:rsid w:val="008E17E3"/>
    <w:rsid w:val="008E21C6"/>
    <w:rsid w:val="008E2F17"/>
    <w:rsid w:val="008E3741"/>
    <w:rsid w:val="008E41B6"/>
    <w:rsid w:val="008E49A7"/>
    <w:rsid w:val="008E4D5E"/>
    <w:rsid w:val="008E4FD0"/>
    <w:rsid w:val="008E5548"/>
    <w:rsid w:val="008E5CC9"/>
    <w:rsid w:val="008E6937"/>
    <w:rsid w:val="008E7086"/>
    <w:rsid w:val="008E7164"/>
    <w:rsid w:val="008E7E7B"/>
    <w:rsid w:val="008F061D"/>
    <w:rsid w:val="008F0938"/>
    <w:rsid w:val="008F0D50"/>
    <w:rsid w:val="008F0FF6"/>
    <w:rsid w:val="008F2484"/>
    <w:rsid w:val="008F287A"/>
    <w:rsid w:val="008F2E25"/>
    <w:rsid w:val="008F3753"/>
    <w:rsid w:val="008F3983"/>
    <w:rsid w:val="008F3B25"/>
    <w:rsid w:val="008F5102"/>
    <w:rsid w:val="008F5817"/>
    <w:rsid w:val="008F61F8"/>
    <w:rsid w:val="0090091C"/>
    <w:rsid w:val="00901178"/>
    <w:rsid w:val="009017BC"/>
    <w:rsid w:val="00902A53"/>
    <w:rsid w:val="00902FFB"/>
    <w:rsid w:val="00903858"/>
    <w:rsid w:val="00903F9C"/>
    <w:rsid w:val="00904000"/>
    <w:rsid w:val="0090437B"/>
    <w:rsid w:val="00904FDD"/>
    <w:rsid w:val="00905041"/>
    <w:rsid w:val="00905A73"/>
    <w:rsid w:val="00905AD5"/>
    <w:rsid w:val="00905E39"/>
    <w:rsid w:val="009060B6"/>
    <w:rsid w:val="00906B6F"/>
    <w:rsid w:val="009077AB"/>
    <w:rsid w:val="00910B3F"/>
    <w:rsid w:val="00910DE6"/>
    <w:rsid w:val="00910FF2"/>
    <w:rsid w:val="009134E5"/>
    <w:rsid w:val="00914923"/>
    <w:rsid w:val="00915825"/>
    <w:rsid w:val="00915C01"/>
    <w:rsid w:val="00915D93"/>
    <w:rsid w:val="00916773"/>
    <w:rsid w:val="00916A41"/>
    <w:rsid w:val="00917930"/>
    <w:rsid w:val="00917DA9"/>
    <w:rsid w:val="00920025"/>
    <w:rsid w:val="009211D5"/>
    <w:rsid w:val="009216BB"/>
    <w:rsid w:val="00921C31"/>
    <w:rsid w:val="00921DB0"/>
    <w:rsid w:val="009220BC"/>
    <w:rsid w:val="00922120"/>
    <w:rsid w:val="00923183"/>
    <w:rsid w:val="00923513"/>
    <w:rsid w:val="00923907"/>
    <w:rsid w:val="00924CE5"/>
    <w:rsid w:val="00924E42"/>
    <w:rsid w:val="009261D2"/>
    <w:rsid w:val="00926786"/>
    <w:rsid w:val="00930633"/>
    <w:rsid w:val="009308DE"/>
    <w:rsid w:val="0093304B"/>
    <w:rsid w:val="00933135"/>
    <w:rsid w:val="00933B6F"/>
    <w:rsid w:val="009350C5"/>
    <w:rsid w:val="00935398"/>
    <w:rsid w:val="0093575F"/>
    <w:rsid w:val="00937C66"/>
    <w:rsid w:val="00937C6B"/>
    <w:rsid w:val="009403E0"/>
    <w:rsid w:val="00941912"/>
    <w:rsid w:val="0094207A"/>
    <w:rsid w:val="00943190"/>
    <w:rsid w:val="00943599"/>
    <w:rsid w:val="00943F08"/>
    <w:rsid w:val="00944165"/>
    <w:rsid w:val="009449BD"/>
    <w:rsid w:val="00944E06"/>
    <w:rsid w:val="009454CF"/>
    <w:rsid w:val="009467F8"/>
    <w:rsid w:val="009470DF"/>
    <w:rsid w:val="00950B00"/>
    <w:rsid w:val="00950DF3"/>
    <w:rsid w:val="009510F2"/>
    <w:rsid w:val="00951280"/>
    <w:rsid w:val="00951AE9"/>
    <w:rsid w:val="009520FC"/>
    <w:rsid w:val="00952135"/>
    <w:rsid w:val="009522E1"/>
    <w:rsid w:val="00953B34"/>
    <w:rsid w:val="0095500F"/>
    <w:rsid w:val="00955115"/>
    <w:rsid w:val="009557B8"/>
    <w:rsid w:val="0095585B"/>
    <w:rsid w:val="009559D5"/>
    <w:rsid w:val="00956B74"/>
    <w:rsid w:val="00956C9B"/>
    <w:rsid w:val="00957152"/>
    <w:rsid w:val="009575BD"/>
    <w:rsid w:val="00957672"/>
    <w:rsid w:val="00957A7C"/>
    <w:rsid w:val="00957F4D"/>
    <w:rsid w:val="00960E5F"/>
    <w:rsid w:val="00961B53"/>
    <w:rsid w:val="0096245E"/>
    <w:rsid w:val="00962FA4"/>
    <w:rsid w:val="0096393A"/>
    <w:rsid w:val="00963EF3"/>
    <w:rsid w:val="009644B2"/>
    <w:rsid w:val="0096466F"/>
    <w:rsid w:val="0096486E"/>
    <w:rsid w:val="00966404"/>
    <w:rsid w:val="00966BAD"/>
    <w:rsid w:val="00966C55"/>
    <w:rsid w:val="009674A7"/>
    <w:rsid w:val="00967996"/>
    <w:rsid w:val="00967B67"/>
    <w:rsid w:val="0097036C"/>
    <w:rsid w:val="0097037E"/>
    <w:rsid w:val="009704D6"/>
    <w:rsid w:val="009709C0"/>
    <w:rsid w:val="00971570"/>
    <w:rsid w:val="00972204"/>
    <w:rsid w:val="00972A1C"/>
    <w:rsid w:val="00972BB7"/>
    <w:rsid w:val="00973137"/>
    <w:rsid w:val="00973C0A"/>
    <w:rsid w:val="00973C3C"/>
    <w:rsid w:val="009740A6"/>
    <w:rsid w:val="009740F2"/>
    <w:rsid w:val="0097431E"/>
    <w:rsid w:val="00974F27"/>
    <w:rsid w:val="00975527"/>
    <w:rsid w:val="00975828"/>
    <w:rsid w:val="0097658B"/>
    <w:rsid w:val="00976E3D"/>
    <w:rsid w:val="00977123"/>
    <w:rsid w:val="00977189"/>
    <w:rsid w:val="00977881"/>
    <w:rsid w:val="009779B8"/>
    <w:rsid w:val="009807BF"/>
    <w:rsid w:val="00980DEC"/>
    <w:rsid w:val="009810A6"/>
    <w:rsid w:val="0098155A"/>
    <w:rsid w:val="00981805"/>
    <w:rsid w:val="00981901"/>
    <w:rsid w:val="00981C2A"/>
    <w:rsid w:val="00982349"/>
    <w:rsid w:val="00982B5A"/>
    <w:rsid w:val="00982CE7"/>
    <w:rsid w:val="00982ED6"/>
    <w:rsid w:val="00983075"/>
    <w:rsid w:val="00983AFA"/>
    <w:rsid w:val="00983BA2"/>
    <w:rsid w:val="00983CED"/>
    <w:rsid w:val="009842DD"/>
    <w:rsid w:val="00984406"/>
    <w:rsid w:val="009847CC"/>
    <w:rsid w:val="00984841"/>
    <w:rsid w:val="009850A8"/>
    <w:rsid w:val="009852F3"/>
    <w:rsid w:val="00986C89"/>
    <w:rsid w:val="00986D1F"/>
    <w:rsid w:val="009878F9"/>
    <w:rsid w:val="00987A83"/>
    <w:rsid w:val="0099028C"/>
    <w:rsid w:val="0099046F"/>
    <w:rsid w:val="0099068E"/>
    <w:rsid w:val="009908BB"/>
    <w:rsid w:val="00990A26"/>
    <w:rsid w:val="00990F18"/>
    <w:rsid w:val="00991265"/>
    <w:rsid w:val="0099149E"/>
    <w:rsid w:val="00991798"/>
    <w:rsid w:val="00991A9C"/>
    <w:rsid w:val="00991F83"/>
    <w:rsid w:val="009925AF"/>
    <w:rsid w:val="00993A40"/>
    <w:rsid w:val="00994F21"/>
    <w:rsid w:val="009957D5"/>
    <w:rsid w:val="009961CC"/>
    <w:rsid w:val="009964F8"/>
    <w:rsid w:val="00996AA2"/>
    <w:rsid w:val="009A0CA6"/>
    <w:rsid w:val="009A128D"/>
    <w:rsid w:val="009A1E9B"/>
    <w:rsid w:val="009A2066"/>
    <w:rsid w:val="009A22A4"/>
    <w:rsid w:val="009A2D72"/>
    <w:rsid w:val="009A2EF7"/>
    <w:rsid w:val="009A32AD"/>
    <w:rsid w:val="009A3584"/>
    <w:rsid w:val="009A4496"/>
    <w:rsid w:val="009A4B34"/>
    <w:rsid w:val="009A4EAC"/>
    <w:rsid w:val="009A514C"/>
    <w:rsid w:val="009A51FE"/>
    <w:rsid w:val="009A5CDA"/>
    <w:rsid w:val="009A6C07"/>
    <w:rsid w:val="009A6F98"/>
    <w:rsid w:val="009A6FFF"/>
    <w:rsid w:val="009A7523"/>
    <w:rsid w:val="009A7881"/>
    <w:rsid w:val="009B00EC"/>
    <w:rsid w:val="009B09A5"/>
    <w:rsid w:val="009B19DB"/>
    <w:rsid w:val="009B3A8E"/>
    <w:rsid w:val="009B3B95"/>
    <w:rsid w:val="009B3CA0"/>
    <w:rsid w:val="009B45CC"/>
    <w:rsid w:val="009B4C77"/>
    <w:rsid w:val="009B5889"/>
    <w:rsid w:val="009B67B1"/>
    <w:rsid w:val="009B68D6"/>
    <w:rsid w:val="009B70F6"/>
    <w:rsid w:val="009B7A07"/>
    <w:rsid w:val="009C05A8"/>
    <w:rsid w:val="009C07B2"/>
    <w:rsid w:val="009C087A"/>
    <w:rsid w:val="009C19B5"/>
    <w:rsid w:val="009C1C53"/>
    <w:rsid w:val="009C1E2D"/>
    <w:rsid w:val="009C20E3"/>
    <w:rsid w:val="009C27C8"/>
    <w:rsid w:val="009C2ED8"/>
    <w:rsid w:val="009C4061"/>
    <w:rsid w:val="009C43C0"/>
    <w:rsid w:val="009C485F"/>
    <w:rsid w:val="009C4DA4"/>
    <w:rsid w:val="009C505D"/>
    <w:rsid w:val="009C52E9"/>
    <w:rsid w:val="009C59CE"/>
    <w:rsid w:val="009C5B60"/>
    <w:rsid w:val="009C5BA1"/>
    <w:rsid w:val="009C5E3F"/>
    <w:rsid w:val="009C5F2D"/>
    <w:rsid w:val="009C6615"/>
    <w:rsid w:val="009C6C59"/>
    <w:rsid w:val="009C70D1"/>
    <w:rsid w:val="009C769C"/>
    <w:rsid w:val="009C7973"/>
    <w:rsid w:val="009C7DAB"/>
    <w:rsid w:val="009D0309"/>
    <w:rsid w:val="009D069D"/>
    <w:rsid w:val="009D083B"/>
    <w:rsid w:val="009D1355"/>
    <w:rsid w:val="009D1998"/>
    <w:rsid w:val="009D2111"/>
    <w:rsid w:val="009D224C"/>
    <w:rsid w:val="009D2B71"/>
    <w:rsid w:val="009D37A8"/>
    <w:rsid w:val="009D3D6E"/>
    <w:rsid w:val="009D42E0"/>
    <w:rsid w:val="009D52BC"/>
    <w:rsid w:val="009D68D3"/>
    <w:rsid w:val="009D6EF8"/>
    <w:rsid w:val="009D74EA"/>
    <w:rsid w:val="009D7C0F"/>
    <w:rsid w:val="009E016B"/>
    <w:rsid w:val="009E03FD"/>
    <w:rsid w:val="009E066A"/>
    <w:rsid w:val="009E0D6B"/>
    <w:rsid w:val="009E0E4A"/>
    <w:rsid w:val="009E0F73"/>
    <w:rsid w:val="009E107D"/>
    <w:rsid w:val="009E15C4"/>
    <w:rsid w:val="009E178B"/>
    <w:rsid w:val="009E2325"/>
    <w:rsid w:val="009E2E4E"/>
    <w:rsid w:val="009E2F19"/>
    <w:rsid w:val="009E3067"/>
    <w:rsid w:val="009E372D"/>
    <w:rsid w:val="009E495C"/>
    <w:rsid w:val="009E50B3"/>
    <w:rsid w:val="009E5678"/>
    <w:rsid w:val="009E5838"/>
    <w:rsid w:val="009E707E"/>
    <w:rsid w:val="009E799A"/>
    <w:rsid w:val="009E7AB7"/>
    <w:rsid w:val="009E7FCA"/>
    <w:rsid w:val="009F1252"/>
    <w:rsid w:val="009F2B38"/>
    <w:rsid w:val="009F35C8"/>
    <w:rsid w:val="009F3E43"/>
    <w:rsid w:val="009F4EE7"/>
    <w:rsid w:val="009F5FAB"/>
    <w:rsid w:val="009F62F0"/>
    <w:rsid w:val="009F68C0"/>
    <w:rsid w:val="009F6F04"/>
    <w:rsid w:val="009F6F8C"/>
    <w:rsid w:val="009F7805"/>
    <w:rsid w:val="009F7884"/>
    <w:rsid w:val="00A0001F"/>
    <w:rsid w:val="00A000C5"/>
    <w:rsid w:val="00A0080A"/>
    <w:rsid w:val="00A0089A"/>
    <w:rsid w:val="00A012B0"/>
    <w:rsid w:val="00A01550"/>
    <w:rsid w:val="00A0203F"/>
    <w:rsid w:val="00A021D9"/>
    <w:rsid w:val="00A029EC"/>
    <w:rsid w:val="00A02BA5"/>
    <w:rsid w:val="00A03216"/>
    <w:rsid w:val="00A033B7"/>
    <w:rsid w:val="00A03852"/>
    <w:rsid w:val="00A04141"/>
    <w:rsid w:val="00A04375"/>
    <w:rsid w:val="00A04F34"/>
    <w:rsid w:val="00A06171"/>
    <w:rsid w:val="00A061E6"/>
    <w:rsid w:val="00A06256"/>
    <w:rsid w:val="00A062BF"/>
    <w:rsid w:val="00A1097D"/>
    <w:rsid w:val="00A10FBB"/>
    <w:rsid w:val="00A11A2F"/>
    <w:rsid w:val="00A11FED"/>
    <w:rsid w:val="00A12D97"/>
    <w:rsid w:val="00A13407"/>
    <w:rsid w:val="00A13752"/>
    <w:rsid w:val="00A13794"/>
    <w:rsid w:val="00A13916"/>
    <w:rsid w:val="00A1410E"/>
    <w:rsid w:val="00A1414F"/>
    <w:rsid w:val="00A14322"/>
    <w:rsid w:val="00A1435E"/>
    <w:rsid w:val="00A157B2"/>
    <w:rsid w:val="00A15BA3"/>
    <w:rsid w:val="00A1609F"/>
    <w:rsid w:val="00A160FC"/>
    <w:rsid w:val="00A16D09"/>
    <w:rsid w:val="00A17BF5"/>
    <w:rsid w:val="00A17C7F"/>
    <w:rsid w:val="00A17DA9"/>
    <w:rsid w:val="00A200B9"/>
    <w:rsid w:val="00A2017C"/>
    <w:rsid w:val="00A2062F"/>
    <w:rsid w:val="00A209EE"/>
    <w:rsid w:val="00A20CF5"/>
    <w:rsid w:val="00A21629"/>
    <w:rsid w:val="00A2173C"/>
    <w:rsid w:val="00A21E90"/>
    <w:rsid w:val="00A223E7"/>
    <w:rsid w:val="00A225CE"/>
    <w:rsid w:val="00A235D5"/>
    <w:rsid w:val="00A24297"/>
    <w:rsid w:val="00A24472"/>
    <w:rsid w:val="00A250D6"/>
    <w:rsid w:val="00A254F3"/>
    <w:rsid w:val="00A2621C"/>
    <w:rsid w:val="00A27307"/>
    <w:rsid w:val="00A27AB0"/>
    <w:rsid w:val="00A319C7"/>
    <w:rsid w:val="00A31C6C"/>
    <w:rsid w:val="00A31F4A"/>
    <w:rsid w:val="00A3295F"/>
    <w:rsid w:val="00A33393"/>
    <w:rsid w:val="00A346AD"/>
    <w:rsid w:val="00A34D65"/>
    <w:rsid w:val="00A355F6"/>
    <w:rsid w:val="00A35D70"/>
    <w:rsid w:val="00A3688C"/>
    <w:rsid w:val="00A36D30"/>
    <w:rsid w:val="00A3782A"/>
    <w:rsid w:val="00A37BDD"/>
    <w:rsid w:val="00A40BE7"/>
    <w:rsid w:val="00A4268F"/>
    <w:rsid w:val="00A42982"/>
    <w:rsid w:val="00A42B52"/>
    <w:rsid w:val="00A44003"/>
    <w:rsid w:val="00A4434D"/>
    <w:rsid w:val="00A44401"/>
    <w:rsid w:val="00A4452D"/>
    <w:rsid w:val="00A44DAE"/>
    <w:rsid w:val="00A450B5"/>
    <w:rsid w:val="00A463C6"/>
    <w:rsid w:val="00A46431"/>
    <w:rsid w:val="00A464A2"/>
    <w:rsid w:val="00A479B2"/>
    <w:rsid w:val="00A5013B"/>
    <w:rsid w:val="00A509BC"/>
    <w:rsid w:val="00A512F3"/>
    <w:rsid w:val="00A514C7"/>
    <w:rsid w:val="00A5159D"/>
    <w:rsid w:val="00A51B7E"/>
    <w:rsid w:val="00A51F3E"/>
    <w:rsid w:val="00A52845"/>
    <w:rsid w:val="00A5311C"/>
    <w:rsid w:val="00A5346E"/>
    <w:rsid w:val="00A53497"/>
    <w:rsid w:val="00A53AFB"/>
    <w:rsid w:val="00A53E23"/>
    <w:rsid w:val="00A54246"/>
    <w:rsid w:val="00A543E0"/>
    <w:rsid w:val="00A54586"/>
    <w:rsid w:val="00A547B7"/>
    <w:rsid w:val="00A54B22"/>
    <w:rsid w:val="00A55F1E"/>
    <w:rsid w:val="00A569CA"/>
    <w:rsid w:val="00A56C60"/>
    <w:rsid w:val="00A56D40"/>
    <w:rsid w:val="00A57382"/>
    <w:rsid w:val="00A57625"/>
    <w:rsid w:val="00A602E1"/>
    <w:rsid w:val="00A6055B"/>
    <w:rsid w:val="00A605F3"/>
    <w:rsid w:val="00A61300"/>
    <w:rsid w:val="00A61DEC"/>
    <w:rsid w:val="00A620C7"/>
    <w:rsid w:val="00A625B5"/>
    <w:rsid w:val="00A62BBB"/>
    <w:rsid w:val="00A62BD8"/>
    <w:rsid w:val="00A62DA8"/>
    <w:rsid w:val="00A63136"/>
    <w:rsid w:val="00A63B9F"/>
    <w:rsid w:val="00A63C87"/>
    <w:rsid w:val="00A640F5"/>
    <w:rsid w:val="00A6514C"/>
    <w:rsid w:val="00A65423"/>
    <w:rsid w:val="00A65E1D"/>
    <w:rsid w:val="00A662DD"/>
    <w:rsid w:val="00A6652B"/>
    <w:rsid w:val="00A66BF7"/>
    <w:rsid w:val="00A66E08"/>
    <w:rsid w:val="00A66FD1"/>
    <w:rsid w:val="00A67CD0"/>
    <w:rsid w:val="00A7129F"/>
    <w:rsid w:val="00A71831"/>
    <w:rsid w:val="00A72102"/>
    <w:rsid w:val="00A7213C"/>
    <w:rsid w:val="00A725B4"/>
    <w:rsid w:val="00A72AB7"/>
    <w:rsid w:val="00A72CC2"/>
    <w:rsid w:val="00A72E82"/>
    <w:rsid w:val="00A736ED"/>
    <w:rsid w:val="00A7380A"/>
    <w:rsid w:val="00A73B72"/>
    <w:rsid w:val="00A74E88"/>
    <w:rsid w:val="00A75578"/>
    <w:rsid w:val="00A75C97"/>
    <w:rsid w:val="00A778EB"/>
    <w:rsid w:val="00A77C1B"/>
    <w:rsid w:val="00A818DF"/>
    <w:rsid w:val="00A8218D"/>
    <w:rsid w:val="00A82472"/>
    <w:rsid w:val="00A8262B"/>
    <w:rsid w:val="00A829F1"/>
    <w:rsid w:val="00A82F4C"/>
    <w:rsid w:val="00A83E20"/>
    <w:rsid w:val="00A851EC"/>
    <w:rsid w:val="00A86373"/>
    <w:rsid w:val="00A86958"/>
    <w:rsid w:val="00A87888"/>
    <w:rsid w:val="00A878F0"/>
    <w:rsid w:val="00A87DFD"/>
    <w:rsid w:val="00A903A3"/>
    <w:rsid w:val="00A9048D"/>
    <w:rsid w:val="00A90794"/>
    <w:rsid w:val="00A90B58"/>
    <w:rsid w:val="00A90D51"/>
    <w:rsid w:val="00A917FC"/>
    <w:rsid w:val="00A91930"/>
    <w:rsid w:val="00A91B38"/>
    <w:rsid w:val="00A92807"/>
    <w:rsid w:val="00A9306B"/>
    <w:rsid w:val="00A937CB"/>
    <w:rsid w:val="00A93D30"/>
    <w:rsid w:val="00A942E3"/>
    <w:rsid w:val="00A943DA"/>
    <w:rsid w:val="00A954DC"/>
    <w:rsid w:val="00A95549"/>
    <w:rsid w:val="00A95789"/>
    <w:rsid w:val="00A9690C"/>
    <w:rsid w:val="00AA0B31"/>
    <w:rsid w:val="00AA0CE7"/>
    <w:rsid w:val="00AA1083"/>
    <w:rsid w:val="00AA2888"/>
    <w:rsid w:val="00AA37DD"/>
    <w:rsid w:val="00AA3BA5"/>
    <w:rsid w:val="00AA3CD9"/>
    <w:rsid w:val="00AA4161"/>
    <w:rsid w:val="00AA4585"/>
    <w:rsid w:val="00AA46A7"/>
    <w:rsid w:val="00AA491D"/>
    <w:rsid w:val="00AA4F35"/>
    <w:rsid w:val="00AA5204"/>
    <w:rsid w:val="00AA53B8"/>
    <w:rsid w:val="00AA5582"/>
    <w:rsid w:val="00AA5AD7"/>
    <w:rsid w:val="00AA6D46"/>
    <w:rsid w:val="00AA6D8B"/>
    <w:rsid w:val="00AA75EF"/>
    <w:rsid w:val="00AA7797"/>
    <w:rsid w:val="00AB06A7"/>
    <w:rsid w:val="00AB09D4"/>
    <w:rsid w:val="00AB0B46"/>
    <w:rsid w:val="00AB10EE"/>
    <w:rsid w:val="00AB1469"/>
    <w:rsid w:val="00AB16E8"/>
    <w:rsid w:val="00AB264F"/>
    <w:rsid w:val="00AB2C90"/>
    <w:rsid w:val="00AB3479"/>
    <w:rsid w:val="00AB38A0"/>
    <w:rsid w:val="00AB3ACF"/>
    <w:rsid w:val="00AB4306"/>
    <w:rsid w:val="00AB4F6A"/>
    <w:rsid w:val="00AB544C"/>
    <w:rsid w:val="00AB57E5"/>
    <w:rsid w:val="00AB7192"/>
    <w:rsid w:val="00AB742D"/>
    <w:rsid w:val="00AB7CE1"/>
    <w:rsid w:val="00AC0648"/>
    <w:rsid w:val="00AC08E3"/>
    <w:rsid w:val="00AC0B50"/>
    <w:rsid w:val="00AC0DC4"/>
    <w:rsid w:val="00AC0E88"/>
    <w:rsid w:val="00AC0ECF"/>
    <w:rsid w:val="00AC1A34"/>
    <w:rsid w:val="00AC2195"/>
    <w:rsid w:val="00AC2424"/>
    <w:rsid w:val="00AC2DBE"/>
    <w:rsid w:val="00AC316C"/>
    <w:rsid w:val="00AC32D1"/>
    <w:rsid w:val="00AC358F"/>
    <w:rsid w:val="00AC494C"/>
    <w:rsid w:val="00AC4A41"/>
    <w:rsid w:val="00AC52F7"/>
    <w:rsid w:val="00AC713C"/>
    <w:rsid w:val="00AC7403"/>
    <w:rsid w:val="00AC7CFC"/>
    <w:rsid w:val="00AD2158"/>
    <w:rsid w:val="00AD3361"/>
    <w:rsid w:val="00AD45F5"/>
    <w:rsid w:val="00AD6590"/>
    <w:rsid w:val="00AD6791"/>
    <w:rsid w:val="00AD6BC2"/>
    <w:rsid w:val="00AD7540"/>
    <w:rsid w:val="00AD7703"/>
    <w:rsid w:val="00AD7DB1"/>
    <w:rsid w:val="00AE072F"/>
    <w:rsid w:val="00AE0913"/>
    <w:rsid w:val="00AE110D"/>
    <w:rsid w:val="00AE16F7"/>
    <w:rsid w:val="00AE19D1"/>
    <w:rsid w:val="00AE1DF9"/>
    <w:rsid w:val="00AE241F"/>
    <w:rsid w:val="00AE2C52"/>
    <w:rsid w:val="00AE31BA"/>
    <w:rsid w:val="00AE4C66"/>
    <w:rsid w:val="00AE5ED7"/>
    <w:rsid w:val="00AE6764"/>
    <w:rsid w:val="00AE74AF"/>
    <w:rsid w:val="00AF0A0E"/>
    <w:rsid w:val="00AF0F1E"/>
    <w:rsid w:val="00AF11F5"/>
    <w:rsid w:val="00AF12DA"/>
    <w:rsid w:val="00AF184F"/>
    <w:rsid w:val="00AF1911"/>
    <w:rsid w:val="00AF2D95"/>
    <w:rsid w:val="00AF3A46"/>
    <w:rsid w:val="00AF5F78"/>
    <w:rsid w:val="00AF62E9"/>
    <w:rsid w:val="00AF6B47"/>
    <w:rsid w:val="00AF6E60"/>
    <w:rsid w:val="00AF79B3"/>
    <w:rsid w:val="00B00369"/>
    <w:rsid w:val="00B00CDE"/>
    <w:rsid w:val="00B01644"/>
    <w:rsid w:val="00B01816"/>
    <w:rsid w:val="00B024D4"/>
    <w:rsid w:val="00B02F39"/>
    <w:rsid w:val="00B032C5"/>
    <w:rsid w:val="00B036C9"/>
    <w:rsid w:val="00B037EF"/>
    <w:rsid w:val="00B03F5A"/>
    <w:rsid w:val="00B05EBB"/>
    <w:rsid w:val="00B07076"/>
    <w:rsid w:val="00B07B64"/>
    <w:rsid w:val="00B11699"/>
    <w:rsid w:val="00B117BA"/>
    <w:rsid w:val="00B11D7D"/>
    <w:rsid w:val="00B13823"/>
    <w:rsid w:val="00B13ED6"/>
    <w:rsid w:val="00B13F27"/>
    <w:rsid w:val="00B14684"/>
    <w:rsid w:val="00B1471A"/>
    <w:rsid w:val="00B15075"/>
    <w:rsid w:val="00B1512A"/>
    <w:rsid w:val="00B158CF"/>
    <w:rsid w:val="00B15E6F"/>
    <w:rsid w:val="00B168BB"/>
    <w:rsid w:val="00B1757C"/>
    <w:rsid w:val="00B17784"/>
    <w:rsid w:val="00B2045D"/>
    <w:rsid w:val="00B2046B"/>
    <w:rsid w:val="00B21751"/>
    <w:rsid w:val="00B21EC4"/>
    <w:rsid w:val="00B22031"/>
    <w:rsid w:val="00B220B1"/>
    <w:rsid w:val="00B22C6B"/>
    <w:rsid w:val="00B231A2"/>
    <w:rsid w:val="00B23424"/>
    <w:rsid w:val="00B23C16"/>
    <w:rsid w:val="00B23E99"/>
    <w:rsid w:val="00B244DA"/>
    <w:rsid w:val="00B2463A"/>
    <w:rsid w:val="00B246E1"/>
    <w:rsid w:val="00B2489D"/>
    <w:rsid w:val="00B24D60"/>
    <w:rsid w:val="00B25DFD"/>
    <w:rsid w:val="00B308C4"/>
    <w:rsid w:val="00B313D4"/>
    <w:rsid w:val="00B3186E"/>
    <w:rsid w:val="00B318C5"/>
    <w:rsid w:val="00B31BCF"/>
    <w:rsid w:val="00B321AD"/>
    <w:rsid w:val="00B33778"/>
    <w:rsid w:val="00B3377A"/>
    <w:rsid w:val="00B3402B"/>
    <w:rsid w:val="00B34997"/>
    <w:rsid w:val="00B35B51"/>
    <w:rsid w:val="00B35BA2"/>
    <w:rsid w:val="00B35DD0"/>
    <w:rsid w:val="00B35FD1"/>
    <w:rsid w:val="00B36387"/>
    <w:rsid w:val="00B4025F"/>
    <w:rsid w:val="00B40B51"/>
    <w:rsid w:val="00B41EFC"/>
    <w:rsid w:val="00B423E1"/>
    <w:rsid w:val="00B42D39"/>
    <w:rsid w:val="00B4321E"/>
    <w:rsid w:val="00B43416"/>
    <w:rsid w:val="00B43E2E"/>
    <w:rsid w:val="00B44F58"/>
    <w:rsid w:val="00B4556A"/>
    <w:rsid w:val="00B460EF"/>
    <w:rsid w:val="00B46368"/>
    <w:rsid w:val="00B46615"/>
    <w:rsid w:val="00B46CFA"/>
    <w:rsid w:val="00B46D4B"/>
    <w:rsid w:val="00B475E8"/>
    <w:rsid w:val="00B47DB4"/>
    <w:rsid w:val="00B501E7"/>
    <w:rsid w:val="00B50DD5"/>
    <w:rsid w:val="00B516F7"/>
    <w:rsid w:val="00B51D98"/>
    <w:rsid w:val="00B52974"/>
    <w:rsid w:val="00B5297C"/>
    <w:rsid w:val="00B53381"/>
    <w:rsid w:val="00B537FA"/>
    <w:rsid w:val="00B546F8"/>
    <w:rsid w:val="00B54DB6"/>
    <w:rsid w:val="00B558E6"/>
    <w:rsid w:val="00B55F0C"/>
    <w:rsid w:val="00B55F4C"/>
    <w:rsid w:val="00B560B0"/>
    <w:rsid w:val="00B57E2C"/>
    <w:rsid w:val="00B57EA6"/>
    <w:rsid w:val="00B61A8D"/>
    <w:rsid w:val="00B61BB8"/>
    <w:rsid w:val="00B61CE7"/>
    <w:rsid w:val="00B62B9A"/>
    <w:rsid w:val="00B6403F"/>
    <w:rsid w:val="00B640E4"/>
    <w:rsid w:val="00B643CD"/>
    <w:rsid w:val="00B64488"/>
    <w:rsid w:val="00B651FC"/>
    <w:rsid w:val="00B655CA"/>
    <w:rsid w:val="00B6578C"/>
    <w:rsid w:val="00B65E1E"/>
    <w:rsid w:val="00B6669E"/>
    <w:rsid w:val="00B66B80"/>
    <w:rsid w:val="00B67D5E"/>
    <w:rsid w:val="00B70134"/>
    <w:rsid w:val="00B7062D"/>
    <w:rsid w:val="00B7075F"/>
    <w:rsid w:val="00B70DFE"/>
    <w:rsid w:val="00B71879"/>
    <w:rsid w:val="00B72309"/>
    <w:rsid w:val="00B732C4"/>
    <w:rsid w:val="00B73A37"/>
    <w:rsid w:val="00B73C48"/>
    <w:rsid w:val="00B7408D"/>
    <w:rsid w:val="00B7414C"/>
    <w:rsid w:val="00B74DC2"/>
    <w:rsid w:val="00B75478"/>
    <w:rsid w:val="00B75B8A"/>
    <w:rsid w:val="00B75CD3"/>
    <w:rsid w:val="00B76E7F"/>
    <w:rsid w:val="00B77834"/>
    <w:rsid w:val="00B77AF1"/>
    <w:rsid w:val="00B77C27"/>
    <w:rsid w:val="00B804FA"/>
    <w:rsid w:val="00B807C0"/>
    <w:rsid w:val="00B8086B"/>
    <w:rsid w:val="00B80D33"/>
    <w:rsid w:val="00B82474"/>
    <w:rsid w:val="00B833B7"/>
    <w:rsid w:val="00B8451E"/>
    <w:rsid w:val="00B848A7"/>
    <w:rsid w:val="00B84DC3"/>
    <w:rsid w:val="00B85675"/>
    <w:rsid w:val="00B86532"/>
    <w:rsid w:val="00B86596"/>
    <w:rsid w:val="00B87680"/>
    <w:rsid w:val="00B87823"/>
    <w:rsid w:val="00B87B79"/>
    <w:rsid w:val="00B87CD8"/>
    <w:rsid w:val="00B90A68"/>
    <w:rsid w:val="00B90D0F"/>
    <w:rsid w:val="00B9141F"/>
    <w:rsid w:val="00B916BD"/>
    <w:rsid w:val="00B9181A"/>
    <w:rsid w:val="00B92967"/>
    <w:rsid w:val="00B93183"/>
    <w:rsid w:val="00B9350D"/>
    <w:rsid w:val="00B93796"/>
    <w:rsid w:val="00B9437E"/>
    <w:rsid w:val="00B943BE"/>
    <w:rsid w:val="00B9483E"/>
    <w:rsid w:val="00B94F25"/>
    <w:rsid w:val="00B9514D"/>
    <w:rsid w:val="00B96270"/>
    <w:rsid w:val="00B9749F"/>
    <w:rsid w:val="00B97610"/>
    <w:rsid w:val="00B979B9"/>
    <w:rsid w:val="00B97D11"/>
    <w:rsid w:val="00B97F13"/>
    <w:rsid w:val="00BA19BF"/>
    <w:rsid w:val="00BA2BED"/>
    <w:rsid w:val="00BA2F30"/>
    <w:rsid w:val="00BA3204"/>
    <w:rsid w:val="00BA389D"/>
    <w:rsid w:val="00BA3A49"/>
    <w:rsid w:val="00BA4C12"/>
    <w:rsid w:val="00BA6070"/>
    <w:rsid w:val="00BA60BC"/>
    <w:rsid w:val="00BA6245"/>
    <w:rsid w:val="00BA634A"/>
    <w:rsid w:val="00BA6AC3"/>
    <w:rsid w:val="00BA720C"/>
    <w:rsid w:val="00BA7753"/>
    <w:rsid w:val="00BB069B"/>
    <w:rsid w:val="00BB07DC"/>
    <w:rsid w:val="00BB1109"/>
    <w:rsid w:val="00BB137D"/>
    <w:rsid w:val="00BB1817"/>
    <w:rsid w:val="00BB197B"/>
    <w:rsid w:val="00BB1CEF"/>
    <w:rsid w:val="00BB2009"/>
    <w:rsid w:val="00BB2333"/>
    <w:rsid w:val="00BB2995"/>
    <w:rsid w:val="00BB31FE"/>
    <w:rsid w:val="00BB3238"/>
    <w:rsid w:val="00BB34BC"/>
    <w:rsid w:val="00BB39B3"/>
    <w:rsid w:val="00BB3A0F"/>
    <w:rsid w:val="00BB3A77"/>
    <w:rsid w:val="00BB3D5B"/>
    <w:rsid w:val="00BB4136"/>
    <w:rsid w:val="00BB4E5F"/>
    <w:rsid w:val="00BB549B"/>
    <w:rsid w:val="00BB5661"/>
    <w:rsid w:val="00BB5752"/>
    <w:rsid w:val="00BB6465"/>
    <w:rsid w:val="00BB6541"/>
    <w:rsid w:val="00BB71D0"/>
    <w:rsid w:val="00BC0024"/>
    <w:rsid w:val="00BC06D2"/>
    <w:rsid w:val="00BC0C41"/>
    <w:rsid w:val="00BC124F"/>
    <w:rsid w:val="00BC137F"/>
    <w:rsid w:val="00BC1E05"/>
    <w:rsid w:val="00BC31B4"/>
    <w:rsid w:val="00BC3BE0"/>
    <w:rsid w:val="00BC519B"/>
    <w:rsid w:val="00BC634E"/>
    <w:rsid w:val="00BC640A"/>
    <w:rsid w:val="00BC6E30"/>
    <w:rsid w:val="00BC6F8B"/>
    <w:rsid w:val="00BC6FA0"/>
    <w:rsid w:val="00BC7847"/>
    <w:rsid w:val="00BD0233"/>
    <w:rsid w:val="00BD0600"/>
    <w:rsid w:val="00BD0EA6"/>
    <w:rsid w:val="00BD211C"/>
    <w:rsid w:val="00BD2703"/>
    <w:rsid w:val="00BD2922"/>
    <w:rsid w:val="00BD2CA9"/>
    <w:rsid w:val="00BD33E7"/>
    <w:rsid w:val="00BD35F8"/>
    <w:rsid w:val="00BD3A67"/>
    <w:rsid w:val="00BD574D"/>
    <w:rsid w:val="00BD612F"/>
    <w:rsid w:val="00BD637F"/>
    <w:rsid w:val="00BD7C43"/>
    <w:rsid w:val="00BE0816"/>
    <w:rsid w:val="00BE0E90"/>
    <w:rsid w:val="00BE15FA"/>
    <w:rsid w:val="00BE1649"/>
    <w:rsid w:val="00BE18A3"/>
    <w:rsid w:val="00BE190C"/>
    <w:rsid w:val="00BE2331"/>
    <w:rsid w:val="00BE29A6"/>
    <w:rsid w:val="00BE2E31"/>
    <w:rsid w:val="00BE3019"/>
    <w:rsid w:val="00BE3D22"/>
    <w:rsid w:val="00BE47A2"/>
    <w:rsid w:val="00BE4944"/>
    <w:rsid w:val="00BE5FC4"/>
    <w:rsid w:val="00BE6BA6"/>
    <w:rsid w:val="00BE757D"/>
    <w:rsid w:val="00BE7800"/>
    <w:rsid w:val="00BF0B10"/>
    <w:rsid w:val="00BF19C4"/>
    <w:rsid w:val="00BF2734"/>
    <w:rsid w:val="00BF2B26"/>
    <w:rsid w:val="00BF2B65"/>
    <w:rsid w:val="00BF377B"/>
    <w:rsid w:val="00BF393D"/>
    <w:rsid w:val="00BF3978"/>
    <w:rsid w:val="00BF3B3B"/>
    <w:rsid w:val="00BF3ECC"/>
    <w:rsid w:val="00BF41B3"/>
    <w:rsid w:val="00BF454D"/>
    <w:rsid w:val="00BF4867"/>
    <w:rsid w:val="00BF553E"/>
    <w:rsid w:val="00BF5B0F"/>
    <w:rsid w:val="00BF6339"/>
    <w:rsid w:val="00BF66DA"/>
    <w:rsid w:val="00BF6BE8"/>
    <w:rsid w:val="00BF7074"/>
    <w:rsid w:val="00BF7318"/>
    <w:rsid w:val="00BF7441"/>
    <w:rsid w:val="00BF7C43"/>
    <w:rsid w:val="00BF7DA9"/>
    <w:rsid w:val="00C00194"/>
    <w:rsid w:val="00C0031E"/>
    <w:rsid w:val="00C006F4"/>
    <w:rsid w:val="00C00AE6"/>
    <w:rsid w:val="00C00C3E"/>
    <w:rsid w:val="00C00DE8"/>
    <w:rsid w:val="00C01E96"/>
    <w:rsid w:val="00C01ED4"/>
    <w:rsid w:val="00C026E6"/>
    <w:rsid w:val="00C027BC"/>
    <w:rsid w:val="00C02FFF"/>
    <w:rsid w:val="00C0356E"/>
    <w:rsid w:val="00C0444F"/>
    <w:rsid w:val="00C04D84"/>
    <w:rsid w:val="00C065C7"/>
    <w:rsid w:val="00C0670D"/>
    <w:rsid w:val="00C07043"/>
    <w:rsid w:val="00C0782E"/>
    <w:rsid w:val="00C10769"/>
    <w:rsid w:val="00C107A2"/>
    <w:rsid w:val="00C10A6D"/>
    <w:rsid w:val="00C11D99"/>
    <w:rsid w:val="00C12618"/>
    <w:rsid w:val="00C13ACE"/>
    <w:rsid w:val="00C13C6A"/>
    <w:rsid w:val="00C13EE5"/>
    <w:rsid w:val="00C14522"/>
    <w:rsid w:val="00C146AE"/>
    <w:rsid w:val="00C14783"/>
    <w:rsid w:val="00C14AAC"/>
    <w:rsid w:val="00C14AC7"/>
    <w:rsid w:val="00C14C24"/>
    <w:rsid w:val="00C15F24"/>
    <w:rsid w:val="00C16144"/>
    <w:rsid w:val="00C176D4"/>
    <w:rsid w:val="00C17DB9"/>
    <w:rsid w:val="00C207E1"/>
    <w:rsid w:val="00C208BE"/>
    <w:rsid w:val="00C20B2C"/>
    <w:rsid w:val="00C20FB6"/>
    <w:rsid w:val="00C2112C"/>
    <w:rsid w:val="00C228AE"/>
    <w:rsid w:val="00C235F4"/>
    <w:rsid w:val="00C245AB"/>
    <w:rsid w:val="00C24D51"/>
    <w:rsid w:val="00C24FC6"/>
    <w:rsid w:val="00C25081"/>
    <w:rsid w:val="00C250F3"/>
    <w:rsid w:val="00C2536B"/>
    <w:rsid w:val="00C25E57"/>
    <w:rsid w:val="00C30C93"/>
    <w:rsid w:val="00C30D11"/>
    <w:rsid w:val="00C3228C"/>
    <w:rsid w:val="00C34765"/>
    <w:rsid w:val="00C34D4D"/>
    <w:rsid w:val="00C34DE4"/>
    <w:rsid w:val="00C35268"/>
    <w:rsid w:val="00C352E2"/>
    <w:rsid w:val="00C36283"/>
    <w:rsid w:val="00C374ED"/>
    <w:rsid w:val="00C37724"/>
    <w:rsid w:val="00C37A7B"/>
    <w:rsid w:val="00C37B01"/>
    <w:rsid w:val="00C37DD1"/>
    <w:rsid w:val="00C402B2"/>
    <w:rsid w:val="00C40830"/>
    <w:rsid w:val="00C40A0C"/>
    <w:rsid w:val="00C41595"/>
    <w:rsid w:val="00C41C28"/>
    <w:rsid w:val="00C4347D"/>
    <w:rsid w:val="00C43E5C"/>
    <w:rsid w:val="00C43F73"/>
    <w:rsid w:val="00C44026"/>
    <w:rsid w:val="00C44856"/>
    <w:rsid w:val="00C45779"/>
    <w:rsid w:val="00C46097"/>
    <w:rsid w:val="00C47EF7"/>
    <w:rsid w:val="00C50460"/>
    <w:rsid w:val="00C524F1"/>
    <w:rsid w:val="00C52575"/>
    <w:rsid w:val="00C52AA0"/>
    <w:rsid w:val="00C52D03"/>
    <w:rsid w:val="00C53493"/>
    <w:rsid w:val="00C5366B"/>
    <w:rsid w:val="00C55714"/>
    <w:rsid w:val="00C5582A"/>
    <w:rsid w:val="00C56458"/>
    <w:rsid w:val="00C567F6"/>
    <w:rsid w:val="00C57277"/>
    <w:rsid w:val="00C61108"/>
    <w:rsid w:val="00C6142A"/>
    <w:rsid w:val="00C628D1"/>
    <w:rsid w:val="00C6373F"/>
    <w:rsid w:val="00C640ED"/>
    <w:rsid w:val="00C641FD"/>
    <w:rsid w:val="00C644AA"/>
    <w:rsid w:val="00C64D18"/>
    <w:rsid w:val="00C651DF"/>
    <w:rsid w:val="00C65E13"/>
    <w:rsid w:val="00C67859"/>
    <w:rsid w:val="00C67F35"/>
    <w:rsid w:val="00C67F6C"/>
    <w:rsid w:val="00C71113"/>
    <w:rsid w:val="00C711B1"/>
    <w:rsid w:val="00C714AA"/>
    <w:rsid w:val="00C71776"/>
    <w:rsid w:val="00C71A10"/>
    <w:rsid w:val="00C72251"/>
    <w:rsid w:val="00C73AF4"/>
    <w:rsid w:val="00C75452"/>
    <w:rsid w:val="00C7566B"/>
    <w:rsid w:val="00C76379"/>
    <w:rsid w:val="00C765AF"/>
    <w:rsid w:val="00C76B28"/>
    <w:rsid w:val="00C76C5C"/>
    <w:rsid w:val="00C76FA4"/>
    <w:rsid w:val="00C7740C"/>
    <w:rsid w:val="00C779DC"/>
    <w:rsid w:val="00C810FD"/>
    <w:rsid w:val="00C814D4"/>
    <w:rsid w:val="00C81BB4"/>
    <w:rsid w:val="00C82B8E"/>
    <w:rsid w:val="00C83F89"/>
    <w:rsid w:val="00C84193"/>
    <w:rsid w:val="00C84CBF"/>
    <w:rsid w:val="00C86E06"/>
    <w:rsid w:val="00C86EA2"/>
    <w:rsid w:val="00C872E7"/>
    <w:rsid w:val="00C90411"/>
    <w:rsid w:val="00C904B2"/>
    <w:rsid w:val="00C90A00"/>
    <w:rsid w:val="00C914F3"/>
    <w:rsid w:val="00C91750"/>
    <w:rsid w:val="00C91E6D"/>
    <w:rsid w:val="00C931DE"/>
    <w:rsid w:val="00C93253"/>
    <w:rsid w:val="00C9332B"/>
    <w:rsid w:val="00C93A26"/>
    <w:rsid w:val="00C943D5"/>
    <w:rsid w:val="00C947F6"/>
    <w:rsid w:val="00C94A6B"/>
    <w:rsid w:val="00C95280"/>
    <w:rsid w:val="00C95A02"/>
    <w:rsid w:val="00C97C4D"/>
    <w:rsid w:val="00CA1064"/>
    <w:rsid w:val="00CA21BE"/>
    <w:rsid w:val="00CA32D5"/>
    <w:rsid w:val="00CA345F"/>
    <w:rsid w:val="00CA3503"/>
    <w:rsid w:val="00CA3BF9"/>
    <w:rsid w:val="00CA3DFE"/>
    <w:rsid w:val="00CA4073"/>
    <w:rsid w:val="00CA4DBF"/>
    <w:rsid w:val="00CA4EBB"/>
    <w:rsid w:val="00CA58B8"/>
    <w:rsid w:val="00CA594F"/>
    <w:rsid w:val="00CA7619"/>
    <w:rsid w:val="00CB00CF"/>
    <w:rsid w:val="00CB00F1"/>
    <w:rsid w:val="00CB02F6"/>
    <w:rsid w:val="00CB04C5"/>
    <w:rsid w:val="00CB0FC4"/>
    <w:rsid w:val="00CB11A1"/>
    <w:rsid w:val="00CB1587"/>
    <w:rsid w:val="00CB169A"/>
    <w:rsid w:val="00CB17FF"/>
    <w:rsid w:val="00CB1B3D"/>
    <w:rsid w:val="00CB3ECA"/>
    <w:rsid w:val="00CB4143"/>
    <w:rsid w:val="00CB445C"/>
    <w:rsid w:val="00CB49D1"/>
    <w:rsid w:val="00CB49F0"/>
    <w:rsid w:val="00CB5312"/>
    <w:rsid w:val="00CB5D84"/>
    <w:rsid w:val="00CB5D90"/>
    <w:rsid w:val="00CB690A"/>
    <w:rsid w:val="00CB7680"/>
    <w:rsid w:val="00CC009C"/>
    <w:rsid w:val="00CC0121"/>
    <w:rsid w:val="00CC02CD"/>
    <w:rsid w:val="00CC0D01"/>
    <w:rsid w:val="00CC1794"/>
    <w:rsid w:val="00CC17F9"/>
    <w:rsid w:val="00CC19DF"/>
    <w:rsid w:val="00CC249A"/>
    <w:rsid w:val="00CC267B"/>
    <w:rsid w:val="00CC2D81"/>
    <w:rsid w:val="00CC30B3"/>
    <w:rsid w:val="00CC312A"/>
    <w:rsid w:val="00CC3286"/>
    <w:rsid w:val="00CC40FA"/>
    <w:rsid w:val="00CC42C0"/>
    <w:rsid w:val="00CC4CF4"/>
    <w:rsid w:val="00CC5433"/>
    <w:rsid w:val="00CC552E"/>
    <w:rsid w:val="00CC5D2A"/>
    <w:rsid w:val="00CC5DC3"/>
    <w:rsid w:val="00CC6673"/>
    <w:rsid w:val="00CC6A9E"/>
    <w:rsid w:val="00CC6DB0"/>
    <w:rsid w:val="00CC79F6"/>
    <w:rsid w:val="00CD0103"/>
    <w:rsid w:val="00CD1792"/>
    <w:rsid w:val="00CD184D"/>
    <w:rsid w:val="00CD18CB"/>
    <w:rsid w:val="00CD1F3C"/>
    <w:rsid w:val="00CD23A0"/>
    <w:rsid w:val="00CD3418"/>
    <w:rsid w:val="00CD365C"/>
    <w:rsid w:val="00CD38D5"/>
    <w:rsid w:val="00CD39ED"/>
    <w:rsid w:val="00CD3BD6"/>
    <w:rsid w:val="00CD51A8"/>
    <w:rsid w:val="00CD58E1"/>
    <w:rsid w:val="00CD5FC6"/>
    <w:rsid w:val="00CD7666"/>
    <w:rsid w:val="00CD7818"/>
    <w:rsid w:val="00CE3557"/>
    <w:rsid w:val="00CE3BF3"/>
    <w:rsid w:val="00CE4B6F"/>
    <w:rsid w:val="00CE4B76"/>
    <w:rsid w:val="00CE5191"/>
    <w:rsid w:val="00CE5882"/>
    <w:rsid w:val="00CE5FA6"/>
    <w:rsid w:val="00CE6302"/>
    <w:rsid w:val="00CE6625"/>
    <w:rsid w:val="00CE7055"/>
    <w:rsid w:val="00CE743A"/>
    <w:rsid w:val="00CF0B45"/>
    <w:rsid w:val="00CF0BD6"/>
    <w:rsid w:val="00CF0CAD"/>
    <w:rsid w:val="00CF25D7"/>
    <w:rsid w:val="00CF27D6"/>
    <w:rsid w:val="00CF36FA"/>
    <w:rsid w:val="00CF3709"/>
    <w:rsid w:val="00CF3C02"/>
    <w:rsid w:val="00CF3EB8"/>
    <w:rsid w:val="00CF40D8"/>
    <w:rsid w:val="00CF4B11"/>
    <w:rsid w:val="00CF6C2F"/>
    <w:rsid w:val="00D009A2"/>
    <w:rsid w:val="00D01179"/>
    <w:rsid w:val="00D01841"/>
    <w:rsid w:val="00D01B5C"/>
    <w:rsid w:val="00D0200E"/>
    <w:rsid w:val="00D024A3"/>
    <w:rsid w:val="00D027AC"/>
    <w:rsid w:val="00D02C7F"/>
    <w:rsid w:val="00D030C3"/>
    <w:rsid w:val="00D03ACC"/>
    <w:rsid w:val="00D03B30"/>
    <w:rsid w:val="00D03BE5"/>
    <w:rsid w:val="00D03FE3"/>
    <w:rsid w:val="00D0435D"/>
    <w:rsid w:val="00D05CEC"/>
    <w:rsid w:val="00D05D2F"/>
    <w:rsid w:val="00D05FB2"/>
    <w:rsid w:val="00D062E3"/>
    <w:rsid w:val="00D062F0"/>
    <w:rsid w:val="00D079B6"/>
    <w:rsid w:val="00D108D9"/>
    <w:rsid w:val="00D10DE9"/>
    <w:rsid w:val="00D11531"/>
    <w:rsid w:val="00D12432"/>
    <w:rsid w:val="00D12D0C"/>
    <w:rsid w:val="00D1316E"/>
    <w:rsid w:val="00D13293"/>
    <w:rsid w:val="00D1335F"/>
    <w:rsid w:val="00D133F5"/>
    <w:rsid w:val="00D13537"/>
    <w:rsid w:val="00D13B6F"/>
    <w:rsid w:val="00D13E39"/>
    <w:rsid w:val="00D13EDA"/>
    <w:rsid w:val="00D143D5"/>
    <w:rsid w:val="00D152EC"/>
    <w:rsid w:val="00D15AC8"/>
    <w:rsid w:val="00D15D7F"/>
    <w:rsid w:val="00D16A5A"/>
    <w:rsid w:val="00D16D61"/>
    <w:rsid w:val="00D171D4"/>
    <w:rsid w:val="00D178E0"/>
    <w:rsid w:val="00D20290"/>
    <w:rsid w:val="00D20457"/>
    <w:rsid w:val="00D206B5"/>
    <w:rsid w:val="00D21206"/>
    <w:rsid w:val="00D21CF3"/>
    <w:rsid w:val="00D222CC"/>
    <w:rsid w:val="00D222F2"/>
    <w:rsid w:val="00D22335"/>
    <w:rsid w:val="00D229B8"/>
    <w:rsid w:val="00D23119"/>
    <w:rsid w:val="00D2351A"/>
    <w:rsid w:val="00D23B11"/>
    <w:rsid w:val="00D24865"/>
    <w:rsid w:val="00D24C11"/>
    <w:rsid w:val="00D25A10"/>
    <w:rsid w:val="00D260C3"/>
    <w:rsid w:val="00D26C30"/>
    <w:rsid w:val="00D26FB0"/>
    <w:rsid w:val="00D270E7"/>
    <w:rsid w:val="00D274A5"/>
    <w:rsid w:val="00D27915"/>
    <w:rsid w:val="00D27F1C"/>
    <w:rsid w:val="00D304FF"/>
    <w:rsid w:val="00D313AE"/>
    <w:rsid w:val="00D32014"/>
    <w:rsid w:val="00D329EC"/>
    <w:rsid w:val="00D33907"/>
    <w:rsid w:val="00D33CAC"/>
    <w:rsid w:val="00D33DE0"/>
    <w:rsid w:val="00D3498A"/>
    <w:rsid w:val="00D34E61"/>
    <w:rsid w:val="00D34EDC"/>
    <w:rsid w:val="00D35181"/>
    <w:rsid w:val="00D361E8"/>
    <w:rsid w:val="00D36AB2"/>
    <w:rsid w:val="00D37511"/>
    <w:rsid w:val="00D379F4"/>
    <w:rsid w:val="00D37ABC"/>
    <w:rsid w:val="00D40268"/>
    <w:rsid w:val="00D40A34"/>
    <w:rsid w:val="00D40E94"/>
    <w:rsid w:val="00D413DB"/>
    <w:rsid w:val="00D4160B"/>
    <w:rsid w:val="00D41C55"/>
    <w:rsid w:val="00D426E4"/>
    <w:rsid w:val="00D43222"/>
    <w:rsid w:val="00D43481"/>
    <w:rsid w:val="00D4382D"/>
    <w:rsid w:val="00D44399"/>
    <w:rsid w:val="00D45992"/>
    <w:rsid w:val="00D45F09"/>
    <w:rsid w:val="00D46F4B"/>
    <w:rsid w:val="00D4704C"/>
    <w:rsid w:val="00D4708C"/>
    <w:rsid w:val="00D47528"/>
    <w:rsid w:val="00D479D4"/>
    <w:rsid w:val="00D47D51"/>
    <w:rsid w:val="00D50C49"/>
    <w:rsid w:val="00D50E21"/>
    <w:rsid w:val="00D51150"/>
    <w:rsid w:val="00D51723"/>
    <w:rsid w:val="00D51FED"/>
    <w:rsid w:val="00D525FE"/>
    <w:rsid w:val="00D53690"/>
    <w:rsid w:val="00D5472F"/>
    <w:rsid w:val="00D54838"/>
    <w:rsid w:val="00D5485D"/>
    <w:rsid w:val="00D5558F"/>
    <w:rsid w:val="00D55D64"/>
    <w:rsid w:val="00D56AF8"/>
    <w:rsid w:val="00D5719C"/>
    <w:rsid w:val="00D57BC8"/>
    <w:rsid w:val="00D60394"/>
    <w:rsid w:val="00D61095"/>
    <w:rsid w:val="00D61733"/>
    <w:rsid w:val="00D61AB1"/>
    <w:rsid w:val="00D63641"/>
    <w:rsid w:val="00D63B92"/>
    <w:rsid w:val="00D6490F"/>
    <w:rsid w:val="00D662AE"/>
    <w:rsid w:val="00D662F1"/>
    <w:rsid w:val="00D667BB"/>
    <w:rsid w:val="00D66935"/>
    <w:rsid w:val="00D66E74"/>
    <w:rsid w:val="00D66F32"/>
    <w:rsid w:val="00D67595"/>
    <w:rsid w:val="00D67753"/>
    <w:rsid w:val="00D677D0"/>
    <w:rsid w:val="00D67E78"/>
    <w:rsid w:val="00D67F4B"/>
    <w:rsid w:val="00D700B8"/>
    <w:rsid w:val="00D718FF"/>
    <w:rsid w:val="00D71AB9"/>
    <w:rsid w:val="00D7250A"/>
    <w:rsid w:val="00D73AAC"/>
    <w:rsid w:val="00D73CD1"/>
    <w:rsid w:val="00D73E05"/>
    <w:rsid w:val="00D7465A"/>
    <w:rsid w:val="00D7476C"/>
    <w:rsid w:val="00D74944"/>
    <w:rsid w:val="00D74ACC"/>
    <w:rsid w:val="00D74ACD"/>
    <w:rsid w:val="00D754B8"/>
    <w:rsid w:val="00D7613E"/>
    <w:rsid w:val="00D76DE1"/>
    <w:rsid w:val="00D801E3"/>
    <w:rsid w:val="00D80E5F"/>
    <w:rsid w:val="00D80F5D"/>
    <w:rsid w:val="00D8237C"/>
    <w:rsid w:val="00D83CC9"/>
    <w:rsid w:val="00D83E27"/>
    <w:rsid w:val="00D8418A"/>
    <w:rsid w:val="00D8466E"/>
    <w:rsid w:val="00D847F4"/>
    <w:rsid w:val="00D84A48"/>
    <w:rsid w:val="00D8712F"/>
    <w:rsid w:val="00D9010B"/>
    <w:rsid w:val="00D90BCE"/>
    <w:rsid w:val="00D90DA6"/>
    <w:rsid w:val="00D92149"/>
    <w:rsid w:val="00D92582"/>
    <w:rsid w:val="00D92956"/>
    <w:rsid w:val="00D9336E"/>
    <w:rsid w:val="00D9400E"/>
    <w:rsid w:val="00D96407"/>
    <w:rsid w:val="00D96601"/>
    <w:rsid w:val="00D975C3"/>
    <w:rsid w:val="00D976DD"/>
    <w:rsid w:val="00D97B65"/>
    <w:rsid w:val="00DA0626"/>
    <w:rsid w:val="00DA1735"/>
    <w:rsid w:val="00DA18AD"/>
    <w:rsid w:val="00DA1AE8"/>
    <w:rsid w:val="00DA2EB4"/>
    <w:rsid w:val="00DA3A72"/>
    <w:rsid w:val="00DA51F0"/>
    <w:rsid w:val="00DA5E17"/>
    <w:rsid w:val="00DA65F7"/>
    <w:rsid w:val="00DA79A5"/>
    <w:rsid w:val="00DA7A0A"/>
    <w:rsid w:val="00DA7E9A"/>
    <w:rsid w:val="00DB06FC"/>
    <w:rsid w:val="00DB0C88"/>
    <w:rsid w:val="00DB0D8C"/>
    <w:rsid w:val="00DB13BA"/>
    <w:rsid w:val="00DB1465"/>
    <w:rsid w:val="00DB1534"/>
    <w:rsid w:val="00DB1621"/>
    <w:rsid w:val="00DB191F"/>
    <w:rsid w:val="00DB4614"/>
    <w:rsid w:val="00DB461D"/>
    <w:rsid w:val="00DB4A95"/>
    <w:rsid w:val="00DB5DEB"/>
    <w:rsid w:val="00DB6AF0"/>
    <w:rsid w:val="00DB78A1"/>
    <w:rsid w:val="00DB7F56"/>
    <w:rsid w:val="00DC052D"/>
    <w:rsid w:val="00DC11D8"/>
    <w:rsid w:val="00DC1356"/>
    <w:rsid w:val="00DC13B9"/>
    <w:rsid w:val="00DC189E"/>
    <w:rsid w:val="00DC19E8"/>
    <w:rsid w:val="00DC33F0"/>
    <w:rsid w:val="00DC3585"/>
    <w:rsid w:val="00DC35C5"/>
    <w:rsid w:val="00DC39B4"/>
    <w:rsid w:val="00DC3C55"/>
    <w:rsid w:val="00DC441E"/>
    <w:rsid w:val="00DC4C56"/>
    <w:rsid w:val="00DC682D"/>
    <w:rsid w:val="00DC7274"/>
    <w:rsid w:val="00DC749F"/>
    <w:rsid w:val="00DC7BC1"/>
    <w:rsid w:val="00DD0ECE"/>
    <w:rsid w:val="00DD13D2"/>
    <w:rsid w:val="00DD195E"/>
    <w:rsid w:val="00DD19B5"/>
    <w:rsid w:val="00DD19C4"/>
    <w:rsid w:val="00DD2461"/>
    <w:rsid w:val="00DD24C1"/>
    <w:rsid w:val="00DD3158"/>
    <w:rsid w:val="00DD4158"/>
    <w:rsid w:val="00DD46A0"/>
    <w:rsid w:val="00DD4999"/>
    <w:rsid w:val="00DD49BA"/>
    <w:rsid w:val="00DD525B"/>
    <w:rsid w:val="00DD55F5"/>
    <w:rsid w:val="00DD5E18"/>
    <w:rsid w:val="00DD6422"/>
    <w:rsid w:val="00DD6DB0"/>
    <w:rsid w:val="00DD6E97"/>
    <w:rsid w:val="00DD72A0"/>
    <w:rsid w:val="00DD77C5"/>
    <w:rsid w:val="00DE1F51"/>
    <w:rsid w:val="00DE20FF"/>
    <w:rsid w:val="00DE21C3"/>
    <w:rsid w:val="00DE23FD"/>
    <w:rsid w:val="00DE2754"/>
    <w:rsid w:val="00DE33DF"/>
    <w:rsid w:val="00DE3764"/>
    <w:rsid w:val="00DE5B25"/>
    <w:rsid w:val="00DE5D29"/>
    <w:rsid w:val="00DE60B8"/>
    <w:rsid w:val="00DE6795"/>
    <w:rsid w:val="00DE680D"/>
    <w:rsid w:val="00DE73B0"/>
    <w:rsid w:val="00DE7B22"/>
    <w:rsid w:val="00DE7FFC"/>
    <w:rsid w:val="00DF0A03"/>
    <w:rsid w:val="00DF1501"/>
    <w:rsid w:val="00DF1622"/>
    <w:rsid w:val="00DF16BF"/>
    <w:rsid w:val="00DF195B"/>
    <w:rsid w:val="00DF2215"/>
    <w:rsid w:val="00DF2D1F"/>
    <w:rsid w:val="00DF316A"/>
    <w:rsid w:val="00DF381D"/>
    <w:rsid w:val="00DF4166"/>
    <w:rsid w:val="00DF4424"/>
    <w:rsid w:val="00DF4698"/>
    <w:rsid w:val="00DF63E5"/>
    <w:rsid w:val="00DF6972"/>
    <w:rsid w:val="00DF7504"/>
    <w:rsid w:val="00DF7FFB"/>
    <w:rsid w:val="00E008BA"/>
    <w:rsid w:val="00E0092D"/>
    <w:rsid w:val="00E00BEC"/>
    <w:rsid w:val="00E012DA"/>
    <w:rsid w:val="00E0135F"/>
    <w:rsid w:val="00E01BF7"/>
    <w:rsid w:val="00E01E2D"/>
    <w:rsid w:val="00E02956"/>
    <w:rsid w:val="00E03078"/>
    <w:rsid w:val="00E0365F"/>
    <w:rsid w:val="00E03682"/>
    <w:rsid w:val="00E03A03"/>
    <w:rsid w:val="00E04BE1"/>
    <w:rsid w:val="00E04DD7"/>
    <w:rsid w:val="00E05100"/>
    <w:rsid w:val="00E05E1C"/>
    <w:rsid w:val="00E0627B"/>
    <w:rsid w:val="00E10584"/>
    <w:rsid w:val="00E1062A"/>
    <w:rsid w:val="00E10669"/>
    <w:rsid w:val="00E10FA5"/>
    <w:rsid w:val="00E11062"/>
    <w:rsid w:val="00E11175"/>
    <w:rsid w:val="00E114E8"/>
    <w:rsid w:val="00E116D6"/>
    <w:rsid w:val="00E11844"/>
    <w:rsid w:val="00E14704"/>
    <w:rsid w:val="00E1490F"/>
    <w:rsid w:val="00E150E4"/>
    <w:rsid w:val="00E15100"/>
    <w:rsid w:val="00E15815"/>
    <w:rsid w:val="00E15A08"/>
    <w:rsid w:val="00E15F82"/>
    <w:rsid w:val="00E16401"/>
    <w:rsid w:val="00E16838"/>
    <w:rsid w:val="00E16B6E"/>
    <w:rsid w:val="00E1775B"/>
    <w:rsid w:val="00E17A2B"/>
    <w:rsid w:val="00E17C13"/>
    <w:rsid w:val="00E204BE"/>
    <w:rsid w:val="00E20C7E"/>
    <w:rsid w:val="00E21865"/>
    <w:rsid w:val="00E22A95"/>
    <w:rsid w:val="00E231D1"/>
    <w:rsid w:val="00E235E7"/>
    <w:rsid w:val="00E2408A"/>
    <w:rsid w:val="00E24736"/>
    <w:rsid w:val="00E24835"/>
    <w:rsid w:val="00E252E1"/>
    <w:rsid w:val="00E25347"/>
    <w:rsid w:val="00E2595B"/>
    <w:rsid w:val="00E25DCB"/>
    <w:rsid w:val="00E26978"/>
    <w:rsid w:val="00E26A00"/>
    <w:rsid w:val="00E27373"/>
    <w:rsid w:val="00E273D3"/>
    <w:rsid w:val="00E30009"/>
    <w:rsid w:val="00E30326"/>
    <w:rsid w:val="00E30610"/>
    <w:rsid w:val="00E30C2C"/>
    <w:rsid w:val="00E30E82"/>
    <w:rsid w:val="00E311E3"/>
    <w:rsid w:val="00E31693"/>
    <w:rsid w:val="00E31A2F"/>
    <w:rsid w:val="00E31F38"/>
    <w:rsid w:val="00E32EB8"/>
    <w:rsid w:val="00E3336F"/>
    <w:rsid w:val="00E33DF8"/>
    <w:rsid w:val="00E3423C"/>
    <w:rsid w:val="00E34799"/>
    <w:rsid w:val="00E34DBD"/>
    <w:rsid w:val="00E3578D"/>
    <w:rsid w:val="00E36689"/>
    <w:rsid w:val="00E36895"/>
    <w:rsid w:val="00E40242"/>
    <w:rsid w:val="00E40AD3"/>
    <w:rsid w:val="00E41C4F"/>
    <w:rsid w:val="00E42D7F"/>
    <w:rsid w:val="00E437C5"/>
    <w:rsid w:val="00E43A0A"/>
    <w:rsid w:val="00E44332"/>
    <w:rsid w:val="00E4572A"/>
    <w:rsid w:val="00E46955"/>
    <w:rsid w:val="00E46CDC"/>
    <w:rsid w:val="00E46F7B"/>
    <w:rsid w:val="00E473A7"/>
    <w:rsid w:val="00E476AC"/>
    <w:rsid w:val="00E47B5C"/>
    <w:rsid w:val="00E50123"/>
    <w:rsid w:val="00E50190"/>
    <w:rsid w:val="00E50248"/>
    <w:rsid w:val="00E50AEF"/>
    <w:rsid w:val="00E5116B"/>
    <w:rsid w:val="00E52529"/>
    <w:rsid w:val="00E53FE2"/>
    <w:rsid w:val="00E5409B"/>
    <w:rsid w:val="00E554FA"/>
    <w:rsid w:val="00E559E9"/>
    <w:rsid w:val="00E55A12"/>
    <w:rsid w:val="00E56640"/>
    <w:rsid w:val="00E56994"/>
    <w:rsid w:val="00E61067"/>
    <w:rsid w:val="00E61170"/>
    <w:rsid w:val="00E61653"/>
    <w:rsid w:val="00E61A6C"/>
    <w:rsid w:val="00E61A70"/>
    <w:rsid w:val="00E6216A"/>
    <w:rsid w:val="00E62364"/>
    <w:rsid w:val="00E629B1"/>
    <w:rsid w:val="00E62D2B"/>
    <w:rsid w:val="00E64465"/>
    <w:rsid w:val="00E656BC"/>
    <w:rsid w:val="00E659D2"/>
    <w:rsid w:val="00E66123"/>
    <w:rsid w:val="00E6700D"/>
    <w:rsid w:val="00E67332"/>
    <w:rsid w:val="00E72154"/>
    <w:rsid w:val="00E72B4C"/>
    <w:rsid w:val="00E72DF4"/>
    <w:rsid w:val="00E735F2"/>
    <w:rsid w:val="00E74740"/>
    <w:rsid w:val="00E75007"/>
    <w:rsid w:val="00E75217"/>
    <w:rsid w:val="00E75366"/>
    <w:rsid w:val="00E76ADC"/>
    <w:rsid w:val="00E77304"/>
    <w:rsid w:val="00E8008D"/>
    <w:rsid w:val="00E80A20"/>
    <w:rsid w:val="00E80AD5"/>
    <w:rsid w:val="00E80D6B"/>
    <w:rsid w:val="00E81873"/>
    <w:rsid w:val="00E82700"/>
    <w:rsid w:val="00E8271D"/>
    <w:rsid w:val="00E83AB4"/>
    <w:rsid w:val="00E83B45"/>
    <w:rsid w:val="00E83DB6"/>
    <w:rsid w:val="00E840F5"/>
    <w:rsid w:val="00E844DA"/>
    <w:rsid w:val="00E84972"/>
    <w:rsid w:val="00E84D60"/>
    <w:rsid w:val="00E84E78"/>
    <w:rsid w:val="00E85BBD"/>
    <w:rsid w:val="00E8613A"/>
    <w:rsid w:val="00E86E5B"/>
    <w:rsid w:val="00E87D09"/>
    <w:rsid w:val="00E90478"/>
    <w:rsid w:val="00E93305"/>
    <w:rsid w:val="00E93788"/>
    <w:rsid w:val="00E9394A"/>
    <w:rsid w:val="00E93BB0"/>
    <w:rsid w:val="00E94005"/>
    <w:rsid w:val="00E95057"/>
    <w:rsid w:val="00E9522C"/>
    <w:rsid w:val="00E961D6"/>
    <w:rsid w:val="00E96885"/>
    <w:rsid w:val="00E96CC0"/>
    <w:rsid w:val="00E96DBF"/>
    <w:rsid w:val="00E97178"/>
    <w:rsid w:val="00E978DE"/>
    <w:rsid w:val="00E97F4D"/>
    <w:rsid w:val="00EA030D"/>
    <w:rsid w:val="00EA120C"/>
    <w:rsid w:val="00EA2899"/>
    <w:rsid w:val="00EA2D3C"/>
    <w:rsid w:val="00EA33EC"/>
    <w:rsid w:val="00EA3AA7"/>
    <w:rsid w:val="00EA4295"/>
    <w:rsid w:val="00EA42F2"/>
    <w:rsid w:val="00EA4EE6"/>
    <w:rsid w:val="00EA50D9"/>
    <w:rsid w:val="00EA6DEB"/>
    <w:rsid w:val="00EA7DCA"/>
    <w:rsid w:val="00EA7F0C"/>
    <w:rsid w:val="00EB093C"/>
    <w:rsid w:val="00EB0D93"/>
    <w:rsid w:val="00EB14C5"/>
    <w:rsid w:val="00EB1DF4"/>
    <w:rsid w:val="00EB23D0"/>
    <w:rsid w:val="00EB2F8B"/>
    <w:rsid w:val="00EB3840"/>
    <w:rsid w:val="00EB3985"/>
    <w:rsid w:val="00EB3D29"/>
    <w:rsid w:val="00EB4838"/>
    <w:rsid w:val="00EB4C67"/>
    <w:rsid w:val="00EB57C6"/>
    <w:rsid w:val="00EB57EE"/>
    <w:rsid w:val="00EB605A"/>
    <w:rsid w:val="00EB66EC"/>
    <w:rsid w:val="00EB749B"/>
    <w:rsid w:val="00EB752D"/>
    <w:rsid w:val="00EB7779"/>
    <w:rsid w:val="00EB7BEE"/>
    <w:rsid w:val="00EB7FD7"/>
    <w:rsid w:val="00EC0C78"/>
    <w:rsid w:val="00EC134A"/>
    <w:rsid w:val="00EC15C5"/>
    <w:rsid w:val="00EC1CF9"/>
    <w:rsid w:val="00EC34AB"/>
    <w:rsid w:val="00EC4A18"/>
    <w:rsid w:val="00EC4D16"/>
    <w:rsid w:val="00EC4F25"/>
    <w:rsid w:val="00EC5317"/>
    <w:rsid w:val="00EC5619"/>
    <w:rsid w:val="00EC574B"/>
    <w:rsid w:val="00EC635F"/>
    <w:rsid w:val="00EC63F2"/>
    <w:rsid w:val="00EC6E28"/>
    <w:rsid w:val="00EC7786"/>
    <w:rsid w:val="00ED07E3"/>
    <w:rsid w:val="00ED0CDB"/>
    <w:rsid w:val="00ED1BD0"/>
    <w:rsid w:val="00ED1EB7"/>
    <w:rsid w:val="00ED1F19"/>
    <w:rsid w:val="00ED1F5B"/>
    <w:rsid w:val="00ED225F"/>
    <w:rsid w:val="00ED23CB"/>
    <w:rsid w:val="00ED3212"/>
    <w:rsid w:val="00ED371A"/>
    <w:rsid w:val="00ED384E"/>
    <w:rsid w:val="00ED3FCD"/>
    <w:rsid w:val="00ED4F22"/>
    <w:rsid w:val="00ED6517"/>
    <w:rsid w:val="00ED6721"/>
    <w:rsid w:val="00ED677B"/>
    <w:rsid w:val="00ED6A38"/>
    <w:rsid w:val="00ED6F14"/>
    <w:rsid w:val="00ED758A"/>
    <w:rsid w:val="00ED7673"/>
    <w:rsid w:val="00ED7B3C"/>
    <w:rsid w:val="00EE01E0"/>
    <w:rsid w:val="00EE14E6"/>
    <w:rsid w:val="00EE19AA"/>
    <w:rsid w:val="00EE1F24"/>
    <w:rsid w:val="00EE2370"/>
    <w:rsid w:val="00EE2664"/>
    <w:rsid w:val="00EE296D"/>
    <w:rsid w:val="00EE32B4"/>
    <w:rsid w:val="00EE356C"/>
    <w:rsid w:val="00EE3798"/>
    <w:rsid w:val="00EE4587"/>
    <w:rsid w:val="00EE4CBE"/>
    <w:rsid w:val="00EE55A7"/>
    <w:rsid w:val="00EE5BB9"/>
    <w:rsid w:val="00EE635D"/>
    <w:rsid w:val="00EE67BB"/>
    <w:rsid w:val="00EE6DDB"/>
    <w:rsid w:val="00EE7AE2"/>
    <w:rsid w:val="00EE7ED0"/>
    <w:rsid w:val="00EF15F4"/>
    <w:rsid w:val="00EF18EE"/>
    <w:rsid w:val="00EF1C0C"/>
    <w:rsid w:val="00EF1EFB"/>
    <w:rsid w:val="00EF20AB"/>
    <w:rsid w:val="00EF21D4"/>
    <w:rsid w:val="00EF28B5"/>
    <w:rsid w:val="00EF47DF"/>
    <w:rsid w:val="00EF5964"/>
    <w:rsid w:val="00EF6872"/>
    <w:rsid w:val="00EF7200"/>
    <w:rsid w:val="00EF76AC"/>
    <w:rsid w:val="00EF7C10"/>
    <w:rsid w:val="00EF7F9A"/>
    <w:rsid w:val="00F0148E"/>
    <w:rsid w:val="00F02317"/>
    <w:rsid w:val="00F025A6"/>
    <w:rsid w:val="00F02E75"/>
    <w:rsid w:val="00F04402"/>
    <w:rsid w:val="00F047C9"/>
    <w:rsid w:val="00F0480C"/>
    <w:rsid w:val="00F04980"/>
    <w:rsid w:val="00F04A42"/>
    <w:rsid w:val="00F04A9D"/>
    <w:rsid w:val="00F06184"/>
    <w:rsid w:val="00F06263"/>
    <w:rsid w:val="00F065DB"/>
    <w:rsid w:val="00F065E4"/>
    <w:rsid w:val="00F0719B"/>
    <w:rsid w:val="00F07A95"/>
    <w:rsid w:val="00F07F78"/>
    <w:rsid w:val="00F10B8F"/>
    <w:rsid w:val="00F10FBE"/>
    <w:rsid w:val="00F11A70"/>
    <w:rsid w:val="00F11E15"/>
    <w:rsid w:val="00F121D8"/>
    <w:rsid w:val="00F121DC"/>
    <w:rsid w:val="00F12239"/>
    <w:rsid w:val="00F12D23"/>
    <w:rsid w:val="00F130B0"/>
    <w:rsid w:val="00F134A6"/>
    <w:rsid w:val="00F13A87"/>
    <w:rsid w:val="00F13F22"/>
    <w:rsid w:val="00F14ABB"/>
    <w:rsid w:val="00F14DDD"/>
    <w:rsid w:val="00F15C3B"/>
    <w:rsid w:val="00F15EE4"/>
    <w:rsid w:val="00F162D0"/>
    <w:rsid w:val="00F16FDB"/>
    <w:rsid w:val="00F17507"/>
    <w:rsid w:val="00F179AB"/>
    <w:rsid w:val="00F201CB"/>
    <w:rsid w:val="00F201CD"/>
    <w:rsid w:val="00F20975"/>
    <w:rsid w:val="00F210C4"/>
    <w:rsid w:val="00F21B88"/>
    <w:rsid w:val="00F22BCC"/>
    <w:rsid w:val="00F22CAE"/>
    <w:rsid w:val="00F22F48"/>
    <w:rsid w:val="00F23037"/>
    <w:rsid w:val="00F241BF"/>
    <w:rsid w:val="00F2421F"/>
    <w:rsid w:val="00F24AD9"/>
    <w:rsid w:val="00F24E36"/>
    <w:rsid w:val="00F258CC"/>
    <w:rsid w:val="00F258DE"/>
    <w:rsid w:val="00F26DAE"/>
    <w:rsid w:val="00F26FA8"/>
    <w:rsid w:val="00F27087"/>
    <w:rsid w:val="00F27F6D"/>
    <w:rsid w:val="00F3020F"/>
    <w:rsid w:val="00F3066C"/>
    <w:rsid w:val="00F31535"/>
    <w:rsid w:val="00F3154B"/>
    <w:rsid w:val="00F318B9"/>
    <w:rsid w:val="00F319D4"/>
    <w:rsid w:val="00F31CA0"/>
    <w:rsid w:val="00F31E32"/>
    <w:rsid w:val="00F31F9E"/>
    <w:rsid w:val="00F32643"/>
    <w:rsid w:val="00F32B5A"/>
    <w:rsid w:val="00F33BC9"/>
    <w:rsid w:val="00F36629"/>
    <w:rsid w:val="00F36835"/>
    <w:rsid w:val="00F37360"/>
    <w:rsid w:val="00F37589"/>
    <w:rsid w:val="00F378CE"/>
    <w:rsid w:val="00F40CE0"/>
    <w:rsid w:val="00F4127A"/>
    <w:rsid w:val="00F42C87"/>
    <w:rsid w:val="00F432B8"/>
    <w:rsid w:val="00F43EAC"/>
    <w:rsid w:val="00F44497"/>
    <w:rsid w:val="00F4451B"/>
    <w:rsid w:val="00F4551C"/>
    <w:rsid w:val="00F45B6F"/>
    <w:rsid w:val="00F464F8"/>
    <w:rsid w:val="00F47289"/>
    <w:rsid w:val="00F475DD"/>
    <w:rsid w:val="00F47794"/>
    <w:rsid w:val="00F50EFC"/>
    <w:rsid w:val="00F52634"/>
    <w:rsid w:val="00F527AF"/>
    <w:rsid w:val="00F52F4A"/>
    <w:rsid w:val="00F539CA"/>
    <w:rsid w:val="00F53C4D"/>
    <w:rsid w:val="00F53FAD"/>
    <w:rsid w:val="00F548FE"/>
    <w:rsid w:val="00F54B7F"/>
    <w:rsid w:val="00F55B6C"/>
    <w:rsid w:val="00F57765"/>
    <w:rsid w:val="00F57CF9"/>
    <w:rsid w:val="00F57F80"/>
    <w:rsid w:val="00F60094"/>
    <w:rsid w:val="00F60103"/>
    <w:rsid w:val="00F603DE"/>
    <w:rsid w:val="00F61CAC"/>
    <w:rsid w:val="00F64256"/>
    <w:rsid w:val="00F6631A"/>
    <w:rsid w:val="00F66E5F"/>
    <w:rsid w:val="00F6753B"/>
    <w:rsid w:val="00F705B0"/>
    <w:rsid w:val="00F7064A"/>
    <w:rsid w:val="00F70FC5"/>
    <w:rsid w:val="00F71150"/>
    <w:rsid w:val="00F71974"/>
    <w:rsid w:val="00F71B79"/>
    <w:rsid w:val="00F72F7B"/>
    <w:rsid w:val="00F73047"/>
    <w:rsid w:val="00F73282"/>
    <w:rsid w:val="00F73FB6"/>
    <w:rsid w:val="00F74BD7"/>
    <w:rsid w:val="00F75398"/>
    <w:rsid w:val="00F760B0"/>
    <w:rsid w:val="00F762AF"/>
    <w:rsid w:val="00F7634F"/>
    <w:rsid w:val="00F76396"/>
    <w:rsid w:val="00F76487"/>
    <w:rsid w:val="00F77703"/>
    <w:rsid w:val="00F77B72"/>
    <w:rsid w:val="00F81F86"/>
    <w:rsid w:val="00F8220B"/>
    <w:rsid w:val="00F8260B"/>
    <w:rsid w:val="00F828D2"/>
    <w:rsid w:val="00F8331A"/>
    <w:rsid w:val="00F84DE8"/>
    <w:rsid w:val="00F859AF"/>
    <w:rsid w:val="00F85AC2"/>
    <w:rsid w:val="00F86013"/>
    <w:rsid w:val="00F86185"/>
    <w:rsid w:val="00F86B54"/>
    <w:rsid w:val="00F874D8"/>
    <w:rsid w:val="00F875CB"/>
    <w:rsid w:val="00F8782F"/>
    <w:rsid w:val="00F902CA"/>
    <w:rsid w:val="00F904B8"/>
    <w:rsid w:val="00F90A7F"/>
    <w:rsid w:val="00F90BA7"/>
    <w:rsid w:val="00F923DB"/>
    <w:rsid w:val="00F9258D"/>
    <w:rsid w:val="00F92872"/>
    <w:rsid w:val="00F94659"/>
    <w:rsid w:val="00F94C05"/>
    <w:rsid w:val="00F952F5"/>
    <w:rsid w:val="00F9632A"/>
    <w:rsid w:val="00F96808"/>
    <w:rsid w:val="00F972DF"/>
    <w:rsid w:val="00FA013E"/>
    <w:rsid w:val="00FA0A8D"/>
    <w:rsid w:val="00FA0C3A"/>
    <w:rsid w:val="00FA15A9"/>
    <w:rsid w:val="00FA17B3"/>
    <w:rsid w:val="00FA1C68"/>
    <w:rsid w:val="00FA1D1C"/>
    <w:rsid w:val="00FA2406"/>
    <w:rsid w:val="00FA2DD6"/>
    <w:rsid w:val="00FA3143"/>
    <w:rsid w:val="00FA32EE"/>
    <w:rsid w:val="00FA3368"/>
    <w:rsid w:val="00FA33D6"/>
    <w:rsid w:val="00FA35A5"/>
    <w:rsid w:val="00FA3A48"/>
    <w:rsid w:val="00FA3C3D"/>
    <w:rsid w:val="00FA3F77"/>
    <w:rsid w:val="00FA4044"/>
    <w:rsid w:val="00FA4452"/>
    <w:rsid w:val="00FA4F1B"/>
    <w:rsid w:val="00FA51E6"/>
    <w:rsid w:val="00FA6E53"/>
    <w:rsid w:val="00FA71C8"/>
    <w:rsid w:val="00FA71EC"/>
    <w:rsid w:val="00FB03FB"/>
    <w:rsid w:val="00FB0A66"/>
    <w:rsid w:val="00FB0BF6"/>
    <w:rsid w:val="00FB0EC2"/>
    <w:rsid w:val="00FB14A8"/>
    <w:rsid w:val="00FB1BCD"/>
    <w:rsid w:val="00FB20BE"/>
    <w:rsid w:val="00FB2567"/>
    <w:rsid w:val="00FB27F1"/>
    <w:rsid w:val="00FB3E4E"/>
    <w:rsid w:val="00FB3F6A"/>
    <w:rsid w:val="00FB4832"/>
    <w:rsid w:val="00FB486D"/>
    <w:rsid w:val="00FB4935"/>
    <w:rsid w:val="00FB498B"/>
    <w:rsid w:val="00FB5195"/>
    <w:rsid w:val="00FB55A4"/>
    <w:rsid w:val="00FB5621"/>
    <w:rsid w:val="00FB647E"/>
    <w:rsid w:val="00FB6F11"/>
    <w:rsid w:val="00FB72F9"/>
    <w:rsid w:val="00FB73B7"/>
    <w:rsid w:val="00FB7E5F"/>
    <w:rsid w:val="00FC1123"/>
    <w:rsid w:val="00FC11AA"/>
    <w:rsid w:val="00FC12A2"/>
    <w:rsid w:val="00FC1625"/>
    <w:rsid w:val="00FC2686"/>
    <w:rsid w:val="00FC32A8"/>
    <w:rsid w:val="00FC435A"/>
    <w:rsid w:val="00FC5206"/>
    <w:rsid w:val="00FC5653"/>
    <w:rsid w:val="00FC68B4"/>
    <w:rsid w:val="00FC7179"/>
    <w:rsid w:val="00FC78EC"/>
    <w:rsid w:val="00FD0256"/>
    <w:rsid w:val="00FD0413"/>
    <w:rsid w:val="00FD07FA"/>
    <w:rsid w:val="00FD2F62"/>
    <w:rsid w:val="00FD364E"/>
    <w:rsid w:val="00FD4290"/>
    <w:rsid w:val="00FD4353"/>
    <w:rsid w:val="00FD4BF2"/>
    <w:rsid w:val="00FD5DB6"/>
    <w:rsid w:val="00FD5DBB"/>
    <w:rsid w:val="00FD6685"/>
    <w:rsid w:val="00FD69A5"/>
    <w:rsid w:val="00FD6F27"/>
    <w:rsid w:val="00FD75C1"/>
    <w:rsid w:val="00FE1404"/>
    <w:rsid w:val="00FE1FC7"/>
    <w:rsid w:val="00FE2845"/>
    <w:rsid w:val="00FE31D7"/>
    <w:rsid w:val="00FE32DD"/>
    <w:rsid w:val="00FE436B"/>
    <w:rsid w:val="00FE4759"/>
    <w:rsid w:val="00FE5B3E"/>
    <w:rsid w:val="00FE5D89"/>
    <w:rsid w:val="00FE69BC"/>
    <w:rsid w:val="00FE6FF8"/>
    <w:rsid w:val="00FF0182"/>
    <w:rsid w:val="00FF080C"/>
    <w:rsid w:val="00FF11BD"/>
    <w:rsid w:val="00FF1E58"/>
    <w:rsid w:val="00FF2F8F"/>
    <w:rsid w:val="00FF30D5"/>
    <w:rsid w:val="00FF3132"/>
    <w:rsid w:val="00FF3279"/>
    <w:rsid w:val="00FF35C2"/>
    <w:rsid w:val="00FF369C"/>
    <w:rsid w:val="00FF3E35"/>
    <w:rsid w:val="00FF456C"/>
    <w:rsid w:val="00FF547A"/>
    <w:rsid w:val="00FF71C5"/>
    <w:rsid w:val="018F67B1"/>
    <w:rsid w:val="019404F8"/>
    <w:rsid w:val="02E44052"/>
    <w:rsid w:val="02ED4364"/>
    <w:rsid w:val="0332738A"/>
    <w:rsid w:val="035D3297"/>
    <w:rsid w:val="03795BF7"/>
    <w:rsid w:val="03F07D36"/>
    <w:rsid w:val="03F86068"/>
    <w:rsid w:val="045F303F"/>
    <w:rsid w:val="04D05CEB"/>
    <w:rsid w:val="04D74983"/>
    <w:rsid w:val="04F318B4"/>
    <w:rsid w:val="057F5051"/>
    <w:rsid w:val="05D11D1B"/>
    <w:rsid w:val="05E03D0C"/>
    <w:rsid w:val="06D8727A"/>
    <w:rsid w:val="070129EC"/>
    <w:rsid w:val="07446EDC"/>
    <w:rsid w:val="07EA4488"/>
    <w:rsid w:val="080A5070"/>
    <w:rsid w:val="08A70B11"/>
    <w:rsid w:val="08A87FE8"/>
    <w:rsid w:val="08CC6F0A"/>
    <w:rsid w:val="08FC70AE"/>
    <w:rsid w:val="0A0A57FB"/>
    <w:rsid w:val="0A8E5717"/>
    <w:rsid w:val="0AD16213"/>
    <w:rsid w:val="0AFF19D8"/>
    <w:rsid w:val="0B446053"/>
    <w:rsid w:val="0B7F2130"/>
    <w:rsid w:val="0BE33548"/>
    <w:rsid w:val="0BEE1333"/>
    <w:rsid w:val="0D991370"/>
    <w:rsid w:val="0DBC505E"/>
    <w:rsid w:val="0DF359BA"/>
    <w:rsid w:val="0EBD7A9E"/>
    <w:rsid w:val="0F0C791F"/>
    <w:rsid w:val="0F1D0096"/>
    <w:rsid w:val="0F911629"/>
    <w:rsid w:val="0FAD754B"/>
    <w:rsid w:val="0FC71A98"/>
    <w:rsid w:val="10D662AB"/>
    <w:rsid w:val="10E319F0"/>
    <w:rsid w:val="11F272A1"/>
    <w:rsid w:val="125B0EBB"/>
    <w:rsid w:val="129A3494"/>
    <w:rsid w:val="13902C37"/>
    <w:rsid w:val="13D12EE6"/>
    <w:rsid w:val="13E1581F"/>
    <w:rsid w:val="14667DE4"/>
    <w:rsid w:val="15877D00"/>
    <w:rsid w:val="15B605E5"/>
    <w:rsid w:val="16DB47A7"/>
    <w:rsid w:val="16E66CA8"/>
    <w:rsid w:val="171657DF"/>
    <w:rsid w:val="178F6608"/>
    <w:rsid w:val="17A952EB"/>
    <w:rsid w:val="17EA1013"/>
    <w:rsid w:val="18025D64"/>
    <w:rsid w:val="189F7A56"/>
    <w:rsid w:val="19A05834"/>
    <w:rsid w:val="19D159ED"/>
    <w:rsid w:val="19EC0A79"/>
    <w:rsid w:val="1A7E228E"/>
    <w:rsid w:val="1C35495A"/>
    <w:rsid w:val="1C7B1C09"/>
    <w:rsid w:val="1C847038"/>
    <w:rsid w:val="1CC7132A"/>
    <w:rsid w:val="1D1E1F9D"/>
    <w:rsid w:val="1E674B72"/>
    <w:rsid w:val="1F416437"/>
    <w:rsid w:val="1F947BE9"/>
    <w:rsid w:val="1FAB02B5"/>
    <w:rsid w:val="1FF00B97"/>
    <w:rsid w:val="202C7E22"/>
    <w:rsid w:val="206B3938"/>
    <w:rsid w:val="20733AC0"/>
    <w:rsid w:val="207D4F96"/>
    <w:rsid w:val="209355E9"/>
    <w:rsid w:val="2228286B"/>
    <w:rsid w:val="2292460D"/>
    <w:rsid w:val="22F866E1"/>
    <w:rsid w:val="231E3F0B"/>
    <w:rsid w:val="23690803"/>
    <w:rsid w:val="240B116F"/>
    <w:rsid w:val="240C3B0B"/>
    <w:rsid w:val="24253E2E"/>
    <w:rsid w:val="24535D31"/>
    <w:rsid w:val="24F032B6"/>
    <w:rsid w:val="25697422"/>
    <w:rsid w:val="25F779CF"/>
    <w:rsid w:val="27870DDF"/>
    <w:rsid w:val="27897907"/>
    <w:rsid w:val="27D72414"/>
    <w:rsid w:val="27D94A95"/>
    <w:rsid w:val="27F10606"/>
    <w:rsid w:val="28FB76CF"/>
    <w:rsid w:val="29120D82"/>
    <w:rsid w:val="2939535D"/>
    <w:rsid w:val="29E03A2B"/>
    <w:rsid w:val="29EC6874"/>
    <w:rsid w:val="2B014980"/>
    <w:rsid w:val="2B1A4D1A"/>
    <w:rsid w:val="2BE02C40"/>
    <w:rsid w:val="2C660837"/>
    <w:rsid w:val="2CFB0E6B"/>
    <w:rsid w:val="2D4B38D6"/>
    <w:rsid w:val="2E19750B"/>
    <w:rsid w:val="2E727D2C"/>
    <w:rsid w:val="2E9818E9"/>
    <w:rsid w:val="2F464330"/>
    <w:rsid w:val="2F7332F8"/>
    <w:rsid w:val="2F9652B7"/>
    <w:rsid w:val="2FF121E2"/>
    <w:rsid w:val="305A4D47"/>
    <w:rsid w:val="3076759D"/>
    <w:rsid w:val="31102E48"/>
    <w:rsid w:val="313D0F69"/>
    <w:rsid w:val="32B8580D"/>
    <w:rsid w:val="331F7372"/>
    <w:rsid w:val="3356503C"/>
    <w:rsid w:val="34023A34"/>
    <w:rsid w:val="3608015F"/>
    <w:rsid w:val="37B67E49"/>
    <w:rsid w:val="37F92887"/>
    <w:rsid w:val="38FD7510"/>
    <w:rsid w:val="390315D0"/>
    <w:rsid w:val="39495149"/>
    <w:rsid w:val="39561614"/>
    <w:rsid w:val="396A55B8"/>
    <w:rsid w:val="3AC04B6C"/>
    <w:rsid w:val="3AE01ADD"/>
    <w:rsid w:val="3B3D5643"/>
    <w:rsid w:val="3B84690C"/>
    <w:rsid w:val="3BD07CCF"/>
    <w:rsid w:val="3BE374EF"/>
    <w:rsid w:val="3BE72B21"/>
    <w:rsid w:val="3CE85D3D"/>
    <w:rsid w:val="3D000214"/>
    <w:rsid w:val="3D120BD8"/>
    <w:rsid w:val="3D662810"/>
    <w:rsid w:val="3D8867FB"/>
    <w:rsid w:val="3EBA14DF"/>
    <w:rsid w:val="40A9614F"/>
    <w:rsid w:val="40EA1C0C"/>
    <w:rsid w:val="412B51AA"/>
    <w:rsid w:val="41505362"/>
    <w:rsid w:val="41D028AB"/>
    <w:rsid w:val="41D77F1C"/>
    <w:rsid w:val="4287318F"/>
    <w:rsid w:val="42AF1DB1"/>
    <w:rsid w:val="42BF7070"/>
    <w:rsid w:val="42EC4206"/>
    <w:rsid w:val="44421112"/>
    <w:rsid w:val="44C844CB"/>
    <w:rsid w:val="460C19D8"/>
    <w:rsid w:val="4645313C"/>
    <w:rsid w:val="469D6AD4"/>
    <w:rsid w:val="4723522B"/>
    <w:rsid w:val="473311E6"/>
    <w:rsid w:val="473701A0"/>
    <w:rsid w:val="47B6609F"/>
    <w:rsid w:val="48E03FE9"/>
    <w:rsid w:val="48F50E49"/>
    <w:rsid w:val="49993759"/>
    <w:rsid w:val="499C12C5"/>
    <w:rsid w:val="49AF7795"/>
    <w:rsid w:val="4A3D4944"/>
    <w:rsid w:val="4B1D01E3"/>
    <w:rsid w:val="4B241572"/>
    <w:rsid w:val="4B603D34"/>
    <w:rsid w:val="4B751DCD"/>
    <w:rsid w:val="4BE51D73"/>
    <w:rsid w:val="4DAB72E9"/>
    <w:rsid w:val="4E7367B4"/>
    <w:rsid w:val="4F626B0C"/>
    <w:rsid w:val="5051210F"/>
    <w:rsid w:val="5072191C"/>
    <w:rsid w:val="50AF7B2F"/>
    <w:rsid w:val="52545418"/>
    <w:rsid w:val="52D516E7"/>
    <w:rsid w:val="52F83A10"/>
    <w:rsid w:val="537A53E8"/>
    <w:rsid w:val="53E45398"/>
    <w:rsid w:val="54A850F0"/>
    <w:rsid w:val="55521819"/>
    <w:rsid w:val="56A355D3"/>
    <w:rsid w:val="575F622F"/>
    <w:rsid w:val="57BB500C"/>
    <w:rsid w:val="59835FFD"/>
    <w:rsid w:val="59E6056E"/>
    <w:rsid w:val="5A69686D"/>
    <w:rsid w:val="5A8913F1"/>
    <w:rsid w:val="5B5B0E66"/>
    <w:rsid w:val="5B834092"/>
    <w:rsid w:val="5BA45ED3"/>
    <w:rsid w:val="5C02145B"/>
    <w:rsid w:val="5C0B7F0F"/>
    <w:rsid w:val="5C1B076F"/>
    <w:rsid w:val="5C8770F2"/>
    <w:rsid w:val="5CD603C9"/>
    <w:rsid w:val="5D1E5474"/>
    <w:rsid w:val="5D243653"/>
    <w:rsid w:val="5D7F48C2"/>
    <w:rsid w:val="5DA83A3A"/>
    <w:rsid w:val="5DC827DD"/>
    <w:rsid w:val="5DDF26FE"/>
    <w:rsid w:val="5E54188A"/>
    <w:rsid w:val="5E5B30A5"/>
    <w:rsid w:val="5E9B5937"/>
    <w:rsid w:val="5EA70CAD"/>
    <w:rsid w:val="5EBF176B"/>
    <w:rsid w:val="5F2F63B5"/>
    <w:rsid w:val="60F5158E"/>
    <w:rsid w:val="6119326B"/>
    <w:rsid w:val="613A72A0"/>
    <w:rsid w:val="617A6407"/>
    <w:rsid w:val="61F44A20"/>
    <w:rsid w:val="61F56D34"/>
    <w:rsid w:val="62570027"/>
    <w:rsid w:val="62F63AF8"/>
    <w:rsid w:val="63035F49"/>
    <w:rsid w:val="63B85622"/>
    <w:rsid w:val="640D2F09"/>
    <w:rsid w:val="64243C01"/>
    <w:rsid w:val="6454481E"/>
    <w:rsid w:val="64D578A2"/>
    <w:rsid w:val="64DA71E8"/>
    <w:rsid w:val="66056C42"/>
    <w:rsid w:val="666703C9"/>
    <w:rsid w:val="670D78F5"/>
    <w:rsid w:val="67D77C40"/>
    <w:rsid w:val="68354966"/>
    <w:rsid w:val="68594AF9"/>
    <w:rsid w:val="68A13DAA"/>
    <w:rsid w:val="69731BEA"/>
    <w:rsid w:val="69831701"/>
    <w:rsid w:val="69D106BF"/>
    <w:rsid w:val="6A13625C"/>
    <w:rsid w:val="6A170931"/>
    <w:rsid w:val="6ADD04E3"/>
    <w:rsid w:val="6AE45F5C"/>
    <w:rsid w:val="6AFB3C45"/>
    <w:rsid w:val="6BDF6F5F"/>
    <w:rsid w:val="6C1D5E3D"/>
    <w:rsid w:val="6DE42DA4"/>
    <w:rsid w:val="6EC627BC"/>
    <w:rsid w:val="6EFA62E1"/>
    <w:rsid w:val="6F4F27B2"/>
    <w:rsid w:val="6FA62628"/>
    <w:rsid w:val="6FEF1BDF"/>
    <w:rsid w:val="701620A5"/>
    <w:rsid w:val="70587444"/>
    <w:rsid w:val="70D21600"/>
    <w:rsid w:val="71717FDC"/>
    <w:rsid w:val="7214383E"/>
    <w:rsid w:val="73832A2A"/>
    <w:rsid w:val="73D715D7"/>
    <w:rsid w:val="73D9243A"/>
    <w:rsid w:val="754E2E04"/>
    <w:rsid w:val="76830F93"/>
    <w:rsid w:val="76B83581"/>
    <w:rsid w:val="76F15E32"/>
    <w:rsid w:val="774B1AB0"/>
    <w:rsid w:val="778E216A"/>
    <w:rsid w:val="77933457"/>
    <w:rsid w:val="77B434A1"/>
    <w:rsid w:val="77FB64ED"/>
    <w:rsid w:val="78342545"/>
    <w:rsid w:val="78C763C9"/>
    <w:rsid w:val="7913635C"/>
    <w:rsid w:val="792151BF"/>
    <w:rsid w:val="794855D9"/>
    <w:rsid w:val="7961380D"/>
    <w:rsid w:val="79745997"/>
    <w:rsid w:val="797F21A4"/>
    <w:rsid w:val="7990713F"/>
    <w:rsid w:val="7AB14320"/>
    <w:rsid w:val="7AF20495"/>
    <w:rsid w:val="7B4A31FC"/>
    <w:rsid w:val="7BD77DB7"/>
    <w:rsid w:val="7C686722"/>
    <w:rsid w:val="7CAF2AE1"/>
    <w:rsid w:val="7CEA58C8"/>
    <w:rsid w:val="7D200192"/>
    <w:rsid w:val="7D6531A0"/>
    <w:rsid w:val="7E1D6CC4"/>
    <w:rsid w:val="7E7A2C7B"/>
    <w:rsid w:val="7F1135E0"/>
    <w:rsid w:val="7F343772"/>
    <w:rsid w:val="7FD748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nhideWhenUsed="0" w:uiPriority="39"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nhideWhenUsed="0" w:uiPriority="0" w:semiHidden="0"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nhideWhenUsed="0" w:uiPriority="0" w:semiHidden="0" w:name="Body Text Indent 2"/>
    <w:lsdException w:uiPriority="99" w:semiHidden="0" w:name="Body Text Indent 3"/>
    <w:lsdException w:qFormat="1" w:uiPriority="0" w:semiHidden="0" w:name="Block Text"/>
    <w:lsdException w:unhideWhenUsed="0" w:uiPriority="99" w:semiHidden="0" w:name="Hyperlink"/>
    <w:lsdException w:uiPriority="99" w:semiHidden="0" w:name="FollowedHyperlink"/>
    <w:lsdException w:qFormat="1" w:unhideWhenUsed="0" w:uiPriority="0" w:semiHidden="0" w:name="Strong"/>
    <w:lsdException w:qFormat="1" w:unhideWhenUsed="0" w:uiPriority="0" w:semiHidden="0" w:name="Emphasis"/>
    <w:lsdException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9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60"/>
    <w:qFormat/>
    <w:uiPriority w:val="9"/>
    <w:pPr>
      <w:keepNext/>
      <w:outlineLvl w:val="0"/>
    </w:pPr>
    <w:rPr>
      <w:rFonts w:ascii="宋体"/>
      <w:sz w:val="28"/>
    </w:rPr>
  </w:style>
  <w:style w:type="paragraph" w:styleId="3">
    <w:name w:val="heading 2"/>
    <w:basedOn w:val="1"/>
    <w:next w:val="1"/>
    <w:link w:val="61"/>
    <w:qFormat/>
    <w:uiPriority w:val="9"/>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link w:val="62"/>
    <w:qFormat/>
    <w:uiPriority w:val="9"/>
    <w:pPr>
      <w:keepNext/>
      <w:keepLines/>
      <w:spacing w:before="260" w:beforeLines="0" w:after="260" w:afterLines="0" w:line="413" w:lineRule="auto"/>
      <w:outlineLvl w:val="2"/>
    </w:pPr>
    <w:rPr>
      <w:b/>
      <w:bCs/>
      <w:sz w:val="32"/>
      <w:szCs w:val="32"/>
    </w:rPr>
  </w:style>
  <w:style w:type="paragraph" w:styleId="5">
    <w:name w:val="heading 4"/>
    <w:basedOn w:val="1"/>
    <w:next w:val="1"/>
    <w:link w:val="63"/>
    <w:qFormat/>
    <w:uiPriority w:val="9"/>
    <w:pPr>
      <w:keepNext/>
      <w:keepLines/>
      <w:numPr>
        <w:ilvl w:val="3"/>
        <w:numId w:val="1"/>
      </w:numPr>
      <w:outlineLvl w:val="3"/>
    </w:pPr>
    <w:rPr>
      <w:rFonts w:hAnsi="Cambria"/>
      <w:b/>
      <w:bCs/>
      <w:sz w:val="28"/>
      <w:szCs w:val="28"/>
    </w:rPr>
  </w:style>
  <w:style w:type="paragraph" w:styleId="6">
    <w:name w:val="heading 5"/>
    <w:basedOn w:val="1"/>
    <w:next w:val="1"/>
    <w:link w:val="64"/>
    <w:qFormat/>
    <w:uiPriority w:val="9"/>
    <w:pPr>
      <w:keepNext/>
      <w:keepLines/>
      <w:spacing w:before="80" w:after="40"/>
      <w:outlineLvl w:val="4"/>
    </w:pPr>
    <w:rPr>
      <w:rFonts w:ascii="等线" w:hAnsi="等线" w:eastAsia="等线" w:cs="Times New Roman"/>
      <w:color w:val="0F4761"/>
      <w:sz w:val="24"/>
      <w:szCs w:val="24"/>
    </w:rPr>
  </w:style>
  <w:style w:type="paragraph" w:styleId="7">
    <w:name w:val="heading 6"/>
    <w:basedOn w:val="1"/>
    <w:next w:val="1"/>
    <w:link w:val="65"/>
    <w:qFormat/>
    <w:uiPriority w:val="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link w:val="66"/>
    <w:qFormat/>
    <w:uiPriority w:val="9"/>
    <w:pPr>
      <w:keepNext/>
      <w:keepLines/>
      <w:widowControl/>
      <w:tabs>
        <w:tab w:val="left" w:pos="2520"/>
      </w:tabs>
      <w:spacing w:before="240" w:after="64" w:line="319" w:lineRule="auto"/>
      <w:ind w:left="1296" w:hanging="1296"/>
      <w:jc w:val="left"/>
      <w:outlineLvl w:val="6"/>
    </w:pPr>
    <w:rPr>
      <w:rFonts w:ascii="Calibri" w:hAnsi="Calibri"/>
      <w:b/>
      <w:bCs/>
      <w:kern w:val="0"/>
      <w:sz w:val="24"/>
    </w:rPr>
  </w:style>
  <w:style w:type="paragraph" w:styleId="9">
    <w:name w:val="heading 8"/>
    <w:basedOn w:val="1"/>
    <w:next w:val="1"/>
    <w:link w:val="67"/>
    <w:qFormat/>
    <w:uiPriority w:val="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link w:val="68"/>
    <w:qFormat/>
    <w:uiPriority w:val="9"/>
    <w:pPr>
      <w:keepNext/>
      <w:keepLines/>
      <w:widowControl/>
      <w:tabs>
        <w:tab w:val="left" w:pos="1584"/>
      </w:tabs>
      <w:spacing w:before="240" w:after="64" w:line="319" w:lineRule="auto"/>
      <w:ind w:left="1584" w:hanging="1584"/>
      <w:jc w:val="left"/>
      <w:outlineLvl w:val="8"/>
    </w:pPr>
    <w:rPr>
      <w:rFonts w:ascii="Arial" w:hAnsi="Arial" w:eastAsia="黑体"/>
      <w:kern w:val="0"/>
      <w:sz w:val="20"/>
      <w:szCs w:val="21"/>
    </w:rPr>
  </w:style>
  <w:style w:type="character" w:default="1" w:styleId="53">
    <w:name w:val="Default Paragraph Font"/>
    <w:uiPriority w:val="0"/>
  </w:style>
  <w:style w:type="table" w:default="1" w:styleId="51">
    <w:name w:val="Normal Table"/>
    <w:unhideWhenUsed/>
    <w:uiPriority w:val="99"/>
    <w:tblPr>
      <w:tblStyle w:val="51"/>
      <w:tblCellMar>
        <w:top w:w="0" w:type="dxa"/>
        <w:left w:w="108" w:type="dxa"/>
        <w:bottom w:w="0" w:type="dxa"/>
        <w:right w:w="108" w:type="dxa"/>
      </w:tblCellMar>
    </w:tblPr>
  </w:style>
  <w:style w:type="paragraph" w:styleId="11">
    <w:name w:val="List 3"/>
    <w:basedOn w:val="1"/>
    <w:uiPriority w:val="0"/>
    <w:pPr>
      <w:ind w:left="100" w:leftChars="400" w:hanging="200" w:hangingChars="200"/>
    </w:pPr>
  </w:style>
  <w:style w:type="paragraph" w:styleId="12">
    <w:name w:val="toc 7"/>
    <w:basedOn w:val="1"/>
    <w:next w:val="1"/>
    <w:uiPriority w:val="0"/>
    <w:pPr>
      <w:ind w:left="2520" w:leftChars="1200"/>
    </w:pPr>
    <w:rPr>
      <w:szCs w:val="24"/>
    </w:rPr>
  </w:style>
  <w:style w:type="paragraph" w:styleId="13">
    <w:name w:val="index 8"/>
    <w:basedOn w:val="1"/>
    <w:next w:val="1"/>
    <w:unhideWhenUsed/>
    <w:qFormat/>
    <w:uiPriority w:val="99"/>
    <w:pPr>
      <w:spacing w:line="276" w:lineRule="auto"/>
      <w:jc w:val="left"/>
    </w:pPr>
    <w:rPr>
      <w:color w:val="FF0000"/>
      <w:sz w:val="36"/>
      <w:szCs w:val="21"/>
    </w:rPr>
  </w:style>
  <w:style w:type="paragraph" w:styleId="14">
    <w:name w:val="Normal Indent"/>
    <w:basedOn w:val="1"/>
    <w:qFormat/>
    <w:uiPriority w:val="0"/>
    <w:pPr>
      <w:spacing w:before="50" w:beforeLines="50" w:line="400" w:lineRule="exact"/>
      <w:ind w:left="600" w:leftChars="600" w:right="400" w:rightChars="400" w:firstLine="217" w:firstLineChars="217"/>
    </w:pPr>
    <w:rPr>
      <w:sz w:val="24"/>
      <w:szCs w:val="24"/>
    </w:rPr>
  </w:style>
  <w:style w:type="paragraph" w:styleId="15">
    <w:name w:val="caption"/>
    <w:basedOn w:val="1"/>
    <w:next w:val="1"/>
    <w:qFormat/>
    <w:uiPriority w:val="0"/>
    <w:rPr>
      <w:rFonts w:ascii="Arial" w:hAnsi="Arial" w:eastAsia="黑体" w:cs="Arial"/>
      <w:sz w:val="20"/>
    </w:rPr>
  </w:style>
  <w:style w:type="paragraph" w:styleId="16">
    <w:name w:val="Document Map"/>
    <w:basedOn w:val="1"/>
    <w:link w:val="69"/>
    <w:unhideWhenUsed/>
    <w:uiPriority w:val="0"/>
    <w:rPr>
      <w:rFonts w:ascii="宋体"/>
      <w:sz w:val="18"/>
      <w:szCs w:val="18"/>
    </w:rPr>
  </w:style>
  <w:style w:type="paragraph" w:styleId="17">
    <w:name w:val="annotation text"/>
    <w:basedOn w:val="1"/>
    <w:link w:val="70"/>
    <w:qFormat/>
    <w:uiPriority w:val="0"/>
    <w:pPr>
      <w:jc w:val="left"/>
    </w:pPr>
  </w:style>
  <w:style w:type="paragraph" w:styleId="18">
    <w:name w:val="Body Text"/>
    <w:basedOn w:val="1"/>
    <w:next w:val="1"/>
    <w:link w:val="71"/>
    <w:qFormat/>
    <w:uiPriority w:val="99"/>
    <w:pPr>
      <w:spacing w:after="120" w:afterLines="0"/>
    </w:pPr>
  </w:style>
  <w:style w:type="paragraph" w:styleId="19">
    <w:name w:val="Body Text Indent"/>
    <w:basedOn w:val="1"/>
    <w:next w:val="1"/>
    <w:link w:val="72"/>
    <w:uiPriority w:val="0"/>
    <w:pPr>
      <w:autoSpaceDE w:val="0"/>
      <w:autoSpaceDN w:val="0"/>
      <w:adjustRightInd w:val="0"/>
      <w:spacing w:line="360" w:lineRule="auto"/>
      <w:ind w:firstLine="480"/>
      <w:jc w:val="left"/>
    </w:pPr>
    <w:rPr>
      <w:rFonts w:ascii="宋体" w:hAnsi="宋体"/>
      <w:kern w:val="0"/>
      <w:sz w:val="24"/>
    </w:rPr>
  </w:style>
  <w:style w:type="paragraph" w:styleId="20">
    <w:name w:val="List 2"/>
    <w:basedOn w:val="1"/>
    <w:uiPriority w:val="0"/>
    <w:pPr>
      <w:ind w:left="100" w:leftChars="200" w:hanging="200" w:hangingChars="200"/>
    </w:pPr>
  </w:style>
  <w:style w:type="paragraph" w:styleId="21">
    <w:name w:val="List Continue"/>
    <w:basedOn w:val="1"/>
    <w:uiPriority w:val="0"/>
    <w:pPr>
      <w:spacing w:after="120" w:afterLines="0"/>
      <w:ind w:left="420" w:leftChars="200"/>
    </w:pPr>
  </w:style>
  <w:style w:type="paragraph" w:styleId="22">
    <w:name w:val="Block Text"/>
    <w:basedOn w:val="1"/>
    <w:unhideWhenUsed/>
    <w:qFormat/>
    <w:uiPriority w:val="0"/>
    <w:pPr>
      <w:spacing w:after="120"/>
      <w:ind w:left="1440" w:leftChars="700" w:right="1440" w:rightChars="700"/>
    </w:pPr>
    <w:rPr>
      <w:rFonts w:ascii="Calibri" w:hAnsi="Calibri" w:eastAsia="宋体" w:cs="Times New Roman"/>
      <w:szCs w:val="24"/>
    </w:rPr>
  </w:style>
  <w:style w:type="paragraph" w:styleId="23">
    <w:name w:val="toc 5"/>
    <w:basedOn w:val="1"/>
    <w:next w:val="1"/>
    <w:uiPriority w:val="0"/>
    <w:pPr>
      <w:ind w:left="1680" w:leftChars="800"/>
    </w:pPr>
    <w:rPr>
      <w:szCs w:val="24"/>
    </w:rPr>
  </w:style>
  <w:style w:type="paragraph" w:styleId="24">
    <w:name w:val="toc 3"/>
    <w:basedOn w:val="1"/>
    <w:next w:val="1"/>
    <w:uiPriority w:val="0"/>
    <w:pPr>
      <w:tabs>
        <w:tab w:val="right" w:leader="dot" w:pos="9629"/>
      </w:tabs>
      <w:ind w:left="357" w:leftChars="170" w:firstLine="2" w:firstLineChars="1"/>
    </w:pPr>
  </w:style>
  <w:style w:type="paragraph" w:styleId="25">
    <w:name w:val="Plain Text"/>
    <w:basedOn w:val="1"/>
    <w:link w:val="73"/>
    <w:qFormat/>
    <w:uiPriority w:val="0"/>
    <w:rPr>
      <w:rFonts w:ascii="宋体" w:hAnsi="Courier New"/>
      <w:szCs w:val="22"/>
    </w:rPr>
  </w:style>
  <w:style w:type="paragraph" w:styleId="26">
    <w:name w:val="List Number 4"/>
    <w:basedOn w:val="1"/>
    <w:uiPriority w:val="0"/>
    <w:pPr>
      <w:numPr>
        <w:ilvl w:val="0"/>
        <w:numId w:val="2"/>
      </w:numPr>
      <w:tabs>
        <w:tab w:val="left" w:pos="1620"/>
      </w:tabs>
    </w:pPr>
    <w:rPr>
      <w:szCs w:val="24"/>
    </w:rPr>
  </w:style>
  <w:style w:type="paragraph" w:styleId="27">
    <w:name w:val="toc 8"/>
    <w:basedOn w:val="1"/>
    <w:next w:val="1"/>
    <w:uiPriority w:val="0"/>
    <w:pPr>
      <w:ind w:left="2940" w:leftChars="1400"/>
    </w:pPr>
    <w:rPr>
      <w:szCs w:val="24"/>
    </w:rPr>
  </w:style>
  <w:style w:type="paragraph" w:styleId="28">
    <w:name w:val="Date"/>
    <w:basedOn w:val="1"/>
    <w:next w:val="1"/>
    <w:link w:val="74"/>
    <w:uiPriority w:val="0"/>
    <w:rPr>
      <w:sz w:val="28"/>
    </w:rPr>
  </w:style>
  <w:style w:type="paragraph" w:styleId="29">
    <w:name w:val="Body Text Indent 2"/>
    <w:basedOn w:val="1"/>
    <w:link w:val="75"/>
    <w:uiPriority w:val="0"/>
    <w:pPr>
      <w:spacing w:after="120" w:line="480" w:lineRule="auto"/>
      <w:ind w:left="420" w:leftChars="200"/>
    </w:pPr>
  </w:style>
  <w:style w:type="paragraph" w:styleId="30">
    <w:name w:val="Balloon Text"/>
    <w:basedOn w:val="1"/>
    <w:link w:val="76"/>
    <w:uiPriority w:val="0"/>
    <w:rPr>
      <w:sz w:val="18"/>
      <w:szCs w:val="18"/>
    </w:rPr>
  </w:style>
  <w:style w:type="paragraph" w:styleId="31">
    <w:name w:val="footer"/>
    <w:basedOn w:val="1"/>
    <w:link w:val="77"/>
    <w:qFormat/>
    <w:uiPriority w:val="99"/>
    <w:pPr>
      <w:tabs>
        <w:tab w:val="center" w:pos="4153"/>
        <w:tab w:val="right" w:pos="8306"/>
      </w:tabs>
      <w:snapToGrid w:val="0"/>
      <w:jc w:val="left"/>
    </w:pPr>
    <w:rPr>
      <w:sz w:val="18"/>
    </w:rPr>
  </w:style>
  <w:style w:type="paragraph" w:styleId="32">
    <w:name w:val="header"/>
    <w:basedOn w:val="1"/>
    <w:link w:val="78"/>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paragraph" w:styleId="33">
    <w:name w:val="toc 1"/>
    <w:basedOn w:val="1"/>
    <w:next w:val="1"/>
    <w:uiPriority w:val="39"/>
    <w:pPr>
      <w:tabs>
        <w:tab w:val="left" w:pos="840"/>
        <w:tab w:val="right" w:leader="dot" w:pos="9629"/>
      </w:tabs>
    </w:pPr>
    <w:rPr>
      <w:rFonts w:ascii="仿宋_GB2312" w:eastAsia="仿宋_GB2312"/>
      <w:lang/>
    </w:rPr>
  </w:style>
  <w:style w:type="paragraph" w:styleId="34">
    <w:name w:val="toc 4"/>
    <w:basedOn w:val="1"/>
    <w:next w:val="1"/>
    <w:uiPriority w:val="0"/>
    <w:pPr>
      <w:ind w:left="1260" w:leftChars="600"/>
    </w:pPr>
    <w:rPr>
      <w:szCs w:val="24"/>
    </w:rPr>
  </w:style>
  <w:style w:type="paragraph" w:styleId="35">
    <w:name w:val="Subtitle"/>
    <w:basedOn w:val="1"/>
    <w:next w:val="1"/>
    <w:link w:val="79"/>
    <w:qFormat/>
    <w:uiPriority w:val="11"/>
    <w:pPr>
      <w:spacing w:before="240" w:after="60" w:line="312" w:lineRule="auto"/>
      <w:jc w:val="center"/>
      <w:outlineLvl w:val="1"/>
    </w:pPr>
    <w:rPr>
      <w:rFonts w:ascii="Cambria" w:hAnsi="Cambria"/>
      <w:b/>
      <w:bCs/>
      <w:kern w:val="28"/>
      <w:sz w:val="32"/>
      <w:szCs w:val="32"/>
    </w:rPr>
  </w:style>
  <w:style w:type="paragraph" w:styleId="36">
    <w:name w:val="List"/>
    <w:basedOn w:val="1"/>
    <w:uiPriority w:val="0"/>
    <w:pPr>
      <w:ind w:left="200" w:hanging="200" w:hangingChars="200"/>
    </w:pPr>
  </w:style>
  <w:style w:type="paragraph" w:styleId="37">
    <w:name w:val="toc 6"/>
    <w:basedOn w:val="1"/>
    <w:next w:val="1"/>
    <w:qFormat/>
    <w:uiPriority w:val="39"/>
    <w:pPr>
      <w:ind w:left="2100" w:leftChars="1000"/>
    </w:pPr>
    <w:rPr>
      <w:szCs w:val="24"/>
    </w:rPr>
  </w:style>
  <w:style w:type="paragraph" w:styleId="38">
    <w:name w:val="List 5"/>
    <w:basedOn w:val="1"/>
    <w:uiPriority w:val="0"/>
    <w:pPr>
      <w:ind w:left="100" w:leftChars="800" w:hanging="200" w:hangingChars="200"/>
    </w:pPr>
  </w:style>
  <w:style w:type="paragraph" w:styleId="39">
    <w:name w:val="Body Text Indent 3"/>
    <w:basedOn w:val="1"/>
    <w:link w:val="80"/>
    <w:unhideWhenUsed/>
    <w:uiPriority w:val="99"/>
    <w:pPr>
      <w:spacing w:after="120"/>
      <w:ind w:left="420" w:leftChars="200"/>
    </w:pPr>
    <w:rPr>
      <w:sz w:val="16"/>
      <w:szCs w:val="16"/>
    </w:rPr>
  </w:style>
  <w:style w:type="paragraph" w:styleId="40">
    <w:name w:val="toc 2"/>
    <w:basedOn w:val="1"/>
    <w:next w:val="1"/>
    <w:uiPriority w:val="39"/>
    <w:pPr>
      <w:tabs>
        <w:tab w:val="right" w:leader="dot" w:pos="9629"/>
      </w:tabs>
    </w:pPr>
    <w:rPr>
      <w:lang/>
    </w:rPr>
  </w:style>
  <w:style w:type="paragraph" w:styleId="41">
    <w:name w:val="toc 9"/>
    <w:basedOn w:val="1"/>
    <w:next w:val="1"/>
    <w:uiPriority w:val="0"/>
    <w:pPr>
      <w:ind w:left="3360" w:leftChars="1600"/>
    </w:pPr>
    <w:rPr>
      <w:szCs w:val="24"/>
    </w:rPr>
  </w:style>
  <w:style w:type="paragraph" w:styleId="42">
    <w:name w:val="Body Text 2"/>
    <w:basedOn w:val="1"/>
    <w:link w:val="81"/>
    <w:qFormat/>
    <w:uiPriority w:val="0"/>
    <w:pPr>
      <w:widowControl/>
      <w:numPr>
        <w:ilvl w:val="0"/>
        <w:numId w:val="1"/>
      </w:numPr>
      <w:spacing w:beforeLines="50" w:line="336" w:lineRule="auto"/>
      <w:ind w:left="0" w:firstLine="0"/>
    </w:pPr>
    <w:rPr>
      <w:rFonts w:eastAsia="黑体"/>
      <w:lang w:val="en-GB"/>
    </w:rPr>
  </w:style>
  <w:style w:type="paragraph" w:styleId="43">
    <w:name w:val="List 4"/>
    <w:basedOn w:val="1"/>
    <w:uiPriority w:val="0"/>
    <w:pPr>
      <w:ind w:left="100" w:leftChars="600" w:hanging="200" w:hangingChars="200"/>
    </w:pPr>
  </w:style>
  <w:style w:type="paragraph" w:styleId="44">
    <w:name w:val="List Continue 2"/>
    <w:basedOn w:val="1"/>
    <w:uiPriority w:val="0"/>
    <w:pPr>
      <w:spacing w:after="120" w:afterLines="0"/>
      <w:ind w:left="840" w:leftChars="400"/>
    </w:pPr>
  </w:style>
  <w:style w:type="paragraph" w:styleId="4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46">
    <w:name w:val="List Continue 3"/>
    <w:basedOn w:val="1"/>
    <w:uiPriority w:val="0"/>
    <w:pPr>
      <w:spacing w:after="120" w:afterLines="0"/>
      <w:ind w:left="1260" w:leftChars="600"/>
    </w:pPr>
  </w:style>
  <w:style w:type="paragraph" w:styleId="47">
    <w:name w:val="Title"/>
    <w:basedOn w:val="1"/>
    <w:link w:val="82"/>
    <w:qFormat/>
    <w:uiPriority w:val="10"/>
    <w:pPr>
      <w:widowControl/>
      <w:adjustRightInd w:val="0"/>
      <w:spacing w:before="240" w:after="60" w:line="420" w:lineRule="atLeast"/>
      <w:jc w:val="center"/>
      <w:textAlignment w:val="baseline"/>
      <w:outlineLvl w:val="0"/>
    </w:pPr>
    <w:rPr>
      <w:rFonts w:ascii="Arial" w:hAnsi="Arial"/>
      <w:b/>
      <w:kern w:val="0"/>
      <w:sz w:val="32"/>
    </w:rPr>
  </w:style>
  <w:style w:type="paragraph" w:styleId="48">
    <w:name w:val="annotation subject"/>
    <w:basedOn w:val="17"/>
    <w:next w:val="17"/>
    <w:link w:val="83"/>
    <w:uiPriority w:val="0"/>
    <w:rPr>
      <w:b/>
      <w:bCs/>
    </w:rPr>
  </w:style>
  <w:style w:type="paragraph" w:styleId="49">
    <w:name w:val="Body Text First Indent"/>
    <w:basedOn w:val="18"/>
    <w:link w:val="84"/>
    <w:qFormat/>
    <w:uiPriority w:val="0"/>
    <w:pPr>
      <w:ind w:firstLine="420" w:firstLineChars="100"/>
    </w:pPr>
  </w:style>
  <w:style w:type="paragraph" w:styleId="50">
    <w:name w:val="Body Text First Indent 2"/>
    <w:basedOn w:val="19"/>
    <w:link w:val="85"/>
    <w:qFormat/>
    <w:uiPriority w:val="0"/>
    <w:pPr>
      <w:autoSpaceDE/>
      <w:autoSpaceDN/>
      <w:adjustRightInd/>
      <w:spacing w:after="120" w:afterLines="0" w:line="240" w:lineRule="auto"/>
      <w:ind w:left="420" w:leftChars="200" w:firstLine="420" w:firstLineChars="200"/>
      <w:jc w:val="both"/>
    </w:pPr>
    <w:rPr>
      <w:rFonts w:ascii="Times New Roman" w:hAnsi="Times New Roman"/>
      <w:kern w:val="2"/>
      <w:sz w:val="21"/>
    </w:rPr>
  </w:style>
  <w:style w:type="table" w:styleId="52">
    <w:name w:val="Table Grid"/>
    <w:basedOn w:val="51"/>
    <w:qFormat/>
    <w:uiPriority w:val="99"/>
    <w:pPr>
      <w:widowControl w:val="0"/>
      <w:jc w:val="both"/>
    </w:pPr>
    <w:tblPr>
      <w:tblStyle w:val="5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0"/>
    <w:rPr>
      <w:b/>
      <w:bCs/>
    </w:rPr>
  </w:style>
  <w:style w:type="character" w:styleId="55">
    <w:name w:val="page number"/>
    <w:uiPriority w:val="0"/>
  </w:style>
  <w:style w:type="character" w:styleId="56">
    <w:name w:val="FollowedHyperlink"/>
    <w:unhideWhenUsed/>
    <w:uiPriority w:val="99"/>
    <w:rPr>
      <w:color w:val="333333"/>
      <w:u w:val="none"/>
    </w:rPr>
  </w:style>
  <w:style w:type="character" w:styleId="57">
    <w:name w:val="Emphasis"/>
    <w:qFormat/>
    <w:uiPriority w:val="0"/>
    <w:rPr>
      <w:color w:val="CC0000"/>
    </w:rPr>
  </w:style>
  <w:style w:type="character" w:styleId="58">
    <w:name w:val="Hyperlink"/>
    <w:uiPriority w:val="99"/>
    <w:rPr>
      <w:color w:val="333333"/>
      <w:u w:val="none"/>
    </w:rPr>
  </w:style>
  <w:style w:type="character" w:styleId="59">
    <w:name w:val="annotation reference"/>
    <w:uiPriority w:val="0"/>
    <w:rPr>
      <w:sz w:val="21"/>
      <w:szCs w:val="21"/>
    </w:rPr>
  </w:style>
  <w:style w:type="character" w:customStyle="1" w:styleId="60">
    <w:name w:val="标题 1 字符1"/>
    <w:link w:val="2"/>
    <w:uiPriority w:val="0"/>
    <w:rPr>
      <w:rFonts w:ascii="宋体"/>
      <w:kern w:val="2"/>
      <w:sz w:val="28"/>
    </w:rPr>
  </w:style>
  <w:style w:type="character" w:customStyle="1" w:styleId="61">
    <w:name w:val="标题 2 字符1"/>
    <w:link w:val="3"/>
    <w:uiPriority w:val="0"/>
    <w:rPr>
      <w:rFonts w:ascii="Arial" w:hAnsi="Arial" w:eastAsia="黑体"/>
      <w:b/>
      <w:bCs/>
      <w:kern w:val="2"/>
      <w:sz w:val="32"/>
      <w:szCs w:val="32"/>
      <w:lang w:val="en-US" w:eastAsia="zh-CN" w:bidi="ar-SA"/>
    </w:rPr>
  </w:style>
  <w:style w:type="character" w:customStyle="1" w:styleId="62">
    <w:name w:val="标题 3 字符1"/>
    <w:link w:val="4"/>
    <w:uiPriority w:val="0"/>
    <w:rPr>
      <w:b/>
      <w:bCs/>
      <w:kern w:val="2"/>
      <w:sz w:val="32"/>
      <w:szCs w:val="32"/>
    </w:rPr>
  </w:style>
  <w:style w:type="character" w:customStyle="1" w:styleId="63">
    <w:name w:val="标题 4 字符1"/>
    <w:link w:val="5"/>
    <w:uiPriority w:val="0"/>
    <w:rPr>
      <w:rFonts w:hAnsi="Cambria"/>
      <w:b/>
      <w:bCs/>
      <w:kern w:val="2"/>
      <w:sz w:val="28"/>
      <w:szCs w:val="28"/>
    </w:rPr>
  </w:style>
  <w:style w:type="character" w:customStyle="1" w:styleId="64">
    <w:name w:val="标题 5 字符"/>
    <w:link w:val="6"/>
    <w:semiHidden/>
    <w:uiPriority w:val="9"/>
    <w:rPr>
      <w:rFonts w:ascii="等线" w:hAnsi="等线" w:eastAsia="等线"/>
      <w:color w:val="0F4761"/>
      <w:kern w:val="2"/>
      <w:sz w:val="24"/>
      <w:szCs w:val="24"/>
    </w:rPr>
  </w:style>
  <w:style w:type="character" w:customStyle="1" w:styleId="65">
    <w:name w:val="标题 6 字符1"/>
    <w:link w:val="7"/>
    <w:uiPriority w:val="0"/>
    <w:rPr>
      <w:rFonts w:ascii="Arial" w:hAnsi="Arial" w:eastAsia="黑体" w:cs="Arial"/>
      <w:b/>
      <w:bCs/>
      <w:sz w:val="24"/>
    </w:rPr>
  </w:style>
  <w:style w:type="character" w:customStyle="1" w:styleId="66">
    <w:name w:val="标题 7 字符1"/>
    <w:link w:val="8"/>
    <w:uiPriority w:val="0"/>
    <w:rPr>
      <w:rFonts w:ascii="Calibri" w:hAnsi="Calibri" w:eastAsia="宋体" w:cs="Arial"/>
      <w:b/>
      <w:bCs/>
      <w:sz w:val="24"/>
    </w:rPr>
  </w:style>
  <w:style w:type="character" w:customStyle="1" w:styleId="67">
    <w:name w:val="标题 8 字符1"/>
    <w:link w:val="9"/>
    <w:uiPriority w:val="0"/>
    <w:rPr>
      <w:rFonts w:ascii="Arial" w:hAnsi="Arial" w:eastAsia="黑体" w:cs="Arial"/>
      <w:sz w:val="24"/>
    </w:rPr>
  </w:style>
  <w:style w:type="character" w:customStyle="1" w:styleId="68">
    <w:name w:val="标题 9 字符1"/>
    <w:link w:val="10"/>
    <w:uiPriority w:val="0"/>
    <w:rPr>
      <w:rFonts w:ascii="Arial" w:hAnsi="Arial" w:eastAsia="黑体" w:cs="Arial"/>
      <w:szCs w:val="21"/>
    </w:rPr>
  </w:style>
  <w:style w:type="character" w:customStyle="1" w:styleId="69">
    <w:name w:val="文档结构图 字符1"/>
    <w:link w:val="16"/>
    <w:semiHidden/>
    <w:uiPriority w:val="0"/>
    <w:rPr>
      <w:rFonts w:ascii="宋体"/>
      <w:kern w:val="2"/>
      <w:sz w:val="18"/>
      <w:szCs w:val="18"/>
    </w:rPr>
  </w:style>
  <w:style w:type="character" w:customStyle="1" w:styleId="70">
    <w:name w:val="批注文字 字符1"/>
    <w:link w:val="17"/>
    <w:uiPriority w:val="0"/>
    <w:rPr>
      <w:kern w:val="2"/>
      <w:sz w:val="21"/>
    </w:rPr>
  </w:style>
  <w:style w:type="character" w:customStyle="1" w:styleId="71">
    <w:name w:val="正文文本 字符1"/>
    <w:link w:val="18"/>
    <w:qFormat/>
    <w:uiPriority w:val="99"/>
    <w:rPr>
      <w:kern w:val="2"/>
      <w:sz w:val="21"/>
    </w:rPr>
  </w:style>
  <w:style w:type="character" w:customStyle="1" w:styleId="72">
    <w:name w:val="正文文本缩进 字符1"/>
    <w:link w:val="19"/>
    <w:uiPriority w:val="0"/>
    <w:rPr>
      <w:rFonts w:ascii="宋体" w:hAnsi="宋体"/>
      <w:sz w:val="24"/>
    </w:rPr>
  </w:style>
  <w:style w:type="character" w:customStyle="1" w:styleId="73">
    <w:name w:val="纯文本 字符1"/>
    <w:link w:val="25"/>
    <w:uiPriority w:val="0"/>
    <w:rPr>
      <w:rFonts w:ascii="宋体" w:hAnsi="Courier New"/>
      <w:kern w:val="2"/>
      <w:sz w:val="21"/>
      <w:szCs w:val="22"/>
    </w:rPr>
  </w:style>
  <w:style w:type="character" w:customStyle="1" w:styleId="74">
    <w:name w:val="日期 字符1"/>
    <w:link w:val="28"/>
    <w:uiPriority w:val="0"/>
    <w:rPr>
      <w:kern w:val="2"/>
      <w:sz w:val="28"/>
    </w:rPr>
  </w:style>
  <w:style w:type="character" w:customStyle="1" w:styleId="75">
    <w:name w:val="正文文本缩进 2 字符"/>
    <w:link w:val="29"/>
    <w:uiPriority w:val="0"/>
    <w:rPr>
      <w:kern w:val="2"/>
      <w:sz w:val="21"/>
    </w:rPr>
  </w:style>
  <w:style w:type="character" w:customStyle="1" w:styleId="76">
    <w:name w:val="批注框文本 字符1"/>
    <w:link w:val="30"/>
    <w:uiPriority w:val="0"/>
    <w:rPr>
      <w:kern w:val="2"/>
      <w:sz w:val="18"/>
      <w:szCs w:val="18"/>
    </w:rPr>
  </w:style>
  <w:style w:type="character" w:customStyle="1" w:styleId="77">
    <w:name w:val="页脚 字符2"/>
    <w:link w:val="31"/>
    <w:uiPriority w:val="0"/>
    <w:rPr>
      <w:kern w:val="2"/>
      <w:sz w:val="18"/>
    </w:rPr>
  </w:style>
  <w:style w:type="character" w:customStyle="1" w:styleId="78">
    <w:name w:val="页眉 字符2"/>
    <w:link w:val="32"/>
    <w:uiPriority w:val="0"/>
    <w:rPr>
      <w:kern w:val="2"/>
      <w:sz w:val="18"/>
      <w:szCs w:val="18"/>
    </w:rPr>
  </w:style>
  <w:style w:type="character" w:customStyle="1" w:styleId="79">
    <w:name w:val="副标题 字符1"/>
    <w:link w:val="35"/>
    <w:uiPriority w:val="11"/>
    <w:rPr>
      <w:rFonts w:ascii="Cambria" w:hAnsi="Cambria" w:cs="Times New Roman"/>
      <w:b/>
      <w:bCs/>
      <w:kern w:val="28"/>
      <w:sz w:val="32"/>
      <w:szCs w:val="32"/>
    </w:rPr>
  </w:style>
  <w:style w:type="character" w:customStyle="1" w:styleId="80">
    <w:name w:val="正文文本缩进 3 字符1"/>
    <w:link w:val="39"/>
    <w:semiHidden/>
    <w:uiPriority w:val="99"/>
    <w:rPr>
      <w:kern w:val="2"/>
      <w:sz w:val="16"/>
      <w:szCs w:val="16"/>
    </w:rPr>
  </w:style>
  <w:style w:type="character" w:customStyle="1" w:styleId="81">
    <w:name w:val="正文文本 2 字符1"/>
    <w:link w:val="42"/>
    <w:uiPriority w:val="0"/>
    <w:rPr>
      <w:rFonts w:eastAsia="黑体"/>
      <w:kern w:val="2"/>
      <w:sz w:val="21"/>
      <w:lang w:val="en-GB"/>
    </w:rPr>
  </w:style>
  <w:style w:type="character" w:customStyle="1" w:styleId="82">
    <w:name w:val="标题 字符1"/>
    <w:link w:val="47"/>
    <w:uiPriority w:val="0"/>
    <w:rPr>
      <w:rFonts w:ascii="Arial" w:hAnsi="Arial" w:eastAsia="宋体" w:cs="Arial"/>
      <w:b/>
      <w:sz w:val="32"/>
    </w:rPr>
  </w:style>
  <w:style w:type="character" w:customStyle="1" w:styleId="83">
    <w:name w:val="批注主题 字符1"/>
    <w:link w:val="48"/>
    <w:uiPriority w:val="0"/>
    <w:rPr>
      <w:b/>
      <w:bCs/>
      <w:kern w:val="2"/>
      <w:sz w:val="21"/>
    </w:rPr>
  </w:style>
  <w:style w:type="character" w:customStyle="1" w:styleId="84">
    <w:name w:val="正文文本首行缩进 字符1"/>
    <w:link w:val="49"/>
    <w:uiPriority w:val="0"/>
  </w:style>
  <w:style w:type="character" w:customStyle="1" w:styleId="85">
    <w:name w:val="正文文本首行缩进 2 字符1"/>
    <w:link w:val="50"/>
    <w:uiPriority w:val="0"/>
    <w:rPr>
      <w:kern w:val="2"/>
      <w:sz w:val="21"/>
    </w:rPr>
  </w:style>
  <w:style w:type="paragraph" w:customStyle="1" w:styleId="86">
    <w:name w:val="Default"/>
    <w:qFormat/>
    <w:uiPriority w:val="0"/>
    <w:pPr>
      <w:widowControl w:val="0"/>
      <w:autoSpaceDE w:val="0"/>
      <w:autoSpaceDN w:val="0"/>
      <w:adjustRightInd w:val="0"/>
    </w:pPr>
    <w:rPr>
      <w:rFonts w:ascii="宋体" w:hAnsi="宋体" w:cs="宋体"/>
      <w:color w:val="000000"/>
      <w:sz w:val="24"/>
      <w:szCs w:val="24"/>
      <w:lang w:val="en-US" w:eastAsia="zh-CN" w:bidi="ar-SA"/>
    </w:rPr>
  </w:style>
  <w:style w:type="character" w:customStyle="1" w:styleId="87">
    <w:name w:val="15"/>
    <w:qFormat/>
    <w:uiPriority w:val="0"/>
    <w:rPr>
      <w:rFonts w:hint="default" w:ascii="Times New Roman" w:hAnsi="Times New Roman" w:cs="Times New Roman"/>
      <w:color w:val="0000FF"/>
    </w:rPr>
  </w:style>
  <w:style w:type="paragraph" w:customStyle="1" w:styleId="88">
    <w:name w:val="Table Paragraph"/>
    <w:basedOn w:val="1"/>
    <w:qFormat/>
    <w:uiPriority w:val="99"/>
  </w:style>
  <w:style w:type="paragraph" w:customStyle="1" w:styleId="89">
    <w:name w:val="Char"/>
    <w:basedOn w:val="1"/>
    <w:uiPriority w:val="0"/>
    <w:pPr>
      <w:widowControl/>
      <w:spacing w:after="160" w:afterLines="0" w:line="240" w:lineRule="exact"/>
      <w:jc w:val="left"/>
    </w:pPr>
  </w:style>
  <w:style w:type="paragraph" w:customStyle="1" w:styleId="90">
    <w:name w:val="F00"/>
    <w:basedOn w:val="1"/>
    <w:uiPriority w:val="0"/>
    <w:pPr>
      <w:tabs>
        <w:tab w:val="left" w:pos="2235"/>
      </w:tabs>
      <w:spacing w:line="500" w:lineRule="exact"/>
      <w:ind w:firstLine="353" w:firstLineChars="147"/>
    </w:pPr>
    <w:rPr>
      <w:rFonts w:ascii="宋体" w:hAnsi="宋体"/>
      <w:sz w:val="24"/>
      <w:szCs w:val="24"/>
    </w:rPr>
  </w:style>
  <w:style w:type="paragraph" w:customStyle="1" w:styleId="91">
    <w:name w:val="一级条标题"/>
    <w:basedOn w:val="92"/>
    <w:next w:val="93"/>
    <w:qFormat/>
    <w:uiPriority w:val="0"/>
    <w:pPr>
      <w:spacing w:line="240" w:lineRule="auto"/>
      <w:ind w:left="420"/>
      <w:outlineLvl w:val="2"/>
    </w:pPr>
  </w:style>
  <w:style w:type="paragraph" w:customStyle="1" w:styleId="92">
    <w:name w:val="章标题"/>
    <w:next w:val="1"/>
    <w:qFormat/>
    <w:uiPriority w:val="0"/>
    <w:pPr>
      <w:spacing w:line="360" w:lineRule="auto"/>
      <w:jc w:val="both"/>
      <w:outlineLvl w:val="1"/>
    </w:pPr>
    <w:rPr>
      <w:rFonts w:ascii="黑体" w:eastAsia="黑体" w:cs="黑体"/>
      <w:sz w:val="21"/>
      <w:szCs w:val="21"/>
      <w:lang w:val="en-US" w:eastAsia="zh-CN" w:bidi="ar-SA"/>
    </w:rPr>
  </w:style>
  <w:style w:type="paragraph" w:customStyle="1" w:styleId="93">
    <w:name w:val="段"/>
    <w:next w:val="1"/>
    <w:qFormat/>
    <w:uiPriority w:val="0"/>
    <w:pPr>
      <w:autoSpaceDE w:val="0"/>
      <w:autoSpaceDN w:val="0"/>
      <w:ind w:firstLine="200" w:firstLineChars="200"/>
      <w:jc w:val="both"/>
    </w:pPr>
    <w:rPr>
      <w:rFonts w:ascii="宋体" w:eastAsia="微软雅黑" w:cs="Calibri"/>
      <w:sz w:val="22"/>
      <w:szCs w:val="22"/>
      <w:lang w:val="en-US" w:eastAsia="zh-CN" w:bidi="ar-SA"/>
    </w:rPr>
  </w:style>
  <w:style w:type="paragraph" w:customStyle="1" w:styleId="94">
    <w:name w:val="Normal"/>
    <w:uiPriority w:val="0"/>
    <w:pPr>
      <w:widowControl w:val="0"/>
      <w:adjustRightInd w:val="0"/>
      <w:spacing w:line="312" w:lineRule="atLeast"/>
      <w:jc w:val="both"/>
      <w:textAlignment w:val="baseline"/>
    </w:pPr>
    <w:rPr>
      <w:rFonts w:ascii="宋体"/>
      <w:sz w:val="34"/>
      <w:lang w:val="en-US" w:eastAsia="zh-CN" w:bidi="ar-SA"/>
    </w:rPr>
  </w:style>
  <w:style w:type="paragraph" w:customStyle="1" w:styleId="95">
    <w:name w:val="表格内容"/>
    <w:basedOn w:val="1"/>
    <w:uiPriority w:val="0"/>
    <w:pPr>
      <w:tabs>
        <w:tab w:val="left" w:pos="0"/>
      </w:tabs>
      <w:jc w:val="center"/>
    </w:pPr>
    <w:rPr>
      <w:rFonts w:ascii="宋体" w:hAnsi="宋体"/>
      <w:sz w:val="24"/>
      <w:szCs w:val="24"/>
    </w:rPr>
  </w:style>
  <w:style w:type="paragraph" w:styleId="96">
    <w:name w:val="List Paragraph"/>
    <w:basedOn w:val="1"/>
    <w:qFormat/>
    <w:uiPriority w:val="34"/>
    <w:pPr>
      <w:ind w:firstLine="420" w:firstLineChars="200"/>
    </w:pPr>
    <w:rPr>
      <w:szCs w:val="24"/>
    </w:rPr>
  </w:style>
  <w:style w:type="paragraph" w:customStyle="1" w:styleId="97">
    <w:name w:val=" Char"/>
    <w:basedOn w:val="1"/>
    <w:uiPriority w:val="0"/>
    <w:rPr>
      <w:rFonts w:ascii="仿宋_GB2312" w:eastAsia="仿宋_GB2312"/>
      <w:b/>
      <w:sz w:val="32"/>
      <w:szCs w:val="32"/>
    </w:rPr>
  </w:style>
  <w:style w:type="table" w:customStyle="1" w:styleId="98">
    <w:name w:val="网格型1"/>
    <w:basedOn w:val="51"/>
    <w:uiPriority w:val="59"/>
    <w:rPr>
      <w:rFonts w:ascii="Calibri" w:hAnsi="Calibri" w:eastAsia="宋体" w:cs="Times New Roman"/>
      <w:kern w:val="2"/>
      <w:sz w:val="21"/>
      <w:szCs w:val="22"/>
    </w:rPr>
    <w:tblPr>
      <w:tblStyle w:val="5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9">
    <w:name w:val="_Style 9"/>
    <w:basedOn w:val="1"/>
    <w:uiPriority w:val="0"/>
    <w:rPr>
      <w:szCs w:val="24"/>
    </w:rPr>
  </w:style>
  <w:style w:type="paragraph" w:customStyle="1" w:styleId="100">
    <w:name w:val="_Style 2"/>
    <w:basedOn w:val="1"/>
    <w:qFormat/>
    <w:uiPriority w:val="34"/>
    <w:pPr>
      <w:widowControl/>
      <w:ind w:firstLine="420" w:firstLineChars="200"/>
      <w:jc w:val="left"/>
    </w:pPr>
    <w:rPr>
      <w:rFonts w:ascii="Calibri" w:hAnsi="Calibri" w:eastAsia="宋体" w:cs="Arial"/>
      <w:kern w:val="0"/>
      <w:sz w:val="20"/>
      <w:szCs w:val="22"/>
    </w:rPr>
  </w:style>
  <w:style w:type="paragraph" w:customStyle="1" w:styleId="101">
    <w:name w:val="报告正文"/>
    <w:basedOn w:val="1"/>
    <w:qFormat/>
    <w:uiPriority w:val="0"/>
    <w:pPr>
      <w:widowControl/>
      <w:spacing w:line="360" w:lineRule="auto"/>
      <w:ind w:firstLine="573"/>
      <w:jc w:val="left"/>
      <w:outlineLvl w:val="3"/>
    </w:pPr>
    <w:rPr>
      <w:rFonts w:ascii="宋体" w:hAnsi="宋体" w:eastAsia="宋体" w:cs="Arial"/>
      <w:kern w:val="0"/>
      <w:sz w:val="24"/>
    </w:rPr>
  </w:style>
  <w:style w:type="paragraph" w:customStyle="1" w:styleId="102">
    <w:name w:val="WW-普通文字"/>
    <w:basedOn w:val="1"/>
    <w:qFormat/>
    <w:uiPriority w:val="0"/>
    <w:pPr>
      <w:widowControl/>
      <w:suppressAutoHyphens/>
      <w:jc w:val="left"/>
    </w:pPr>
    <w:rPr>
      <w:rFonts w:ascii="宋体" w:hAnsi="宋体" w:eastAsia="宋体" w:cs="Arial"/>
      <w:kern w:val="1"/>
      <w:sz w:val="20"/>
    </w:rPr>
  </w:style>
  <w:style w:type="paragraph" w:customStyle="1" w:styleId="103">
    <w:name w:val="目录 21"/>
    <w:next w:val="1"/>
    <w:uiPriority w:val="0"/>
    <w:pPr>
      <w:wordWrap w:val="0"/>
      <w:jc w:val="both"/>
    </w:pPr>
    <w:rPr>
      <w:sz w:val="21"/>
      <w:szCs w:val="22"/>
      <w:lang w:val="en-US" w:eastAsia="zh-CN" w:bidi="ar-SA"/>
    </w:rPr>
  </w:style>
  <w:style w:type="character" w:customStyle="1" w:styleId="104">
    <w:name w:val=" Char Char"/>
    <w:uiPriority w:val="0"/>
    <w:rPr>
      <w:rFonts w:ascii="Arial" w:hAnsi="Arial" w:eastAsia="黑体"/>
      <w:b/>
      <w:bCs/>
      <w:sz w:val="32"/>
      <w:szCs w:val="32"/>
    </w:rPr>
  </w:style>
  <w:style w:type="paragraph" w:customStyle="1" w:styleId="105">
    <w:name w:val="首行缩进"/>
    <w:basedOn w:val="1"/>
    <w:qFormat/>
    <w:uiPriority w:val="0"/>
    <w:pPr>
      <w:spacing w:line="360" w:lineRule="auto"/>
      <w:ind w:firstLine="480" w:firstLineChars="200"/>
    </w:pPr>
    <w:rPr>
      <w:rFonts w:ascii="宋体" w:hAnsi="宋体" w:cs="宋体"/>
      <w:kern w:val="0"/>
      <w:sz w:val="24"/>
      <w:szCs w:val="22"/>
    </w:rPr>
  </w:style>
  <w:style w:type="character" w:customStyle="1" w:styleId="106">
    <w:name w:val="gpa"/>
    <w:uiPriority w:val="0"/>
    <w:rPr>
      <w:rFonts w:ascii="Arial" w:hAnsi="Arial" w:cs="Arial"/>
      <w:sz w:val="15"/>
      <w:szCs w:val="15"/>
    </w:rPr>
  </w:style>
  <w:style w:type="character" w:customStyle="1" w:styleId="107">
    <w:name w:val="selected"/>
    <w:uiPriority w:val="0"/>
    <w:rPr>
      <w:shd w:val="clear" w:color="auto" w:fill="B00006"/>
    </w:rPr>
  </w:style>
  <w:style w:type="character" w:customStyle="1" w:styleId="108">
    <w:name w:val="bumpedfont15"/>
    <w:uiPriority w:val="0"/>
  </w:style>
  <w:style w:type="character" w:customStyle="1" w:styleId="109">
    <w:name w:val="font61"/>
    <w:qFormat/>
    <w:uiPriority w:val="0"/>
    <w:rPr>
      <w:rFonts w:hint="eastAsia" w:ascii="宋体" w:hAnsi="宋体" w:eastAsia="宋体" w:cs="宋体"/>
      <w:color w:val="000000"/>
      <w:sz w:val="18"/>
      <w:szCs w:val="18"/>
      <w:u w:val="none"/>
    </w:rPr>
  </w:style>
  <w:style w:type="character" w:customStyle="1" w:styleId="110">
    <w:name w:val="font31"/>
    <w:qFormat/>
    <w:uiPriority w:val="0"/>
    <w:rPr>
      <w:rFonts w:ascii="DotumChe" w:hAnsi="DotumChe" w:eastAsia="DotumChe" w:cs="DotumChe"/>
      <w:color w:val="000000"/>
      <w:sz w:val="18"/>
      <w:szCs w:val="18"/>
      <w:u w:val="none"/>
    </w:rPr>
  </w:style>
  <w:style w:type="character" w:customStyle="1" w:styleId="111">
    <w:name w:val="font41"/>
    <w:qFormat/>
    <w:uiPriority w:val="0"/>
    <w:rPr>
      <w:rFonts w:hint="eastAsia" w:ascii="宋体" w:hAnsi="宋体" w:eastAsia="宋体" w:cs="宋体"/>
      <w:color w:val="FF0000"/>
      <w:sz w:val="18"/>
      <w:szCs w:val="18"/>
      <w:u w:val="none"/>
    </w:rPr>
  </w:style>
  <w:style w:type="character" w:customStyle="1" w:styleId="112">
    <w:name w:val="displayarti"/>
    <w:uiPriority w:val="0"/>
    <w:rPr>
      <w:color w:val="FFFFFF"/>
      <w:shd w:val="clear" w:color="auto" w:fill="A00000"/>
    </w:rPr>
  </w:style>
  <w:style w:type="paragraph" w:customStyle="1" w:styleId="113">
    <w:name w:val="样式1"/>
    <w:basedOn w:val="3"/>
    <w:uiPriority w:val="0"/>
    <w:pPr>
      <w:ind w:firstLine="628"/>
      <w:jc w:val="center"/>
    </w:pPr>
  </w:style>
  <w:style w:type="paragraph" w:customStyle="1" w:styleId="114">
    <w:name w:val="Default1"/>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115">
    <w:name w:val="s5"/>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16">
    <w:name w:val="列出段落1"/>
    <w:basedOn w:val="1"/>
    <w:qFormat/>
    <w:uiPriority w:val="0"/>
    <w:pPr>
      <w:ind w:firstLine="420" w:firstLineChars="200"/>
    </w:pPr>
    <w:rPr>
      <w:rFonts w:ascii="Calibri" w:hAnsi="Calibri"/>
      <w:szCs w:val="22"/>
    </w:rPr>
  </w:style>
  <w:style w:type="paragraph" w:customStyle="1" w:styleId="117">
    <w:name w:val="List Paragraph"/>
    <w:basedOn w:val="1"/>
    <w:uiPriority w:val="0"/>
    <w:pPr>
      <w:ind w:firstLine="420" w:firstLineChars="200"/>
    </w:pPr>
    <w:rPr>
      <w:rFonts w:ascii="Calibri" w:hAnsi="Calibri"/>
      <w:szCs w:val="22"/>
    </w:rPr>
  </w:style>
  <w:style w:type="table" w:customStyle="1" w:styleId="118">
    <w:name w:val="Table Normal"/>
    <w:unhideWhenUsed/>
    <w:qFormat/>
    <w:uiPriority w:val="0"/>
    <w:rPr>
      <w:lang w:val="en-US" w:eastAsia="zh-CN" w:bidi="ar-SA"/>
    </w:rPr>
    <w:tblPr>
      <w:tblStyle w:val="51"/>
      <w:tblCellMar>
        <w:top w:w="0" w:type="dxa"/>
        <w:left w:w="0" w:type="dxa"/>
        <w:bottom w:w="0" w:type="dxa"/>
        <w:right w:w="0" w:type="dxa"/>
      </w:tblCellMar>
    </w:tblPr>
  </w:style>
  <w:style w:type="paragraph" w:customStyle="1" w:styleId="119">
    <w:name w:val="列表段落1"/>
    <w:basedOn w:val="1"/>
    <w:qFormat/>
    <w:uiPriority w:val="34"/>
    <w:pPr>
      <w:ind w:firstLine="420" w:firstLineChars="200"/>
    </w:pPr>
    <w:rPr>
      <w:rFonts w:ascii="Cambria" w:hAnsi="Cambria" w:eastAsia="宋体" w:cs="Times New Roman"/>
      <w:sz w:val="24"/>
      <w:szCs w:val="24"/>
    </w:rPr>
  </w:style>
  <w:style w:type="paragraph" w:customStyle="1" w:styleId="120">
    <w:name w:val="标题AB3"/>
    <w:basedOn w:val="1"/>
    <w:uiPriority w:val="0"/>
    <w:pPr>
      <w:spacing w:line="560" w:lineRule="exact"/>
      <w:jc w:val="center"/>
    </w:pPr>
    <w:rPr>
      <w:rFonts w:ascii="宋体" w:hAnsi="宋体"/>
      <w:b/>
      <w:sz w:val="28"/>
      <w:szCs w:val="24"/>
    </w:rPr>
  </w:style>
  <w:style w:type="character" w:customStyle="1" w:styleId="121">
    <w:name w:val="cf01"/>
    <w:uiPriority w:val="0"/>
    <w:rPr>
      <w:rFonts w:hint="eastAsia" w:ascii="Microsoft YaHei UI" w:hAnsi="Microsoft YaHei UI" w:eastAsia="Microsoft YaHei UI"/>
      <w:sz w:val="18"/>
      <w:szCs w:val="18"/>
    </w:rPr>
  </w:style>
  <w:style w:type="character" w:styleId="122">
    <w:name w:val=""/>
    <w:unhideWhenUsed/>
    <w:uiPriority w:val="99"/>
    <w:rPr>
      <w:color w:val="605E5C"/>
      <w:shd w:val="clear" w:color="auto" w:fill="E1DFDD"/>
    </w:rPr>
  </w:style>
  <w:style w:type="character" w:customStyle="1" w:styleId="123">
    <w:name w:val="页脚 字符"/>
    <w:uiPriority w:val="99"/>
    <w:rPr>
      <w:kern w:val="2"/>
      <w:sz w:val="18"/>
      <w:szCs w:val="18"/>
    </w:rPr>
  </w:style>
  <w:style w:type="character" w:customStyle="1" w:styleId="124">
    <w:name w:val="标题 1 字符"/>
    <w:uiPriority w:val="9"/>
    <w:rPr>
      <w:rFonts w:ascii="宋体"/>
      <w:kern w:val="2"/>
      <w:sz w:val="28"/>
    </w:rPr>
  </w:style>
  <w:style w:type="character" w:customStyle="1" w:styleId="125">
    <w:name w:val="标题 2 字符"/>
    <w:uiPriority w:val="9"/>
    <w:rPr>
      <w:rFonts w:ascii="Arial" w:hAnsi="Arial" w:eastAsia="黑体"/>
      <w:b/>
      <w:bCs/>
      <w:kern w:val="2"/>
      <w:sz w:val="32"/>
      <w:szCs w:val="32"/>
    </w:rPr>
  </w:style>
  <w:style w:type="character" w:customStyle="1" w:styleId="126">
    <w:name w:val="标题 3 字符"/>
    <w:uiPriority w:val="9"/>
    <w:rPr>
      <w:b/>
      <w:bCs/>
      <w:kern w:val="2"/>
      <w:sz w:val="32"/>
      <w:szCs w:val="32"/>
    </w:rPr>
  </w:style>
  <w:style w:type="character" w:customStyle="1" w:styleId="127">
    <w:name w:val="标题 4 字符"/>
    <w:uiPriority w:val="9"/>
    <w:rPr>
      <w:rFonts w:hAnsi="Cambria"/>
      <w:b/>
      <w:bCs/>
      <w:kern w:val="2"/>
      <w:sz w:val="28"/>
      <w:szCs w:val="28"/>
    </w:rPr>
  </w:style>
  <w:style w:type="character" w:customStyle="1" w:styleId="128">
    <w:name w:val="标题 6 字符"/>
    <w:uiPriority w:val="9"/>
    <w:rPr>
      <w:rFonts w:ascii="Arial" w:hAnsi="Arial" w:eastAsia="黑体" w:cs="Arial"/>
      <w:b/>
      <w:bCs/>
      <w:sz w:val="24"/>
    </w:rPr>
  </w:style>
  <w:style w:type="character" w:customStyle="1" w:styleId="129">
    <w:name w:val="标题 7 字符"/>
    <w:uiPriority w:val="9"/>
    <w:rPr>
      <w:rFonts w:ascii="Calibri" w:hAnsi="Calibri" w:cs="Arial"/>
      <w:b/>
      <w:bCs/>
      <w:sz w:val="24"/>
    </w:rPr>
  </w:style>
  <w:style w:type="character" w:customStyle="1" w:styleId="130">
    <w:name w:val="标题 8 字符"/>
    <w:uiPriority w:val="9"/>
    <w:rPr>
      <w:rFonts w:ascii="Arial" w:hAnsi="Arial" w:eastAsia="黑体" w:cs="Arial"/>
      <w:sz w:val="24"/>
    </w:rPr>
  </w:style>
  <w:style w:type="character" w:customStyle="1" w:styleId="131">
    <w:name w:val="标题 9 字符"/>
    <w:uiPriority w:val="9"/>
    <w:rPr>
      <w:rFonts w:ascii="Arial" w:hAnsi="Arial" w:eastAsia="黑体" w:cs="Arial"/>
      <w:szCs w:val="21"/>
    </w:rPr>
  </w:style>
  <w:style w:type="character" w:customStyle="1" w:styleId="132">
    <w:name w:val="文档结构图 字符"/>
    <w:uiPriority w:val="0"/>
    <w:rPr>
      <w:rFonts w:ascii="宋体"/>
      <w:kern w:val="2"/>
      <w:sz w:val="18"/>
      <w:szCs w:val="18"/>
    </w:rPr>
  </w:style>
  <w:style w:type="character" w:customStyle="1" w:styleId="133">
    <w:name w:val="批注文字 字符"/>
    <w:uiPriority w:val="0"/>
    <w:rPr>
      <w:kern w:val="2"/>
      <w:sz w:val="21"/>
    </w:rPr>
  </w:style>
  <w:style w:type="character" w:customStyle="1" w:styleId="134">
    <w:name w:val="正文文本 字符"/>
    <w:qFormat/>
    <w:uiPriority w:val="99"/>
    <w:rPr>
      <w:kern w:val="2"/>
      <w:sz w:val="21"/>
    </w:rPr>
  </w:style>
  <w:style w:type="character" w:customStyle="1" w:styleId="135">
    <w:name w:val="正文文本缩进 字符"/>
    <w:uiPriority w:val="0"/>
    <w:rPr>
      <w:rFonts w:ascii="宋体" w:hAnsi="宋体"/>
      <w:sz w:val="24"/>
    </w:rPr>
  </w:style>
  <w:style w:type="character" w:customStyle="1" w:styleId="136">
    <w:name w:val="纯文本 字符"/>
    <w:uiPriority w:val="0"/>
    <w:rPr>
      <w:rFonts w:ascii="宋体" w:hAnsi="Courier New"/>
      <w:kern w:val="2"/>
      <w:sz w:val="21"/>
      <w:szCs w:val="22"/>
    </w:rPr>
  </w:style>
  <w:style w:type="character" w:customStyle="1" w:styleId="137">
    <w:name w:val="日期 字符"/>
    <w:uiPriority w:val="0"/>
    <w:rPr>
      <w:kern w:val="2"/>
      <w:sz w:val="21"/>
      <w:szCs w:val="24"/>
    </w:rPr>
  </w:style>
  <w:style w:type="character" w:customStyle="1" w:styleId="138">
    <w:name w:val="批注框文本 字符"/>
    <w:uiPriority w:val="0"/>
    <w:rPr>
      <w:kern w:val="2"/>
      <w:sz w:val="18"/>
      <w:szCs w:val="18"/>
    </w:rPr>
  </w:style>
  <w:style w:type="character" w:customStyle="1" w:styleId="139">
    <w:name w:val="页眉 字符"/>
    <w:uiPriority w:val="99"/>
    <w:rPr>
      <w:kern w:val="2"/>
      <w:sz w:val="18"/>
      <w:szCs w:val="18"/>
    </w:rPr>
  </w:style>
  <w:style w:type="character" w:customStyle="1" w:styleId="140">
    <w:name w:val="副标题 字符"/>
    <w:uiPriority w:val="11"/>
    <w:rPr>
      <w:rFonts w:ascii="Cambria" w:hAnsi="Cambria"/>
      <w:b/>
      <w:bCs/>
      <w:kern w:val="28"/>
      <w:sz w:val="32"/>
      <w:szCs w:val="32"/>
    </w:rPr>
  </w:style>
  <w:style w:type="character" w:customStyle="1" w:styleId="141">
    <w:name w:val="正文文本缩进 3 字符"/>
    <w:uiPriority w:val="99"/>
    <w:rPr>
      <w:kern w:val="2"/>
      <w:sz w:val="16"/>
      <w:szCs w:val="16"/>
    </w:rPr>
  </w:style>
  <w:style w:type="character" w:customStyle="1" w:styleId="142">
    <w:name w:val="正文文本 2 字符"/>
    <w:uiPriority w:val="0"/>
    <w:rPr>
      <w:rFonts w:eastAsia="黑体"/>
      <w:kern w:val="2"/>
      <w:sz w:val="21"/>
      <w:lang w:val="en-GB"/>
    </w:rPr>
  </w:style>
  <w:style w:type="character" w:customStyle="1" w:styleId="143">
    <w:name w:val="标题 字符"/>
    <w:uiPriority w:val="10"/>
    <w:rPr>
      <w:rFonts w:ascii="Arial" w:hAnsi="Arial" w:cs="Arial"/>
      <w:b/>
      <w:sz w:val="32"/>
    </w:rPr>
  </w:style>
  <w:style w:type="character" w:customStyle="1" w:styleId="144">
    <w:name w:val="批注主题 字符"/>
    <w:uiPriority w:val="0"/>
    <w:rPr>
      <w:b/>
      <w:bCs/>
      <w:kern w:val="2"/>
      <w:sz w:val="21"/>
    </w:rPr>
  </w:style>
  <w:style w:type="character" w:customStyle="1" w:styleId="145">
    <w:name w:val="正文文本首行缩进 字符"/>
    <w:uiPriority w:val="0"/>
  </w:style>
  <w:style w:type="character" w:customStyle="1" w:styleId="146">
    <w:name w:val="正文文本首行缩进 2 字符"/>
    <w:uiPriority w:val="0"/>
    <w:rPr>
      <w:rFonts w:ascii="宋体" w:hAnsi="宋体"/>
      <w:kern w:val="2"/>
      <w:sz w:val="21"/>
    </w:rPr>
  </w:style>
  <w:style w:type="character" w:customStyle="1" w:styleId="147">
    <w:name w:val="页脚 字符1"/>
    <w:semiHidden/>
    <w:uiPriority w:val="99"/>
    <w:rPr>
      <w:kern w:val="2"/>
      <w:sz w:val="18"/>
      <w:szCs w:val="18"/>
    </w:rPr>
  </w:style>
  <w:style w:type="character" w:customStyle="1" w:styleId="148">
    <w:name w:val="页眉 字符1"/>
    <w:semiHidden/>
    <w:uiPriority w:val="99"/>
    <w:rPr>
      <w:kern w:val="2"/>
      <w:sz w:val="18"/>
      <w:szCs w:val="18"/>
    </w:rPr>
  </w:style>
  <w:style w:type="paragraph" w:styleId="149">
    <w:name w:val="Quote"/>
    <w:basedOn w:val="1"/>
    <w:next w:val="1"/>
    <w:link w:val="150"/>
    <w:qFormat/>
    <w:uiPriority w:val="29"/>
    <w:pPr>
      <w:wordWrap w:val="0"/>
      <w:spacing w:before="200" w:after="160"/>
      <w:ind w:left="864" w:right="864"/>
      <w:jc w:val="center"/>
    </w:pPr>
    <w:rPr>
      <w:i/>
      <w:szCs w:val="24"/>
    </w:rPr>
  </w:style>
  <w:style w:type="character" w:customStyle="1" w:styleId="150">
    <w:name w:val="引用 字符"/>
    <w:link w:val="149"/>
    <w:uiPriority w:val="29"/>
    <w:rPr>
      <w:i/>
      <w:kern w:val="2"/>
      <w:sz w:val="21"/>
      <w:szCs w:val="24"/>
    </w:rPr>
  </w:style>
  <w:style w:type="paragraph" w:customStyle="1" w:styleId="151">
    <w:name w:val="BodyText1I"/>
    <w:basedOn w:val="1"/>
    <w:qFormat/>
    <w:uiPriority w:val="0"/>
    <w:pPr>
      <w:spacing w:before="185" w:line="360" w:lineRule="auto"/>
      <w:ind w:left="1080" w:firstLine="425"/>
      <w:jc w:val="left"/>
    </w:pPr>
    <w:rPr>
      <w:rFonts w:ascii="宋体"/>
      <w:sz w:val="24"/>
    </w:rPr>
  </w:style>
  <w:style w:type="character" w:customStyle="1" w:styleId="152">
    <w:name w:val="纯文本 Char2"/>
    <w:qFormat/>
    <w:uiPriority w:val="0"/>
    <w:rPr>
      <w:sz w:val="21"/>
    </w:rPr>
  </w:style>
  <w:style w:type="paragraph" w:customStyle="1" w:styleId="153">
    <w:name w:val="Heading #2|1"/>
    <w:basedOn w:val="1"/>
    <w:qFormat/>
    <w:uiPriority w:val="0"/>
    <w:pPr>
      <w:kinsoku w:val="0"/>
      <w:autoSpaceDE w:val="0"/>
      <w:autoSpaceDN w:val="0"/>
      <w:adjustRightInd w:val="0"/>
      <w:snapToGrid w:val="0"/>
      <w:spacing w:after="580" w:line="634" w:lineRule="exact"/>
      <w:jc w:val="center"/>
      <w:textAlignment w:val="baseline"/>
      <w:outlineLvl w:val="1"/>
    </w:pPr>
    <w:rPr>
      <w:rFonts w:ascii="宋体" w:hAnsi="宋体" w:cs="宋体"/>
      <w:snapToGrid w:val="0"/>
      <w:color w:val="000000"/>
      <w:kern w:val="0"/>
      <w:sz w:val="44"/>
      <w:szCs w:val="44"/>
      <w:lang w:val="zh-TW" w:eastAsia="zh-TW" w:bidi="zh-TW"/>
    </w:rPr>
  </w:style>
  <w:style w:type="paragraph" w:customStyle="1" w:styleId="154">
    <w:name w:val="Body text|1"/>
    <w:basedOn w:val="1"/>
    <w:qFormat/>
    <w:uiPriority w:val="0"/>
    <w:pPr>
      <w:kinsoku w:val="0"/>
      <w:autoSpaceDE w:val="0"/>
      <w:autoSpaceDN w:val="0"/>
      <w:adjustRightInd w:val="0"/>
      <w:snapToGrid w:val="0"/>
      <w:spacing w:line="432" w:lineRule="auto"/>
      <w:ind w:firstLine="400"/>
      <w:jc w:val="left"/>
      <w:textAlignment w:val="baseline"/>
    </w:pPr>
    <w:rPr>
      <w:rFonts w:ascii="宋体" w:hAnsi="宋体" w:cs="宋体"/>
      <w:snapToGrid w:val="0"/>
      <w:color w:val="000000"/>
      <w:kern w:val="0"/>
      <w:sz w:val="30"/>
      <w:szCs w:val="30"/>
      <w:lang w:val="zh-TW" w:eastAsia="zh-TW" w:bidi="zh-TW"/>
    </w:rPr>
  </w:style>
  <w:style w:type="paragraph" w:customStyle="1" w:styleId="155">
    <w:name w:val="Body text|2"/>
    <w:basedOn w:val="1"/>
    <w:qFormat/>
    <w:uiPriority w:val="0"/>
    <w:pPr>
      <w:kinsoku w:val="0"/>
      <w:autoSpaceDE w:val="0"/>
      <w:autoSpaceDN w:val="0"/>
      <w:adjustRightInd w:val="0"/>
      <w:snapToGrid w:val="0"/>
      <w:jc w:val="left"/>
      <w:textAlignment w:val="baseline"/>
    </w:pPr>
    <w:rPr>
      <w:rFonts w:ascii="宋体" w:hAnsi="宋体" w:cs="宋体"/>
      <w:snapToGrid w:val="0"/>
      <w:color w:val="000000"/>
      <w:kern w:val="0"/>
      <w:sz w:val="26"/>
      <w:szCs w:val="26"/>
      <w:lang w:val="zh-TW" w:eastAsia="zh-TW" w:bidi="zh-TW"/>
    </w:rPr>
  </w:style>
  <w:style w:type="paragraph" w:customStyle="1" w:styleId="156">
    <w:name w:val="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57">
    <w:name w:val="font5"/>
    <w:basedOn w:val="1"/>
    <w:uiPriority w:val="0"/>
    <w:pPr>
      <w:widowControl/>
      <w:spacing w:before="100" w:beforeAutospacing="1" w:after="100" w:afterAutospacing="1"/>
      <w:jc w:val="left"/>
    </w:pPr>
    <w:rPr>
      <w:rFonts w:ascii="微软雅黑" w:hAnsi="微软雅黑" w:eastAsia="微软雅黑" w:cs="宋体"/>
      <w:kern w:val="0"/>
      <w:sz w:val="16"/>
      <w:szCs w:val="16"/>
    </w:rPr>
  </w:style>
  <w:style w:type="paragraph" w:customStyle="1" w:styleId="158">
    <w:name w:val="font6"/>
    <w:basedOn w:val="1"/>
    <w:uiPriority w:val="0"/>
    <w:pPr>
      <w:widowControl/>
      <w:spacing w:before="100" w:beforeAutospacing="1" w:after="100" w:afterAutospacing="1"/>
      <w:jc w:val="left"/>
    </w:pPr>
    <w:rPr>
      <w:rFonts w:ascii="微软雅黑" w:hAnsi="微软雅黑" w:eastAsia="微软雅黑" w:cs="宋体"/>
      <w:color w:val="000000"/>
      <w:kern w:val="0"/>
      <w:sz w:val="16"/>
      <w:szCs w:val="16"/>
    </w:rPr>
  </w:style>
  <w:style w:type="paragraph" w:customStyle="1" w:styleId="159">
    <w:name w:val="font7"/>
    <w:basedOn w:val="1"/>
    <w:uiPriority w:val="0"/>
    <w:pPr>
      <w:widowControl/>
      <w:spacing w:before="100" w:beforeAutospacing="1" w:after="100" w:afterAutospacing="1"/>
      <w:jc w:val="left"/>
    </w:pPr>
    <w:rPr>
      <w:rFonts w:ascii="微软雅黑" w:hAnsi="微软雅黑" w:eastAsia="微软雅黑" w:cs="宋体"/>
      <w:b/>
      <w:bCs/>
      <w:color w:val="000000"/>
      <w:kern w:val="0"/>
      <w:sz w:val="16"/>
      <w:szCs w:val="16"/>
    </w:rPr>
  </w:style>
  <w:style w:type="paragraph" w:customStyle="1" w:styleId="160">
    <w:name w:val="font8"/>
    <w:basedOn w:val="1"/>
    <w:uiPriority w:val="0"/>
    <w:pPr>
      <w:widowControl/>
      <w:spacing w:before="100" w:beforeAutospacing="1" w:after="100" w:afterAutospacing="1"/>
      <w:jc w:val="left"/>
    </w:pPr>
    <w:rPr>
      <w:rFonts w:ascii="微软雅黑" w:hAnsi="微软雅黑" w:eastAsia="微软雅黑" w:cs="宋体"/>
      <w:b/>
      <w:bCs/>
      <w:color w:val="000000"/>
      <w:kern w:val="0"/>
      <w:sz w:val="28"/>
      <w:szCs w:val="28"/>
    </w:rPr>
  </w:style>
  <w:style w:type="paragraph" w:customStyle="1" w:styleId="161">
    <w:name w:val="font9"/>
    <w:basedOn w:val="1"/>
    <w:uiPriority w:val="0"/>
    <w:pPr>
      <w:widowControl/>
      <w:spacing w:before="100" w:beforeAutospacing="1" w:after="100" w:afterAutospacing="1"/>
      <w:jc w:val="left"/>
    </w:pPr>
    <w:rPr>
      <w:rFonts w:ascii="微软雅黑" w:hAnsi="微软雅黑" w:eastAsia="微软雅黑" w:cs="宋体"/>
      <w:b/>
      <w:bCs/>
      <w:color w:val="000000"/>
      <w:kern w:val="0"/>
      <w:sz w:val="20"/>
    </w:rPr>
  </w:style>
  <w:style w:type="paragraph" w:customStyle="1" w:styleId="162">
    <w:name w:val="font10"/>
    <w:basedOn w:val="1"/>
    <w:uiPriority w:val="0"/>
    <w:pPr>
      <w:widowControl/>
      <w:spacing w:before="100" w:beforeAutospacing="1" w:after="100" w:afterAutospacing="1"/>
      <w:jc w:val="left"/>
    </w:pPr>
    <w:rPr>
      <w:rFonts w:ascii="微软雅黑" w:hAnsi="微软雅黑" w:eastAsia="微软雅黑" w:cs="宋体"/>
      <w:b/>
      <w:bCs/>
      <w:kern w:val="0"/>
      <w:sz w:val="16"/>
      <w:szCs w:val="16"/>
    </w:rPr>
  </w:style>
  <w:style w:type="paragraph" w:customStyle="1" w:styleId="163">
    <w:name w:val="font11"/>
    <w:basedOn w:val="1"/>
    <w:uiPriority w:val="0"/>
    <w:pPr>
      <w:widowControl/>
      <w:spacing w:before="100" w:beforeAutospacing="1" w:after="100" w:afterAutospacing="1"/>
      <w:jc w:val="left"/>
    </w:pPr>
    <w:rPr>
      <w:rFonts w:ascii="微软雅黑" w:hAnsi="微软雅黑" w:eastAsia="微软雅黑" w:cs="宋体"/>
      <w:b/>
      <w:bCs/>
      <w:color w:val="FF0000"/>
      <w:kern w:val="0"/>
      <w:sz w:val="16"/>
      <w:szCs w:val="16"/>
    </w:rPr>
  </w:style>
  <w:style w:type="paragraph" w:customStyle="1" w:styleId="164">
    <w:name w:val="xl71"/>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65">
    <w:name w:val="xl72"/>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66">
    <w:name w:val="xl73"/>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67">
    <w:name w:val="xl74"/>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68">
    <w:name w:val="xl75"/>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69">
    <w:name w:val="xl76"/>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70">
    <w:name w:val="xl7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71">
    <w:name w:val="xl78"/>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72">
    <w:name w:val="xl79"/>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73">
    <w:name w:val="xl80"/>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74">
    <w:name w:val="xl81"/>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75">
    <w:name w:val="xl82"/>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76">
    <w:name w:val="xl83"/>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77">
    <w:name w:val="xl84"/>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78">
    <w:name w:val="xl85"/>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79">
    <w:name w:val="xl86"/>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80">
    <w:name w:val="xl8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81">
    <w:name w:val="xl88"/>
    <w:basedOn w:val="1"/>
    <w:uiPriority w:val="0"/>
    <w:pPr>
      <w:widowControl/>
      <w:spacing w:before="100" w:beforeAutospacing="1" w:after="100" w:afterAutospacing="1"/>
      <w:jc w:val="left"/>
      <w:textAlignment w:val="center"/>
    </w:pPr>
    <w:rPr>
      <w:rFonts w:ascii="微软雅黑" w:hAnsi="微软雅黑" w:eastAsia="微软雅黑" w:cs="宋体"/>
      <w:b/>
      <w:bCs/>
      <w:color w:val="000000"/>
      <w:kern w:val="0"/>
      <w:sz w:val="16"/>
      <w:szCs w:val="16"/>
    </w:rPr>
  </w:style>
  <w:style w:type="paragraph" w:customStyle="1" w:styleId="182">
    <w:name w:val="xl89"/>
    <w:basedOn w:val="1"/>
    <w:uiPriority w:val="0"/>
    <w:pPr>
      <w:widowControl/>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83">
    <w:name w:val="xl90"/>
    <w:basedOn w:val="1"/>
    <w:uiPriority w:val="0"/>
    <w:pPr>
      <w:widowControl/>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84">
    <w:name w:val="xl91"/>
    <w:basedOn w:val="1"/>
    <w:uiPriority w:val="0"/>
    <w:pPr>
      <w:widowControl/>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85">
    <w:name w:val="xl92"/>
    <w:basedOn w:val="1"/>
    <w:uiPriority w:val="0"/>
    <w:pPr>
      <w:widowControl/>
      <w:spacing w:before="100" w:beforeAutospacing="1" w:after="100" w:afterAutospacing="1"/>
      <w:jc w:val="right"/>
      <w:textAlignment w:val="center"/>
    </w:pPr>
    <w:rPr>
      <w:rFonts w:ascii="微软雅黑" w:hAnsi="微软雅黑" w:eastAsia="微软雅黑" w:cs="宋体"/>
      <w:color w:val="000000"/>
      <w:kern w:val="0"/>
      <w:sz w:val="16"/>
      <w:szCs w:val="16"/>
    </w:rPr>
  </w:style>
  <w:style w:type="paragraph" w:customStyle="1" w:styleId="186">
    <w:name w:val="xl93"/>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187">
    <w:name w:val="xl94"/>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188">
    <w:name w:val="xl95"/>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189">
    <w:name w:val="xl96"/>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90">
    <w:name w:val="xl9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b/>
      <w:bCs/>
      <w:color w:val="000000"/>
      <w:kern w:val="0"/>
      <w:sz w:val="16"/>
      <w:szCs w:val="16"/>
    </w:rPr>
  </w:style>
  <w:style w:type="paragraph" w:customStyle="1" w:styleId="191">
    <w:name w:val="xl98"/>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right"/>
      <w:textAlignment w:val="center"/>
    </w:pPr>
    <w:rPr>
      <w:rFonts w:ascii="微软雅黑" w:hAnsi="微软雅黑" w:eastAsia="微软雅黑" w:cs="宋体"/>
      <w:b/>
      <w:bCs/>
      <w:color w:val="000000"/>
      <w:kern w:val="0"/>
      <w:sz w:val="16"/>
      <w:szCs w:val="16"/>
    </w:rPr>
  </w:style>
  <w:style w:type="paragraph" w:customStyle="1" w:styleId="192">
    <w:name w:val="xl99"/>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b/>
      <w:bCs/>
      <w:color w:val="000000"/>
      <w:kern w:val="0"/>
      <w:sz w:val="16"/>
      <w:szCs w:val="16"/>
    </w:rPr>
  </w:style>
  <w:style w:type="paragraph" w:customStyle="1" w:styleId="193">
    <w:name w:val="xl100"/>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94">
    <w:name w:val="xl101"/>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b/>
      <w:bCs/>
      <w:color w:val="000000"/>
      <w:kern w:val="0"/>
      <w:sz w:val="16"/>
      <w:szCs w:val="16"/>
    </w:rPr>
  </w:style>
  <w:style w:type="paragraph" w:customStyle="1" w:styleId="195">
    <w:name w:val="xl102"/>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color w:val="000000"/>
      <w:kern w:val="0"/>
      <w:sz w:val="16"/>
      <w:szCs w:val="16"/>
    </w:rPr>
  </w:style>
  <w:style w:type="paragraph" w:customStyle="1" w:styleId="196">
    <w:name w:val="xl103"/>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97">
    <w:name w:val="xl104"/>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98">
    <w:name w:val="xl105"/>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99">
    <w:name w:val="xl106"/>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200">
    <w:name w:val="xl107"/>
    <w:basedOn w:val="1"/>
    <w:uiPriority w:val="0"/>
    <w:pPr>
      <w:widowControl/>
      <w:pBdr>
        <w:top w:val="single" w:color="auto" w:sz="8" w:space="0"/>
        <w:left w:val="single" w:color="auto" w:sz="8" w:space="0"/>
        <w:bottom w:val="single" w:color="auto" w:sz="8" w:space="0"/>
        <w:right w:val="single" w:color="auto" w:sz="8" w:space="0"/>
      </w:pBdr>
      <w:shd w:val="clear" w:color="000000" w:fill="00B0F0"/>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1">
    <w:name w:val="xl108"/>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2">
    <w:name w:val="xl109"/>
    <w:basedOn w:val="1"/>
    <w:uiPriority w:val="0"/>
    <w:pPr>
      <w:widowControl/>
      <w:pBdr>
        <w:top w:val="single" w:color="auto" w:sz="8" w:space="0"/>
        <w:left w:val="single" w:color="auto" w:sz="8" w:space="0"/>
        <w:bottom w:val="single" w:color="auto" w:sz="8" w:space="0"/>
        <w:right w:val="single" w:color="auto" w:sz="8" w:space="0"/>
      </w:pBdr>
      <w:shd w:val="clear" w:color="000000" w:fill="00B0F0"/>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3">
    <w:name w:val="xl110"/>
    <w:basedOn w:val="1"/>
    <w:uiPriority w:val="0"/>
    <w:pPr>
      <w:widowControl/>
      <w:pBdr>
        <w:top w:val="single" w:color="auto" w:sz="8" w:space="0"/>
        <w:left w:val="single" w:color="auto" w:sz="8" w:space="0"/>
        <w:bottom w:val="single" w:color="auto" w:sz="8" w:space="0"/>
        <w:right w:val="single" w:color="auto" w:sz="8" w:space="0"/>
      </w:pBdr>
      <w:shd w:val="clear" w:color="000000" w:fill="FFC000"/>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4">
    <w:name w:val="xl111"/>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28"/>
      <w:szCs w:val="28"/>
    </w:rPr>
  </w:style>
  <w:style w:type="paragraph" w:customStyle="1" w:styleId="205">
    <w:name w:val="xl112"/>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28"/>
      <w:szCs w:val="28"/>
    </w:rPr>
  </w:style>
  <w:style w:type="paragraph" w:customStyle="1" w:styleId="206">
    <w:name w:val="xl113"/>
    <w:basedOn w:val="1"/>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7">
    <w:name w:val="xl114"/>
    <w:basedOn w:val="1"/>
    <w:uiPriority w:val="0"/>
    <w:pPr>
      <w:widowControl/>
      <w:pBdr>
        <w:top w:val="single" w:color="auto" w:sz="8" w:space="0"/>
        <w:left w:val="single" w:color="auto" w:sz="8" w:space="0"/>
        <w:bottom w:val="single" w:color="auto" w:sz="4"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28"/>
      <w:szCs w:val="28"/>
    </w:rPr>
  </w:style>
  <w:style w:type="character" w:styleId="208">
    <w:name w:val=""/>
    <w:qFormat/>
    <w:uiPriority w:val="21"/>
    <w:rPr>
      <w:i/>
      <w:iCs/>
      <w:color w:val="0F4761"/>
    </w:rPr>
  </w:style>
  <w:style w:type="paragraph" w:styleId="209">
    <w:name w:val="Intense Quote"/>
    <w:basedOn w:val="1"/>
    <w:next w:val="1"/>
    <w:link w:val="210"/>
    <w:qFormat/>
    <w:uiPriority w:val="30"/>
    <w:pPr>
      <w:pBdr>
        <w:top w:val="single" w:color="0F4761" w:sz="4" w:space="10"/>
        <w:bottom w:val="single" w:color="0F4761" w:sz="4" w:space="10"/>
      </w:pBdr>
      <w:spacing w:before="360" w:after="360"/>
      <w:ind w:left="864" w:right="864"/>
      <w:jc w:val="center"/>
    </w:pPr>
    <w:rPr>
      <w:rFonts w:ascii="等线" w:hAnsi="等线" w:eastAsia="等线" w:cs="Times New Roman"/>
      <w:i/>
      <w:iCs/>
      <w:color w:val="0F4761"/>
      <w:szCs w:val="22"/>
    </w:rPr>
  </w:style>
  <w:style w:type="character" w:customStyle="1" w:styleId="210">
    <w:name w:val="明显引用 字符"/>
    <w:link w:val="209"/>
    <w:uiPriority w:val="30"/>
    <w:rPr>
      <w:rFonts w:ascii="等线" w:hAnsi="等线" w:eastAsia="等线"/>
      <w:i/>
      <w:iCs/>
      <w:color w:val="0F4761"/>
      <w:kern w:val="2"/>
      <w:sz w:val="21"/>
      <w:szCs w:val="22"/>
    </w:rPr>
  </w:style>
  <w:style w:type="character" w:styleId="211">
    <w:name w:val=""/>
    <w:qFormat/>
    <w:uiPriority w:val="32"/>
    <w:rPr>
      <w:b/>
      <w:bCs/>
      <w:smallCaps/>
      <w:color w:val="0F4761"/>
      <w:spacing w:val="5"/>
    </w:rPr>
  </w:style>
  <w:style w:type="paragraph" w:customStyle="1" w:styleId="212">
    <w:name w:val="Style1"/>
    <w:qFormat/>
    <w:uiPriority w:val="0"/>
    <w:pPr>
      <w:spacing w:after="120"/>
      <w:jc w:val="both"/>
    </w:pPr>
    <w:rPr>
      <w:rFonts w:eastAsia="Times New Roman"/>
      <w:color w:val="000000"/>
      <w:spacing w:val="-3"/>
      <w:sz w:val="24"/>
      <w:szCs w:val="24"/>
      <w:lang w:val="en-US" w:eastAsia="zh-CN" w:bidi="ar-SA"/>
    </w:rPr>
  </w:style>
  <w:style w:type="character" w:customStyle="1" w:styleId="213">
    <w:name w:val="font2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theme" Target="theme/theme1.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63</Pages>
  <Words>22146</Words>
  <Characters>24583</Characters>
  <Lines>1446</Lines>
  <Paragraphs>2225</Paragraphs>
  <TotalTime>0</TotalTime>
  <ScaleCrop>false</ScaleCrop>
  <LinksUpToDate>false</LinksUpToDate>
  <CharactersWithSpaces>44504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2023-05-10T02:06:00Z</dcterms:created>
  <dc:creator>hxw</dc:creator>
  <cp:lastModifiedBy>七宝</cp:lastModifiedBy>
  <cp:lastPrinted>2024-01-30T03:48:00Z</cp:lastPrinted>
  <dcterms:modified xsi:type="dcterms:W3CDTF">2024-04-16T13:18:22Z</dcterms:modified>
  <dc:title>政府采购招标文件</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1C2C513AEDE44FEC905CF6DB5F24C774_13</vt:lpwstr>
  </property>
  <property fmtid="{D5CDD505-2E9C-101B-9397-08002B2CF9AE}" pid="4" name="commondata">
    <vt:lpwstr>eyJoZGlkIjoiM2FhNzgzNmM5NjY1OGZiOTYwMDAwY2EwN2IxZGIwYTkifQ==</vt:lpwstr>
  </property>
</Properties>
</file>