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B10B9">
      <w:pPr>
        <w:spacing w:line="296" w:lineRule="auto"/>
      </w:pPr>
    </w:p>
    <w:p w14:paraId="1093AD39">
      <w:pPr>
        <w:spacing w:line="296" w:lineRule="auto"/>
      </w:pPr>
    </w:p>
    <w:p w14:paraId="204DE2C8">
      <w:pPr>
        <w:spacing w:line="296" w:lineRule="auto"/>
      </w:pPr>
    </w:p>
    <w:p w14:paraId="6E271494">
      <w:pPr>
        <w:spacing w:line="296" w:lineRule="auto"/>
      </w:pPr>
    </w:p>
    <w:p w14:paraId="7872CB95">
      <w:pPr>
        <w:spacing w:line="296" w:lineRule="auto"/>
      </w:pPr>
    </w:p>
    <w:p w14:paraId="303E098B">
      <w:pPr>
        <w:spacing w:line="296" w:lineRule="auto"/>
      </w:pPr>
    </w:p>
    <w:p w14:paraId="1460C600">
      <w:pPr>
        <w:spacing w:line="296" w:lineRule="auto"/>
      </w:pPr>
    </w:p>
    <w:p w14:paraId="5416E26A">
      <w:pPr>
        <w:spacing w:line="296" w:lineRule="auto"/>
      </w:pPr>
    </w:p>
    <w:p w14:paraId="5FF98BEC">
      <w:pPr>
        <w:spacing w:line="296" w:lineRule="auto"/>
      </w:pPr>
    </w:p>
    <w:p w14:paraId="0DE35F28">
      <w:pPr>
        <w:spacing w:line="296" w:lineRule="auto"/>
      </w:pPr>
    </w:p>
    <w:p w14:paraId="3F8ECCF1">
      <w:pPr>
        <w:spacing w:line="296" w:lineRule="auto"/>
      </w:pPr>
    </w:p>
    <w:p w14:paraId="51F920AB">
      <w:pPr>
        <w:spacing w:line="246" w:lineRule="auto"/>
        <w:ind w:firstLine="478" w:firstLineChars="100"/>
        <w:jc w:val="cente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pP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东乡一中重点工程广播会议监控</w:t>
      </w:r>
    </w:p>
    <w:p w14:paraId="52F41A0D">
      <w:pPr>
        <w:spacing w:line="246" w:lineRule="auto"/>
        <w:ind w:firstLine="478" w:firstLineChars="100"/>
        <w:jc w:val="center"/>
      </w:pP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采购项目（</w:t>
      </w:r>
      <w:r>
        <w:rPr>
          <w:rFonts w:hint="eastAsia" w:ascii="宋体" w:hAnsi="宋体" w:eastAsia="宋体" w:cs="宋体"/>
          <w:spacing w:val="4"/>
          <w:sz w:val="47"/>
          <w:szCs w:val="47"/>
          <w:lang w:val="en-US" w:eastAsia="zh-CN"/>
          <w14:textOutline w14:w="8712" w14:cap="sq" w14:cmpd="sng" w14:algn="ctr">
            <w14:solidFill>
              <w14:srgbClr w14:val="000000"/>
            </w14:solidFill>
            <w14:prstDash w14:val="solid"/>
            <w14:bevel/>
          </w14:textOutline>
        </w:rPr>
        <w:t>第二次</w:t>
      </w: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w:t>
      </w:r>
    </w:p>
    <w:p w14:paraId="00CE672E">
      <w:pPr>
        <w:spacing w:line="246" w:lineRule="auto"/>
      </w:pPr>
    </w:p>
    <w:p w14:paraId="55E5F778">
      <w:pPr>
        <w:spacing w:line="246" w:lineRule="auto"/>
      </w:pPr>
    </w:p>
    <w:p w14:paraId="40C48BCA">
      <w:pPr>
        <w:spacing w:line="247" w:lineRule="auto"/>
      </w:pPr>
    </w:p>
    <w:p w14:paraId="7EFD8FAD">
      <w:pPr>
        <w:spacing w:line="247" w:lineRule="auto"/>
      </w:pPr>
    </w:p>
    <w:p w14:paraId="233D8657">
      <w:pPr>
        <w:spacing w:line="247" w:lineRule="auto"/>
      </w:pPr>
    </w:p>
    <w:p w14:paraId="49CADE5B">
      <w:pPr>
        <w:spacing w:before="101" w:line="225" w:lineRule="auto"/>
        <w:ind w:left="2920"/>
        <w:rPr>
          <w:rFonts w:hint="eastAsia" w:ascii="宋体" w:hAnsi="宋体" w:eastAsia="宋体" w:cs="宋体"/>
          <w:sz w:val="31"/>
          <w:szCs w:val="31"/>
          <w:highlight w:val="yellow"/>
          <w:lang w:eastAsia="zh-CN"/>
        </w:rPr>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highlight w:val="none"/>
          <w:lang w:eastAsia="zh-CN"/>
          <w14:textOutline w14:w="5791" w14:cap="sq" w14:cmpd="sng" w14:algn="ctr">
            <w14:solidFill>
              <w14:srgbClr w14:val="000000"/>
            </w14:solidFill>
            <w14:prstDash w14:val="solid"/>
            <w14:bevel/>
          </w14:textOutline>
        </w:rPr>
        <w:t>FZRKJ2024-DX-003-01</w:t>
      </w:r>
    </w:p>
    <w:p w14:paraId="0146E07A">
      <w:pPr>
        <w:spacing w:line="308" w:lineRule="auto"/>
      </w:pPr>
    </w:p>
    <w:p w14:paraId="17617F81">
      <w:pPr>
        <w:spacing w:line="308" w:lineRule="auto"/>
      </w:pPr>
    </w:p>
    <w:p w14:paraId="593B9AC8">
      <w:pPr>
        <w:spacing w:line="309" w:lineRule="auto"/>
      </w:pPr>
    </w:p>
    <w:p w14:paraId="21FA3F02">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2D79C146"/>
    <w:p w14:paraId="65855577">
      <w:pPr>
        <w:pStyle w:val="21"/>
        <w:spacing w:line="480" w:lineRule="auto"/>
        <w:ind w:left="2127" w:leftChars="300" w:hanging="1497" w:hangingChars="466"/>
        <w:rPr>
          <w:rFonts w:ascii="宋体" w:hAnsi="宋体" w:eastAsia="宋体" w:cs="宋体"/>
          <w:b/>
          <w:bCs/>
          <w:sz w:val="32"/>
          <w:szCs w:val="32"/>
        </w:rPr>
      </w:pPr>
    </w:p>
    <w:p w14:paraId="360B3ED4">
      <w:pPr>
        <w:pStyle w:val="21"/>
        <w:spacing w:line="480" w:lineRule="auto"/>
        <w:ind w:left="2127" w:leftChars="300" w:hanging="1497" w:hangingChars="466"/>
        <w:rPr>
          <w:rFonts w:ascii="宋体" w:hAnsi="宋体" w:eastAsia="宋体" w:cs="宋体"/>
          <w:b/>
          <w:bCs/>
          <w:sz w:val="32"/>
          <w:szCs w:val="32"/>
        </w:rPr>
      </w:pPr>
    </w:p>
    <w:p w14:paraId="38D5C15C">
      <w:pPr>
        <w:pStyle w:val="21"/>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：抚州市东乡区工业与科技创新投资集团有限公司</w:t>
      </w:r>
    </w:p>
    <w:p w14:paraId="374BBC28">
      <w:pPr>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sz w:val="32"/>
          <w:szCs w:val="32"/>
          <w:lang w:eastAsia="zh-CN"/>
        </w:rPr>
        <w:t>江西隆科建咨询顾问有限公司</w:t>
      </w:r>
    </w:p>
    <w:p w14:paraId="61CA1432">
      <w:pPr>
        <w:pStyle w:val="3"/>
        <w:jc w:val="center"/>
      </w:pPr>
      <w:r>
        <w:rPr>
          <w:rFonts w:hint="eastAsia" w:ascii="宋体" w:hAnsi="宋体" w:eastAsia="宋体" w:cs="宋体"/>
        </w:rPr>
        <w:t>2024年</w:t>
      </w:r>
      <w:r>
        <w:rPr>
          <w:rFonts w:hint="eastAsia" w:ascii="宋体" w:hAnsi="宋体" w:eastAsia="宋体" w:cs="宋体"/>
          <w:lang w:val="en-US" w:eastAsia="zh-CN"/>
        </w:rPr>
        <w:t>7</w:t>
      </w:r>
      <w:r>
        <w:rPr>
          <w:rFonts w:hint="eastAsia" w:ascii="宋体" w:hAnsi="宋体" w:eastAsia="宋体" w:cs="宋体"/>
        </w:rPr>
        <w:t>月</w:t>
      </w:r>
    </w:p>
    <w:p w14:paraId="1EC31743"/>
    <w:p w14:paraId="0ECBCB20">
      <w:pPr>
        <w:spacing w:line="208" w:lineRule="exact"/>
      </w:pPr>
    </w:p>
    <w:p w14:paraId="2EF8636C">
      <w:pPr>
        <w:sectPr>
          <w:pgSz w:w="11907" w:h="16840"/>
          <w:pgMar w:top="470" w:right="594" w:bottom="0" w:left="1418" w:header="0" w:footer="0" w:gutter="0"/>
          <w:cols w:equalWidth="0" w:num="1">
            <w:col w:w="9895"/>
          </w:cols>
        </w:sectPr>
      </w:pPr>
    </w:p>
    <w:p w14:paraId="5A331257">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0B954406">
      <w:pPr>
        <w:spacing w:line="260" w:lineRule="auto"/>
      </w:pPr>
    </w:p>
    <w:p w14:paraId="597BFA34">
      <w:pPr>
        <w:spacing w:line="260" w:lineRule="auto"/>
      </w:pPr>
    </w:p>
    <w:p w14:paraId="58ABA340">
      <w:pPr>
        <w:spacing w:line="260" w:lineRule="auto"/>
      </w:pPr>
    </w:p>
    <w:p w14:paraId="75C96E81">
      <w:pPr>
        <w:spacing w:line="261" w:lineRule="auto"/>
      </w:pPr>
    </w:p>
    <w:p w14:paraId="2D57FA6F">
      <w:pPr>
        <w:spacing w:line="261" w:lineRule="auto"/>
      </w:pPr>
    </w:p>
    <w:p w14:paraId="73750066">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6B6E4E85">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0451DAB4">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0439B583">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3570D436">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AEE8D9C">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70E9F34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F48A29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79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08F46C15">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spacing w:val="16"/>
              <w:sz w:val="23"/>
              <w:szCs w:val="23"/>
              <w:lang w:val="en-US" w:eastAsia="zh-CN"/>
            </w:rPr>
            <w:t>90</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03C9C2FA">
      <w:pPr>
        <w:rPr>
          <w:rFonts w:hint="eastAsia" w:eastAsia="宋体"/>
          <w:lang w:val="en-US" w:eastAsia="zh-CN"/>
        </w:rPr>
        <w:sectPr>
          <w:headerReference r:id="rId3" w:type="default"/>
          <w:footerReference r:id="rId4" w:type="default"/>
          <w:pgSz w:w="11907" w:h="16840"/>
          <w:pgMar w:top="1268" w:right="660" w:bottom="1388" w:left="1418" w:header="852" w:footer="1228" w:gutter="0"/>
          <w:cols w:space="720" w:num="1"/>
        </w:sectPr>
      </w:pPr>
      <w:r>
        <w:rPr>
          <w:rFonts w:hint="eastAsia" w:eastAsia="宋体"/>
          <w:lang w:val="en-US" w:eastAsia="zh-CN"/>
        </w:rPr>
        <w:t xml:space="preserve"> </w:t>
      </w:r>
    </w:p>
    <w:p w14:paraId="3B266652">
      <w:pPr>
        <w:spacing w:line="449" w:lineRule="auto"/>
      </w:pPr>
    </w:p>
    <w:p w14:paraId="0CFAF651">
      <w:pPr>
        <w:spacing w:line="372" w:lineRule="exact"/>
        <w:ind w:firstLine="338"/>
        <w:textAlignment w:val="center"/>
      </w:pPr>
    </w:p>
    <w:p w14:paraId="7C6F4D49">
      <w:pPr>
        <w:spacing w:before="35" w:line="29" w:lineRule="exact"/>
        <w:ind w:firstLine="337"/>
        <w:textAlignment w:val="center"/>
      </w:pPr>
    </w:p>
    <w:p w14:paraId="2B8D09B5">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0"/>
        <w:tblW w:w="10047" w:type="dxa"/>
        <w:tblInd w:w="-21"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47"/>
      </w:tblGrid>
      <w:tr w14:paraId="675CADE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47" w:type="dxa"/>
          </w:tcPr>
          <w:p w14:paraId="648823D8">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275E679B">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lang w:eastAsia="zh-CN"/>
              </w:rPr>
              <w:t>东乡一中重点工程广播会议监控采购项目（第二次）</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9</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5</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53079DDA">
      <w:pPr>
        <w:spacing w:line="400" w:lineRule="auto"/>
      </w:pPr>
    </w:p>
    <w:p w14:paraId="3B2A19C3">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7AD4FA8C">
      <w:pPr>
        <w:spacing w:line="312" w:lineRule="exact"/>
        <w:ind w:left="831"/>
        <w:rPr>
          <w:rFonts w:hint="eastAsia" w:ascii="宋体" w:hAnsi="宋体" w:eastAsia="宋体" w:cs="宋体"/>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lang w:eastAsia="zh-CN"/>
        </w:rPr>
        <w:t>FZRKJ2024-DX-003-01</w:t>
      </w:r>
    </w:p>
    <w:p w14:paraId="335E6C06">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东乡一中重点工程广播会议监控采购项目（第二次）</w:t>
      </w:r>
    </w:p>
    <w:p w14:paraId="4DBA8F58">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47C47A5C">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870700</w:t>
      </w:r>
      <w:r>
        <w:rPr>
          <w:rFonts w:hint="eastAsia" w:ascii="宋体" w:hAnsi="宋体" w:eastAsia="宋体" w:cs="宋体"/>
          <w:spacing w:val="1"/>
          <w:sz w:val="23"/>
          <w:szCs w:val="23"/>
        </w:rPr>
        <w:t>.00元</w:t>
      </w:r>
    </w:p>
    <w:p w14:paraId="6C3ED96B">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02239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67719690">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68B91D1C">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2E493C54">
            <w:pPr>
              <w:pStyle w:val="15"/>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6E924143">
            <w:pPr>
              <w:pStyle w:val="15"/>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00004630">
            <w:pPr>
              <w:pStyle w:val="15"/>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01A6B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0D9D28D8">
            <w:pPr>
              <w:pStyle w:val="15"/>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东乡一中重点工程广播会议监控采购项目（第二次）</w:t>
            </w:r>
          </w:p>
        </w:tc>
        <w:tc>
          <w:tcPr>
            <w:tcW w:w="2250" w:type="dxa"/>
            <w:vAlign w:val="center"/>
          </w:tcPr>
          <w:p w14:paraId="32D9A235">
            <w:pPr>
              <w:pStyle w:val="15"/>
              <w:spacing w:before="0" w:beforeAutospacing="0" w:after="120" w:afterAutospacing="0" w:line="360" w:lineRule="atLeast"/>
              <w:jc w:val="center"/>
              <w:rPr>
                <w:rFonts w:hint="eastAsia" w:eastAsia="宋体"/>
                <w:bCs/>
                <w:color w:val="000000"/>
                <w:sz w:val="23"/>
                <w:szCs w:val="23"/>
                <w:lang w:eastAsia="zh-CN"/>
              </w:rPr>
            </w:pPr>
            <w:r>
              <w:rPr>
                <w:rFonts w:hint="eastAsia" w:eastAsia="宋体" w:cs="宋体"/>
                <w:position w:val="5"/>
                <w:sz w:val="23"/>
                <w:szCs w:val="23"/>
                <w:lang w:eastAsia="zh-CN"/>
              </w:rPr>
              <w:t>FZRKJ2024-DX-003-01</w:t>
            </w:r>
          </w:p>
        </w:tc>
        <w:tc>
          <w:tcPr>
            <w:tcW w:w="1530" w:type="dxa"/>
            <w:vAlign w:val="center"/>
          </w:tcPr>
          <w:p w14:paraId="4563721C">
            <w:pPr>
              <w:pStyle w:val="15"/>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34150CC0">
            <w:pPr>
              <w:pStyle w:val="15"/>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870700</w:t>
            </w:r>
            <w:r>
              <w:rPr>
                <w:rFonts w:hint="eastAsia"/>
                <w:spacing w:val="17"/>
                <w:sz w:val="23"/>
                <w:szCs w:val="23"/>
              </w:rPr>
              <w:t>元</w:t>
            </w:r>
          </w:p>
        </w:tc>
        <w:tc>
          <w:tcPr>
            <w:tcW w:w="1915" w:type="dxa"/>
            <w:vAlign w:val="center"/>
          </w:tcPr>
          <w:p w14:paraId="58E07023">
            <w:pPr>
              <w:pStyle w:val="15"/>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1BC62352">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51503B1">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56C19B45">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5C6DF1CB">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27E53FC0">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4E970A1C">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1B26FEAB">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DA86A3E">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2639F99F">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D20CE5F">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开标时投标人必须提供公司信用证明（操作步骤：①登录“信用中国”首页，在“信用信息”一栏中输入公司全称搜索，然后将全部搜索结果截屏打印并加盖公章；②登录中国政府采购网</w:t>
      </w:r>
      <w:bookmarkStart w:id="5" w:name="_GoBack"/>
      <w:bookmarkEnd w:id="5"/>
      <w:r>
        <w:rPr>
          <w:rFonts w:hint="eastAsia" w:ascii="宋体" w:hAnsi="宋体" w:eastAsia="宋体" w:cs="宋体"/>
          <w:spacing w:val="-1"/>
          <w:sz w:val="22"/>
          <w:szCs w:val="22"/>
        </w:rPr>
        <w:t>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6C897010">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78E15D7F">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F4FABBB">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6290EB6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75A66BD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4A4665C6">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54EDBB20">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06C03E8">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9</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5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4068FB3B">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1ACE60C1">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73C57473">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63ADCA1D">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1F74D6E4">
      <w:pPr>
        <w:spacing w:before="27" w:line="232" w:lineRule="auto"/>
        <w:ind w:left="10" w:leftChars="5" w:firstLine="368" w:firstLineChars="145"/>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38B4AAA6">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48D0F1DC">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rPr>
        <w:t>.</w:t>
      </w:r>
      <w:r>
        <w:rPr>
          <w:rFonts w:hint="eastAsia" w:ascii="宋体" w:hAnsi="宋体" w:eastAsia="宋体" w:cs="宋体"/>
          <w:spacing w:val="6"/>
          <w:sz w:val="23"/>
          <w:szCs w:val="23"/>
          <w:lang w:val="en-US" w:eastAsia="zh-CN"/>
        </w:rPr>
        <w:t>参照</w:t>
      </w:r>
      <w:r>
        <w:rPr>
          <w:rFonts w:ascii="宋体" w:hAnsi="宋体" w:eastAsia="宋体" w:cs="宋体"/>
          <w:spacing w:val="6"/>
          <w:sz w:val="23"/>
          <w:szCs w:val="23"/>
        </w:rPr>
        <w:t>《《政府采购促进中小企业发展管理办法》(财库〔2020〕46 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2E4F252D">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59094319">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410596A5">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4A9C73">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187D1B9C">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02E05CE7">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78C30016">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2855EF47">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4B5B1D04">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江西隆科建咨询顾问有限公司</w:t>
      </w:r>
    </w:p>
    <w:p w14:paraId="020B7EE2">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72B4E60B">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168D555A">
      <w:pPr>
        <w:spacing w:before="145" w:line="308" w:lineRule="exact"/>
        <w:ind w:firstLine="244" w:firstLineChars="100"/>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3B4B6BDC">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20DC0193">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4E81D42F">
      <w:pPr>
        <w:sectPr>
          <w:headerReference r:id="rId5" w:type="default"/>
          <w:footerReference r:id="rId6" w:type="default"/>
          <w:pgSz w:w="11907" w:h="16840"/>
          <w:pgMar w:top="1268" w:right="660" w:bottom="1388" w:left="1418" w:header="852" w:footer="1228" w:gutter="0"/>
          <w:pgNumType w:start="1"/>
          <w:cols w:space="720" w:num="1"/>
        </w:sectPr>
      </w:pPr>
    </w:p>
    <w:p w14:paraId="2DF487B7">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EFF9F6D">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3941C8AA">
      <w:pPr>
        <w:spacing w:line="151" w:lineRule="exact"/>
      </w:pPr>
    </w:p>
    <w:tbl>
      <w:tblPr>
        <w:tblStyle w:val="20"/>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3EF7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5C7C694C">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14CCF929">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7512DB7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084AA0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22CB8B3D">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7A3E8BC2">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7D6857D5">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4D8186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F964A73">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685A3FA7">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7CACCE47">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江西隆科建咨询顾问有限公司</w:t>
            </w:r>
          </w:p>
        </w:tc>
      </w:tr>
      <w:tr w14:paraId="0EF67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42C87BC">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78242A4C">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C8DEB5D">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东乡一中重点工程广播会议监控采购项目（第二次）</w:t>
            </w:r>
          </w:p>
        </w:tc>
      </w:tr>
      <w:tr w14:paraId="33B39F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A77A5EB">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1E8C27C">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433F39A5">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FZRKJ2024-DX-003-01</w:t>
            </w:r>
          </w:p>
        </w:tc>
      </w:tr>
      <w:tr w14:paraId="56A92B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0B0A05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2D533906">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426F7F79">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江西隆科建咨询顾问有限公司</w:t>
            </w:r>
            <w:r>
              <w:rPr>
                <w:rFonts w:ascii="宋体" w:hAnsi="宋体" w:eastAsia="宋体" w:cs="宋体"/>
                <w:spacing w:val="8"/>
                <w:sz w:val="23"/>
                <w:szCs w:val="23"/>
              </w:rPr>
              <w:t>共同编制</w:t>
            </w:r>
          </w:p>
        </w:tc>
      </w:tr>
      <w:tr w14:paraId="613BFA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A17C8C6">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11194C7">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04FF3B9D">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20AE28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18CE2B28">
            <w:pPr>
              <w:spacing w:line="273" w:lineRule="auto"/>
            </w:pPr>
          </w:p>
          <w:p w14:paraId="0F859E59">
            <w:pPr>
              <w:spacing w:line="274" w:lineRule="auto"/>
            </w:pPr>
          </w:p>
          <w:p w14:paraId="1512F621">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5C6FC181">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3F7D246E">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1289BCF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870700</w:t>
            </w:r>
            <w:r>
              <w:rPr>
                <w:rFonts w:hint="eastAsia" w:ascii="宋体" w:hAnsi="宋体" w:eastAsia="宋体" w:cs="宋体"/>
                <w:spacing w:val="2"/>
                <w:sz w:val="23"/>
                <w:szCs w:val="23"/>
              </w:rPr>
              <w:t>.00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捌拾柒万零柒佰</w:t>
            </w:r>
            <w:r>
              <w:rPr>
                <w:rFonts w:hint="eastAsia" w:ascii="宋体" w:hAnsi="宋体" w:eastAsia="宋体" w:cs="宋体"/>
                <w:spacing w:val="1"/>
                <w:sz w:val="23"/>
                <w:szCs w:val="23"/>
              </w:rPr>
              <w:t>元整</w:t>
            </w:r>
            <w:r>
              <w:rPr>
                <w:rFonts w:ascii="宋体" w:hAnsi="宋体" w:eastAsia="宋体" w:cs="宋体"/>
                <w:spacing w:val="1"/>
                <w:sz w:val="23"/>
                <w:szCs w:val="23"/>
              </w:rPr>
              <w:t>) ；</w:t>
            </w:r>
          </w:p>
          <w:p w14:paraId="52E6A5AD">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41A330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38765ECD"/>
        </w:tc>
        <w:tc>
          <w:tcPr>
            <w:tcW w:w="2100" w:type="dxa"/>
            <w:tcBorders>
              <w:left w:val="single" w:color="000000" w:sz="6" w:space="0"/>
              <w:right w:val="single" w:color="000000" w:sz="6" w:space="0"/>
            </w:tcBorders>
          </w:tcPr>
          <w:p w14:paraId="5E1F15C0">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7586EECA">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B2C78C9">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870700</w:t>
            </w:r>
            <w:r>
              <w:rPr>
                <w:rFonts w:hint="eastAsia" w:ascii="宋体" w:hAnsi="宋体" w:eastAsia="宋体" w:cs="宋体"/>
                <w:spacing w:val="2"/>
                <w:sz w:val="23"/>
                <w:szCs w:val="23"/>
              </w:rPr>
              <w:t>.00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捌拾柒万零柒佰</w:t>
            </w:r>
            <w:r>
              <w:rPr>
                <w:rFonts w:hint="eastAsia" w:ascii="宋体" w:hAnsi="宋体" w:eastAsia="宋体" w:cs="宋体"/>
                <w:spacing w:val="1"/>
                <w:sz w:val="23"/>
                <w:szCs w:val="23"/>
              </w:rPr>
              <w:t>元整</w:t>
            </w:r>
            <w:r>
              <w:rPr>
                <w:rFonts w:ascii="宋体" w:hAnsi="宋体" w:eastAsia="宋体" w:cs="宋体"/>
                <w:spacing w:val="1"/>
                <w:sz w:val="23"/>
                <w:szCs w:val="23"/>
              </w:rPr>
              <w:t>) ；</w:t>
            </w:r>
          </w:p>
          <w:p w14:paraId="5AECB1E1">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7B9B6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4724016B">
            <w:pPr>
              <w:spacing w:line="261" w:lineRule="auto"/>
            </w:pPr>
          </w:p>
          <w:p w14:paraId="1E918BBF">
            <w:pPr>
              <w:spacing w:line="261" w:lineRule="auto"/>
            </w:pPr>
          </w:p>
          <w:p w14:paraId="4B3F0395">
            <w:pPr>
              <w:spacing w:line="262" w:lineRule="auto"/>
            </w:pPr>
          </w:p>
          <w:p w14:paraId="19220E1B">
            <w:pPr>
              <w:spacing w:line="262" w:lineRule="auto"/>
            </w:pPr>
          </w:p>
          <w:p w14:paraId="4E8A15DC">
            <w:pPr>
              <w:spacing w:line="262" w:lineRule="auto"/>
            </w:pPr>
          </w:p>
          <w:p w14:paraId="14654551">
            <w:pPr>
              <w:spacing w:line="262" w:lineRule="auto"/>
            </w:pPr>
          </w:p>
          <w:p w14:paraId="1731003B">
            <w:pPr>
              <w:spacing w:line="262" w:lineRule="auto"/>
            </w:pPr>
          </w:p>
          <w:p w14:paraId="39A2B349">
            <w:pPr>
              <w:spacing w:line="262" w:lineRule="auto"/>
            </w:pPr>
          </w:p>
          <w:p w14:paraId="783B5A28">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29FBA42D">
            <w:pPr>
              <w:spacing w:line="265" w:lineRule="auto"/>
            </w:pPr>
          </w:p>
          <w:p w14:paraId="4D49688C">
            <w:pPr>
              <w:spacing w:line="265" w:lineRule="auto"/>
            </w:pPr>
          </w:p>
          <w:p w14:paraId="06AC7254">
            <w:pPr>
              <w:spacing w:line="265" w:lineRule="auto"/>
            </w:pPr>
          </w:p>
          <w:p w14:paraId="02CCBB7E">
            <w:pPr>
              <w:spacing w:line="265" w:lineRule="auto"/>
            </w:pPr>
          </w:p>
          <w:p w14:paraId="039DF86F">
            <w:pPr>
              <w:spacing w:line="265" w:lineRule="auto"/>
            </w:pPr>
          </w:p>
          <w:p w14:paraId="30BF5D48">
            <w:pPr>
              <w:spacing w:line="266" w:lineRule="auto"/>
            </w:pPr>
          </w:p>
          <w:p w14:paraId="57B43E0A">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0B2DDE">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28410059">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171B54B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15B41B3F">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B8BA79F">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063CAFFE">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096F9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11E3236"/>
        </w:tc>
        <w:tc>
          <w:tcPr>
            <w:tcW w:w="2100" w:type="dxa"/>
            <w:vMerge w:val="continue"/>
            <w:tcBorders>
              <w:left w:val="single" w:color="000000" w:sz="6" w:space="0"/>
              <w:right w:val="single" w:color="000000" w:sz="6" w:space="0"/>
            </w:tcBorders>
          </w:tcPr>
          <w:p w14:paraId="5A383B63"/>
        </w:tc>
        <w:tc>
          <w:tcPr>
            <w:tcW w:w="6818" w:type="dxa"/>
            <w:tcBorders>
              <w:left w:val="single" w:color="000000" w:sz="6" w:space="0"/>
              <w:right w:val="single" w:color="000000" w:sz="16" w:space="0"/>
            </w:tcBorders>
          </w:tcPr>
          <w:p w14:paraId="1916BB90">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432FE44">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E6DBE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4FAE98FB">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40B566DB">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261A99FA">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312B0D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124002C9">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55889340">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5BEDB826">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67A19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495FDEAF">
            <w:pPr>
              <w:spacing w:line="245" w:lineRule="auto"/>
            </w:pPr>
          </w:p>
          <w:p w14:paraId="2305DADD">
            <w:pPr>
              <w:spacing w:line="245" w:lineRule="auto"/>
            </w:pPr>
          </w:p>
          <w:p w14:paraId="6CB04F2F">
            <w:pPr>
              <w:spacing w:line="245" w:lineRule="auto"/>
            </w:pPr>
          </w:p>
          <w:p w14:paraId="6C3456FF">
            <w:pPr>
              <w:spacing w:line="245" w:lineRule="auto"/>
            </w:pPr>
          </w:p>
          <w:p w14:paraId="51D9BBE9">
            <w:pPr>
              <w:spacing w:line="245" w:lineRule="auto"/>
            </w:pPr>
          </w:p>
          <w:p w14:paraId="3045CB00">
            <w:pPr>
              <w:spacing w:line="245" w:lineRule="auto"/>
            </w:pPr>
          </w:p>
          <w:p w14:paraId="122BA8DF">
            <w:pPr>
              <w:spacing w:line="245" w:lineRule="auto"/>
            </w:pPr>
          </w:p>
          <w:p w14:paraId="30DDA2B7">
            <w:pPr>
              <w:spacing w:line="245" w:lineRule="auto"/>
            </w:pPr>
          </w:p>
          <w:p w14:paraId="0B05C44E">
            <w:pPr>
              <w:spacing w:line="246" w:lineRule="auto"/>
            </w:pPr>
          </w:p>
          <w:p w14:paraId="463A262B">
            <w:pPr>
              <w:spacing w:line="246" w:lineRule="auto"/>
            </w:pPr>
          </w:p>
          <w:p w14:paraId="378D468D">
            <w:pPr>
              <w:spacing w:line="246" w:lineRule="auto"/>
            </w:pPr>
          </w:p>
          <w:p w14:paraId="1A28F689">
            <w:pPr>
              <w:spacing w:line="246" w:lineRule="auto"/>
            </w:pPr>
          </w:p>
          <w:p w14:paraId="2674D05D">
            <w:pPr>
              <w:spacing w:line="246" w:lineRule="auto"/>
            </w:pPr>
          </w:p>
          <w:p w14:paraId="4FDD0187">
            <w:pPr>
              <w:spacing w:line="246" w:lineRule="auto"/>
            </w:pPr>
          </w:p>
          <w:p w14:paraId="0AB0294B">
            <w:pPr>
              <w:spacing w:line="246" w:lineRule="auto"/>
            </w:pPr>
          </w:p>
          <w:p w14:paraId="6AC374B3">
            <w:pPr>
              <w:spacing w:line="246" w:lineRule="auto"/>
            </w:pPr>
          </w:p>
          <w:p w14:paraId="2991EB81">
            <w:pPr>
              <w:spacing w:line="246" w:lineRule="auto"/>
            </w:pPr>
          </w:p>
          <w:p w14:paraId="177AA565">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7152D791">
            <w:pPr>
              <w:spacing w:line="246" w:lineRule="auto"/>
            </w:pPr>
          </w:p>
          <w:p w14:paraId="0522377B">
            <w:pPr>
              <w:spacing w:line="246" w:lineRule="auto"/>
            </w:pPr>
          </w:p>
          <w:p w14:paraId="5FBEAB7F">
            <w:pPr>
              <w:spacing w:line="246" w:lineRule="auto"/>
            </w:pPr>
          </w:p>
          <w:p w14:paraId="655D930C">
            <w:pPr>
              <w:spacing w:line="246" w:lineRule="auto"/>
            </w:pPr>
          </w:p>
          <w:p w14:paraId="75085F02">
            <w:pPr>
              <w:spacing w:line="247" w:lineRule="auto"/>
            </w:pPr>
          </w:p>
          <w:p w14:paraId="4B1B0A9D">
            <w:pPr>
              <w:spacing w:line="247" w:lineRule="auto"/>
            </w:pPr>
          </w:p>
          <w:p w14:paraId="53591C36">
            <w:pPr>
              <w:spacing w:line="247" w:lineRule="auto"/>
            </w:pPr>
          </w:p>
          <w:p w14:paraId="22D919B9">
            <w:pPr>
              <w:spacing w:line="247" w:lineRule="auto"/>
            </w:pPr>
          </w:p>
          <w:p w14:paraId="7926C0B6">
            <w:pPr>
              <w:spacing w:line="247" w:lineRule="auto"/>
            </w:pPr>
          </w:p>
          <w:p w14:paraId="008D55BE">
            <w:pPr>
              <w:spacing w:line="247" w:lineRule="auto"/>
            </w:pPr>
          </w:p>
          <w:p w14:paraId="390E3B85">
            <w:pPr>
              <w:spacing w:line="247" w:lineRule="auto"/>
            </w:pPr>
          </w:p>
          <w:p w14:paraId="6805EFDE">
            <w:pPr>
              <w:spacing w:line="247" w:lineRule="auto"/>
            </w:pPr>
          </w:p>
          <w:p w14:paraId="03EA8BDD">
            <w:pPr>
              <w:spacing w:line="247" w:lineRule="auto"/>
            </w:pPr>
          </w:p>
          <w:p w14:paraId="18177BEF">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7480DF5">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EDE26F">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31F1A432">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C65716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w:t>
            </w:r>
            <w:r>
              <w:rPr>
                <w:rFonts w:hint="eastAsia" w:ascii="宋体" w:hAnsi="宋体" w:eastAsia="宋体" w:cs="宋体"/>
                <w:spacing w:val="9"/>
                <w:sz w:val="23"/>
                <w:szCs w:val="23"/>
                <w:lang w:eastAsia="zh-CN"/>
              </w:rPr>
              <w:t>应当提供</w:t>
            </w:r>
            <w:r>
              <w:rPr>
                <w:rFonts w:ascii="宋体" w:hAnsi="宋体" w:eastAsia="宋体" w:cs="宋体"/>
                <w:spacing w:val="9"/>
                <w:sz w:val="23"/>
                <w:szCs w:val="23"/>
              </w:rPr>
              <w:t>由省级以上监狱</w:t>
            </w:r>
            <w:r>
              <w:rPr>
                <w:rFonts w:hint="eastAsia" w:ascii="宋体" w:hAnsi="宋体" w:eastAsia="宋体" w:cs="宋体"/>
                <w:spacing w:val="9"/>
                <w:sz w:val="23"/>
                <w:szCs w:val="23"/>
                <w:lang w:eastAsia="zh-CN"/>
              </w:rPr>
              <w:t>管理局</w:t>
            </w:r>
            <w:r>
              <w:rPr>
                <w:rFonts w:ascii="宋体" w:hAnsi="宋体" w:eastAsia="宋体" w:cs="宋体"/>
                <w:spacing w:val="9"/>
                <w:sz w:val="23"/>
                <w:szCs w:val="23"/>
              </w:rPr>
              <w:t>、戒毒管理局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F1510B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58623B6F">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D122F8C">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4551C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00076228">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2482CF98">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457A0B4D">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105CE1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463E31">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94521CB">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4B513E87">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D90D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27969C31">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66CCEC2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3B4C1668">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5E4A4180">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185E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5510B7B8">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1B8A0686">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w:t>
            </w:r>
            <w:r>
              <w:rPr>
                <w:rFonts w:hint="eastAsia" w:ascii="宋体" w:hAnsi="宋体" w:eastAsia="宋体" w:cs="宋体"/>
                <w:spacing w:val="8"/>
                <w:sz w:val="23"/>
                <w:szCs w:val="23"/>
                <w:lang w:eastAsia="zh-CN"/>
              </w:rPr>
              <w:t>其</w:t>
            </w:r>
          </w:p>
          <w:p w14:paraId="372D3BA9">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0E1082B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DA1394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9781E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EFD6AD1">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4513BE57">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819484">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 xml:space="preserve">日起 </w:t>
            </w:r>
            <w:r>
              <w:rPr>
                <w:rFonts w:hint="eastAsia" w:ascii="宋体" w:hAnsi="宋体" w:eastAsia="宋体" w:cs="宋体"/>
                <w:sz w:val="23"/>
                <w:szCs w:val="23"/>
                <w:lang w:val="en-US" w:eastAsia="zh-CN"/>
              </w:rPr>
              <w:t>90</w:t>
            </w:r>
            <w:r>
              <w:rPr>
                <w:rFonts w:ascii="宋体" w:hAnsi="宋体" w:eastAsia="宋体" w:cs="宋体"/>
                <w:sz w:val="23"/>
                <w:szCs w:val="23"/>
              </w:rPr>
              <w:t>天。</w:t>
            </w:r>
          </w:p>
        </w:tc>
      </w:tr>
      <w:tr w14:paraId="23EDE9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4F5CCF99">
            <w:pPr>
              <w:spacing w:line="251" w:lineRule="auto"/>
            </w:pPr>
          </w:p>
          <w:p w14:paraId="29517781">
            <w:pPr>
              <w:spacing w:line="251" w:lineRule="auto"/>
            </w:pPr>
          </w:p>
          <w:p w14:paraId="53E0F343">
            <w:pPr>
              <w:spacing w:line="251" w:lineRule="auto"/>
            </w:pPr>
          </w:p>
          <w:p w14:paraId="25BABB82">
            <w:pPr>
              <w:spacing w:line="251" w:lineRule="auto"/>
            </w:pPr>
          </w:p>
          <w:p w14:paraId="661B51DF">
            <w:pPr>
              <w:spacing w:line="251" w:lineRule="auto"/>
            </w:pPr>
          </w:p>
          <w:p w14:paraId="078831B2">
            <w:pPr>
              <w:spacing w:line="251" w:lineRule="auto"/>
            </w:pPr>
          </w:p>
          <w:p w14:paraId="6EE1BF90">
            <w:pPr>
              <w:spacing w:line="251" w:lineRule="auto"/>
            </w:pPr>
          </w:p>
          <w:p w14:paraId="1F42C019">
            <w:pPr>
              <w:spacing w:line="251" w:lineRule="auto"/>
            </w:pPr>
          </w:p>
          <w:p w14:paraId="2588657F">
            <w:pPr>
              <w:spacing w:line="251" w:lineRule="auto"/>
            </w:pPr>
          </w:p>
          <w:p w14:paraId="42C27BE3">
            <w:pPr>
              <w:spacing w:line="251" w:lineRule="auto"/>
            </w:pPr>
          </w:p>
          <w:p w14:paraId="0E9C2153">
            <w:pPr>
              <w:spacing w:line="251" w:lineRule="auto"/>
            </w:pPr>
          </w:p>
          <w:p w14:paraId="0060DF2D">
            <w:pPr>
              <w:spacing w:line="251" w:lineRule="auto"/>
            </w:pPr>
          </w:p>
          <w:p w14:paraId="1D22F553">
            <w:pPr>
              <w:spacing w:line="251" w:lineRule="auto"/>
            </w:pPr>
          </w:p>
          <w:p w14:paraId="7C4261D8">
            <w:pPr>
              <w:spacing w:line="251" w:lineRule="auto"/>
            </w:pPr>
          </w:p>
          <w:p w14:paraId="55ED7162">
            <w:pPr>
              <w:spacing w:line="251" w:lineRule="auto"/>
            </w:pPr>
          </w:p>
          <w:p w14:paraId="7AA7BAB2">
            <w:pPr>
              <w:spacing w:line="252" w:lineRule="auto"/>
            </w:pPr>
          </w:p>
          <w:p w14:paraId="21B568D1">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102ECEB8">
            <w:pPr>
              <w:spacing w:line="248" w:lineRule="auto"/>
            </w:pPr>
          </w:p>
          <w:p w14:paraId="139BD000">
            <w:pPr>
              <w:spacing w:line="248" w:lineRule="auto"/>
            </w:pPr>
          </w:p>
          <w:p w14:paraId="3BF93D70">
            <w:pPr>
              <w:spacing w:line="248" w:lineRule="auto"/>
            </w:pPr>
          </w:p>
          <w:p w14:paraId="45D7A243">
            <w:pPr>
              <w:spacing w:line="248" w:lineRule="auto"/>
            </w:pPr>
          </w:p>
          <w:p w14:paraId="1A7481FE">
            <w:pPr>
              <w:spacing w:line="249" w:lineRule="auto"/>
            </w:pPr>
          </w:p>
          <w:p w14:paraId="2130A08F">
            <w:pPr>
              <w:spacing w:line="249" w:lineRule="auto"/>
            </w:pPr>
          </w:p>
          <w:p w14:paraId="3B4D360E">
            <w:pPr>
              <w:spacing w:line="249" w:lineRule="auto"/>
            </w:pPr>
          </w:p>
          <w:p w14:paraId="0F781892">
            <w:pPr>
              <w:spacing w:line="249" w:lineRule="auto"/>
            </w:pPr>
          </w:p>
          <w:p w14:paraId="6B5E9E87">
            <w:pPr>
              <w:spacing w:line="249" w:lineRule="auto"/>
            </w:pPr>
          </w:p>
          <w:p w14:paraId="7B44314F">
            <w:pPr>
              <w:spacing w:line="249" w:lineRule="auto"/>
            </w:pPr>
          </w:p>
          <w:p w14:paraId="1E7D73C7">
            <w:pPr>
              <w:spacing w:line="249" w:lineRule="auto"/>
            </w:pPr>
          </w:p>
          <w:p w14:paraId="49697882">
            <w:pPr>
              <w:spacing w:line="249" w:lineRule="auto"/>
            </w:pPr>
          </w:p>
          <w:p w14:paraId="40C5C286">
            <w:pPr>
              <w:spacing w:line="249" w:lineRule="auto"/>
            </w:pPr>
          </w:p>
          <w:p w14:paraId="360021A7">
            <w:pPr>
              <w:spacing w:line="249" w:lineRule="auto"/>
            </w:pPr>
          </w:p>
          <w:p w14:paraId="42F2CCB3">
            <w:pPr>
              <w:spacing w:line="249" w:lineRule="auto"/>
            </w:pPr>
          </w:p>
          <w:p w14:paraId="25C4CC6E">
            <w:pPr>
              <w:spacing w:line="249" w:lineRule="auto"/>
            </w:pPr>
          </w:p>
          <w:p w14:paraId="5EAA6B56">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16823A6E">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15000</w:t>
            </w:r>
            <w:r>
              <w:rPr>
                <w:rFonts w:ascii="宋体" w:hAnsi="宋体" w:eastAsia="宋体" w:cs="宋体"/>
                <w:spacing w:val="5"/>
                <w:sz w:val="23"/>
                <w:szCs w:val="23"/>
              </w:rPr>
              <w:t>元 (大写人民币：</w:t>
            </w:r>
            <w:r>
              <w:rPr>
                <w:rFonts w:hint="eastAsia" w:ascii="宋体" w:hAnsi="宋体" w:eastAsia="宋体" w:cs="宋体"/>
                <w:spacing w:val="5"/>
                <w:sz w:val="23"/>
                <w:szCs w:val="23"/>
                <w:lang w:eastAsia="zh-CN"/>
              </w:rPr>
              <w:t>壹万伍仟</w:t>
            </w:r>
            <w:r>
              <w:rPr>
                <w:rFonts w:ascii="宋体" w:hAnsi="宋体" w:eastAsia="宋体" w:cs="宋体"/>
                <w:spacing w:val="5"/>
                <w:sz w:val="23"/>
                <w:szCs w:val="23"/>
              </w:rPr>
              <w:t>元整) 。</w:t>
            </w:r>
          </w:p>
          <w:p w14:paraId="0D632678">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002CF20D">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41247323">
            <w:pPr>
              <w:pStyle w:val="15"/>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w:t>
            </w:r>
            <w:r>
              <w:rPr>
                <w:rFonts w:hint="eastAsia" w:eastAsia="宋体" w:cs="宋体"/>
                <w:b w:val="0"/>
                <w:bCs/>
                <w:sz w:val="20"/>
                <w:szCs w:val="20"/>
                <w:lang w:eastAsia="zh-CN"/>
              </w:rPr>
              <w:t>账号</w:t>
            </w:r>
            <w:r>
              <w:rPr>
                <w:rFonts w:hint="eastAsia" w:ascii="宋体" w:hAnsi="宋体" w:eastAsia="宋体" w:cs="宋体"/>
                <w:b w:val="0"/>
                <w:bCs/>
                <w:sz w:val="20"/>
                <w:szCs w:val="20"/>
              </w:rPr>
              <w:t>：194717127051</w:t>
            </w:r>
          </w:p>
          <w:p w14:paraId="19124C91">
            <w:pPr>
              <w:pStyle w:val="15"/>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w:t>
            </w:r>
            <w:r>
              <w:rPr>
                <w:rFonts w:hint="eastAsia" w:eastAsia="宋体" w:cs="宋体"/>
                <w:b w:val="0"/>
                <w:bCs/>
                <w:sz w:val="20"/>
                <w:szCs w:val="20"/>
                <w:lang w:eastAsia="zh-CN"/>
              </w:rPr>
              <w:t>账号</w:t>
            </w:r>
            <w:r>
              <w:rPr>
                <w:rFonts w:hint="eastAsia" w:ascii="宋体" w:hAnsi="宋体" w:eastAsia="宋体" w:cs="宋体"/>
                <w:b w:val="0"/>
                <w:bCs/>
                <w:sz w:val="20"/>
                <w:szCs w:val="20"/>
              </w:rPr>
              <w:t>：1511207029200052687；</w:t>
            </w:r>
          </w:p>
          <w:p w14:paraId="5232452A">
            <w:pPr>
              <w:pStyle w:val="15"/>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w:t>
            </w:r>
            <w:r>
              <w:rPr>
                <w:rFonts w:hint="eastAsia" w:eastAsia="宋体" w:cs="宋体"/>
                <w:b w:val="0"/>
                <w:bCs/>
                <w:sz w:val="20"/>
                <w:szCs w:val="20"/>
                <w:shd w:val="clear" w:color="auto" w:fill="FFFFFF"/>
                <w:lang w:eastAsia="zh-CN"/>
              </w:rPr>
              <w:t>账号</w:t>
            </w:r>
            <w:r>
              <w:rPr>
                <w:rFonts w:hint="eastAsia" w:ascii="宋体" w:hAnsi="宋体" w:eastAsia="宋体" w:cs="宋体"/>
                <w:b w:val="0"/>
                <w:bCs/>
                <w:sz w:val="20"/>
                <w:szCs w:val="20"/>
                <w:shd w:val="clear" w:color="auto" w:fill="FFFFFF"/>
              </w:rPr>
              <w:t>：36001551210052503110；</w:t>
            </w:r>
          </w:p>
          <w:p w14:paraId="51568658">
            <w:pPr>
              <w:pStyle w:val="15"/>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w:t>
            </w:r>
            <w:r>
              <w:rPr>
                <w:rFonts w:hint="eastAsia" w:eastAsia="宋体" w:cs="宋体"/>
                <w:b w:val="0"/>
                <w:bCs/>
                <w:sz w:val="20"/>
                <w:szCs w:val="20"/>
                <w:shd w:val="clear" w:color="auto" w:fill="FFFFFF"/>
                <w:lang w:eastAsia="zh-CN"/>
              </w:rPr>
              <w:t>账号</w:t>
            </w:r>
            <w:r>
              <w:rPr>
                <w:rFonts w:hint="eastAsia" w:ascii="宋体" w:hAnsi="宋体" w:eastAsia="宋体" w:cs="宋体"/>
                <w:b w:val="0"/>
                <w:bCs/>
                <w:sz w:val="20"/>
                <w:szCs w:val="20"/>
                <w:shd w:val="clear" w:color="auto" w:fill="FFFFFF"/>
              </w:rPr>
              <w:t>：195039224000019949</w:t>
            </w:r>
          </w:p>
          <w:p w14:paraId="1FCEA760">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lang w:eastAsia="zh-CN"/>
              </w:rPr>
              <w:t>，</w:t>
            </w:r>
            <w:r>
              <w:rPr>
                <w:rFonts w:ascii="宋体" w:hAnsi="宋体" w:eastAsia="宋体" w:cs="宋体"/>
                <w:spacing w:val="7"/>
                <w:sz w:val="23"/>
                <w:szCs w:val="23"/>
              </w:rPr>
              <w:t>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1B5A4BCB">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w:t>
            </w:r>
            <w:r>
              <w:rPr>
                <w:rFonts w:hint="eastAsia" w:ascii="宋体" w:hAnsi="宋体" w:eastAsia="宋体" w:cs="宋体"/>
                <w:spacing w:val="8"/>
                <w:position w:val="14"/>
                <w:sz w:val="23"/>
                <w:szCs w:val="23"/>
                <w:lang w:eastAsia="zh-CN"/>
              </w:rPr>
              <w:t>，</w:t>
            </w:r>
            <w:r>
              <w:rPr>
                <w:rFonts w:ascii="宋体" w:hAnsi="宋体" w:eastAsia="宋体" w:cs="宋体"/>
                <w:spacing w:val="8"/>
                <w:position w:val="14"/>
                <w:sz w:val="23"/>
                <w:szCs w:val="23"/>
              </w:rPr>
              <w:t>电汇的交纳以银行到账时间为准。</w:t>
            </w:r>
          </w:p>
          <w:p w14:paraId="6D98F2BC">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0ADE91C6">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w:t>
            </w:r>
            <w:r>
              <w:rPr>
                <w:rFonts w:hint="eastAsia" w:ascii="宋体" w:hAnsi="宋体" w:eastAsia="宋体" w:cs="宋体"/>
                <w:spacing w:val="11"/>
                <w:sz w:val="23"/>
                <w:szCs w:val="23"/>
                <w:lang w:eastAsia="zh-CN"/>
              </w:rPr>
              <w:t>当计</w:t>
            </w:r>
            <w:r>
              <w:rPr>
                <w:rFonts w:ascii="宋体" w:hAnsi="宋体" w:eastAsia="宋体" w:cs="宋体"/>
                <w:spacing w:val="11"/>
                <w:sz w:val="23"/>
                <w:szCs w:val="23"/>
              </w:rPr>
              <w:t>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771D7A94">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170D5B32">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22A65F13">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1BFA10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0ADE55CD">
            <w:pPr>
              <w:spacing w:line="254" w:lineRule="auto"/>
            </w:pPr>
          </w:p>
          <w:p w14:paraId="0C0C68D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767DF4F2">
            <w:pPr>
              <w:spacing w:line="251" w:lineRule="auto"/>
            </w:pPr>
          </w:p>
          <w:p w14:paraId="5B85832A">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68090928">
            <w:pPr>
              <w:spacing w:line="226" w:lineRule="auto"/>
              <w:ind w:left="4" w:firstLine="262" w:firstLineChars="100"/>
              <w:rPr>
                <w:rFonts w:ascii="宋体" w:hAnsi="宋体" w:eastAsia="宋体" w:cs="宋体"/>
                <w:spacing w:val="16"/>
                <w:sz w:val="23"/>
                <w:szCs w:val="23"/>
              </w:rPr>
            </w:pPr>
          </w:p>
          <w:p w14:paraId="5AD38B9C">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2E375431">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lang w:eastAsia="zh-CN"/>
              </w:rPr>
              <w:t>转账</w:t>
            </w:r>
            <w:r>
              <w:rPr>
                <w:rFonts w:ascii="宋体" w:hAnsi="宋体" w:eastAsia="宋体" w:cs="宋体"/>
                <w:spacing w:val="12"/>
                <w:sz w:val="23"/>
                <w:szCs w:val="23"/>
              </w:rPr>
              <w:t>或者金融机构出具的保函等</w:t>
            </w:r>
          </w:p>
          <w:p w14:paraId="0E595C5C">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w:t>
            </w:r>
            <w:r>
              <w:rPr>
                <w:rFonts w:hint="eastAsia" w:ascii="宋体" w:hAnsi="宋体" w:eastAsia="宋体" w:cs="宋体"/>
                <w:spacing w:val="9"/>
                <w:sz w:val="23"/>
                <w:szCs w:val="23"/>
                <w:lang w:eastAsia="zh-CN"/>
              </w:rPr>
              <w:t>保证金</w:t>
            </w:r>
            <w:r>
              <w:rPr>
                <w:rFonts w:ascii="宋体" w:hAnsi="宋体" w:eastAsia="宋体" w:cs="宋体"/>
                <w:spacing w:val="18"/>
                <w:sz w:val="23"/>
                <w:szCs w:val="23"/>
              </w:rPr>
              <w:t>数</w:t>
            </w:r>
            <w:r>
              <w:rPr>
                <w:rFonts w:ascii="宋体" w:hAnsi="宋体" w:eastAsia="宋体" w:cs="宋体"/>
                <w:spacing w:val="9"/>
                <w:sz w:val="23"/>
                <w:szCs w:val="23"/>
              </w:rPr>
              <w:t>额的，</w:t>
            </w:r>
            <w:r>
              <w:rPr>
                <w:rFonts w:ascii="宋体" w:hAnsi="宋体" w:eastAsia="宋体" w:cs="宋体"/>
                <w:spacing w:val="9"/>
                <w:sz w:val="23"/>
                <w:szCs w:val="23"/>
                <w:highlight w:val="none"/>
              </w:rPr>
              <w:t>中标</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还应对超过部分</w:t>
            </w:r>
            <w:r>
              <w:rPr>
                <w:rFonts w:hint="eastAsia" w:ascii="宋体" w:hAnsi="宋体" w:eastAsia="宋体" w:cs="宋体"/>
                <w:spacing w:val="9"/>
                <w:sz w:val="23"/>
                <w:szCs w:val="23"/>
                <w:highlight w:val="none"/>
                <w:lang w:eastAsia="zh-CN"/>
              </w:rPr>
              <w:t>给</w:t>
            </w:r>
            <w:r>
              <w:rPr>
                <w:rFonts w:ascii="宋体" w:hAnsi="宋体" w:eastAsia="宋体" w:cs="宋体"/>
                <w:spacing w:val="9"/>
                <w:sz w:val="23"/>
                <w:szCs w:val="23"/>
                <w:highlight w:val="none"/>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33F96341">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2D9096A5">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167F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6BD92479">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2719E124">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72931942">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7C14B5BC">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0760CA16">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3C759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1DC6AAD">
            <w:pPr>
              <w:spacing w:line="278" w:lineRule="auto"/>
            </w:pPr>
          </w:p>
          <w:p w14:paraId="0CCDBAA9">
            <w:pPr>
              <w:spacing w:line="278" w:lineRule="auto"/>
            </w:pPr>
          </w:p>
          <w:p w14:paraId="5312236F">
            <w:pPr>
              <w:spacing w:line="278" w:lineRule="auto"/>
            </w:pPr>
          </w:p>
          <w:p w14:paraId="24419C24">
            <w:pPr>
              <w:spacing w:line="278" w:lineRule="auto"/>
            </w:pPr>
          </w:p>
          <w:p w14:paraId="608C1D4D">
            <w:pPr>
              <w:spacing w:line="279" w:lineRule="auto"/>
            </w:pPr>
          </w:p>
          <w:p w14:paraId="78C652AC">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2CF8C61B">
            <w:pPr>
              <w:spacing w:line="270" w:lineRule="auto"/>
            </w:pPr>
          </w:p>
          <w:p w14:paraId="5D1A8A8D">
            <w:pPr>
              <w:spacing w:line="271" w:lineRule="auto"/>
            </w:pPr>
          </w:p>
          <w:p w14:paraId="0F6DC7C1">
            <w:pPr>
              <w:spacing w:line="271" w:lineRule="auto"/>
            </w:pPr>
          </w:p>
          <w:p w14:paraId="0D446DCB">
            <w:pPr>
              <w:spacing w:line="271" w:lineRule="auto"/>
            </w:pPr>
          </w:p>
          <w:p w14:paraId="7A5ECF38">
            <w:pPr>
              <w:spacing w:line="271" w:lineRule="auto"/>
            </w:pPr>
          </w:p>
          <w:p w14:paraId="59CD703D">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4EA6BF8C">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5C2CABF7">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668B1CB5">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68FFEA43">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江西隆科建咨询顾问有限公司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6D85EA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38E50703">
            <w:pPr>
              <w:spacing w:line="349" w:lineRule="auto"/>
            </w:pPr>
          </w:p>
          <w:p w14:paraId="24289579">
            <w:pPr>
              <w:spacing w:line="349" w:lineRule="auto"/>
            </w:pPr>
          </w:p>
          <w:p w14:paraId="7FB03753">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BAB5EC">
            <w:pPr>
              <w:spacing w:line="330" w:lineRule="auto"/>
            </w:pPr>
          </w:p>
          <w:p w14:paraId="5CAC0A82">
            <w:pPr>
              <w:spacing w:line="331" w:lineRule="auto"/>
            </w:pPr>
          </w:p>
          <w:p w14:paraId="78C0A63A">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6631B2B">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w:t>
            </w:r>
            <w:r>
              <w:rPr>
                <w:rFonts w:hint="eastAsia" w:ascii="宋体" w:hAnsi="宋体" w:eastAsia="宋体" w:cs="宋体"/>
                <w:spacing w:val="12"/>
                <w:sz w:val="23"/>
                <w:szCs w:val="23"/>
                <w:lang w:eastAsia="zh-CN"/>
              </w:rPr>
              <w:t>问题</w:t>
            </w:r>
            <w:r>
              <w:rPr>
                <w:rFonts w:ascii="宋体" w:hAnsi="宋体" w:eastAsia="宋体" w:cs="宋体"/>
                <w:spacing w:val="12"/>
                <w:sz w:val="23"/>
                <w:szCs w:val="23"/>
              </w:rPr>
              <w:t>由</w:t>
            </w:r>
            <w:r>
              <w:rPr>
                <w:rFonts w:hint="eastAsia" w:ascii="宋体" w:hAnsi="宋体" w:eastAsia="宋体" w:cs="宋体"/>
                <w:spacing w:val="12"/>
                <w:sz w:val="23"/>
                <w:szCs w:val="23"/>
                <w:lang w:eastAsia="zh-CN"/>
              </w:rPr>
              <w:t>江西隆科建咨询顾问有限公司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F28B27">
            <w:pPr>
              <w:spacing w:line="229"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3890B125">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7FE19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76917E3A">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5D3D3BE0">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42A5BD43">
            <w:pPr>
              <w:spacing w:line="226" w:lineRule="auto"/>
              <w:ind w:left="3"/>
              <w:jc w:val="both"/>
              <w:rPr>
                <w:rFonts w:hint="default" w:ascii="宋体" w:hAnsi="宋体" w:eastAsia="宋体" w:cs="宋体"/>
                <w:spacing w:val="9"/>
                <w:sz w:val="23"/>
                <w:szCs w:val="23"/>
                <w:lang w:val="en-US"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rPr>
              <w:t>抚州市东乡区工业与科技创新投资集团有限公司</w:t>
            </w:r>
            <w:r>
              <w:rPr>
                <w:rFonts w:hint="eastAsia" w:ascii="宋体" w:hAnsi="宋体" w:eastAsia="宋体" w:cs="宋体"/>
                <w:spacing w:val="9"/>
                <w:sz w:val="23"/>
                <w:szCs w:val="23"/>
                <w:u w:val="single"/>
                <w:lang w:val="en-US" w:eastAsia="zh-CN"/>
              </w:rPr>
              <w:t>-审计监察部</w:t>
            </w:r>
          </w:p>
          <w:p w14:paraId="43969E12">
            <w:pPr>
              <w:spacing w:line="226" w:lineRule="auto"/>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74330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372EC771">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7E256A23">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4831CAC4">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352E2E7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0C546B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5E6F20D7">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2212B8FA">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026228DC">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2114E9C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025E5E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2BCBB9BA">
            <w:pPr>
              <w:spacing w:line="348" w:lineRule="auto"/>
            </w:pPr>
          </w:p>
          <w:p w14:paraId="0A8A0A0C">
            <w:pPr>
              <w:spacing w:line="349" w:lineRule="auto"/>
            </w:pPr>
          </w:p>
          <w:p w14:paraId="1C5E961C">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5331E54D">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588A3CA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2D4C06E">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B6AB95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04DE5262">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2C68AB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1132029"/>
          <w:p w14:paraId="625D0CEE">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0E62EAD8">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72DB210E">
            <w:pPr>
              <w:spacing w:before="182" w:line="227" w:lineRule="auto"/>
              <w:ind w:left="2"/>
              <w:rPr>
                <w:rFonts w:ascii="宋体" w:hAnsi="宋体" w:eastAsia="宋体" w:cs="宋体"/>
                <w:sz w:val="23"/>
                <w:szCs w:val="23"/>
              </w:rPr>
            </w:pPr>
            <w:r>
              <w:rPr>
                <w:rFonts w:hint="eastAsia" w:ascii="宋体" w:hAnsi="宋体" w:eastAsia="宋体" w:cs="宋体"/>
                <w:sz w:val="23"/>
                <w:szCs w:val="23"/>
                <w:lang w:eastAsia="zh-CN"/>
              </w:rPr>
              <w:t>《参照（东府发2024）22号文件中要求的第三方中介服务机构取费标准执行》</w:t>
            </w:r>
          </w:p>
        </w:tc>
      </w:tr>
      <w:tr w14:paraId="1D491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37E89069">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14CE047C">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7688D7CC">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6352878C">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F898C24"/>
    <w:p w14:paraId="4BCBAEF1">
      <w:pPr>
        <w:sectPr>
          <w:headerReference r:id="rId7" w:type="default"/>
          <w:footerReference r:id="rId8" w:type="default"/>
          <w:pgSz w:w="11907" w:h="16840"/>
          <w:pgMar w:top="400" w:right="610" w:bottom="1370" w:left="1373" w:header="0" w:footer="1193" w:gutter="0"/>
          <w:cols w:space="720" w:num="1"/>
        </w:sectPr>
      </w:pPr>
    </w:p>
    <w:p w14:paraId="6484666B">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0BA6BC06">
      <w:pPr>
        <w:spacing w:line="244" w:lineRule="auto"/>
      </w:pPr>
    </w:p>
    <w:p w14:paraId="0DB3EDB5">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12397D8A">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31D6462F">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10043E43">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1B11E7E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rPr>
        <w:t>抚州市东乡区工业与科技创新投资集团有限公司</w:t>
      </w:r>
      <w:r>
        <w:rPr>
          <w:rFonts w:ascii="宋体" w:hAnsi="宋体" w:eastAsia="宋体" w:cs="宋体"/>
          <w:spacing w:val="8"/>
          <w:sz w:val="23"/>
          <w:szCs w:val="23"/>
          <w:highlight w:val="none"/>
        </w:rPr>
        <w:t>。</w:t>
      </w:r>
    </w:p>
    <w:p w14:paraId="399408B8">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4D3C2F7B">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江西隆科建咨询顾问有限公司</w:t>
      </w:r>
      <w:r>
        <w:rPr>
          <w:rFonts w:ascii="宋体" w:hAnsi="宋体" w:eastAsia="宋体" w:cs="宋体"/>
          <w:spacing w:val="9"/>
          <w:sz w:val="23"/>
          <w:szCs w:val="23"/>
          <w:highlight w:val="none"/>
        </w:rPr>
        <w:t>。</w:t>
      </w:r>
    </w:p>
    <w:p w14:paraId="4AED9738">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0BDC39C3">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1025645">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69F5DD1F">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126B804">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425C23E5">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29A229B5">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w:t>
      </w:r>
      <w:r>
        <w:rPr>
          <w:rFonts w:hint="eastAsia" w:ascii="宋体" w:hAnsi="宋体" w:eastAsia="宋体" w:cs="宋体"/>
          <w:spacing w:val="12"/>
          <w:sz w:val="23"/>
          <w:szCs w:val="23"/>
          <w:highlight w:val="none"/>
          <w:lang w:eastAsia="zh-CN"/>
        </w:rPr>
        <w:t>法律法规</w:t>
      </w:r>
      <w:r>
        <w:rPr>
          <w:rFonts w:ascii="宋体" w:hAnsi="宋体" w:eastAsia="宋体" w:cs="宋体"/>
          <w:spacing w:val="12"/>
          <w:sz w:val="23"/>
          <w:szCs w:val="23"/>
        </w:rPr>
        <w:t>、规章和其他政策制度；</w:t>
      </w:r>
    </w:p>
    <w:p w14:paraId="7C60439F">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2FBBD78B">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3349DCEE">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431AAC41">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7F3E2B96">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5EAD6675">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08159EBA">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13DF04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1F83A9E3">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256AEC02">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37C501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5F31DDC">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77F5B721">
      <w:pPr>
        <w:sectPr>
          <w:headerReference r:id="rId9" w:type="default"/>
          <w:footerReference r:id="rId10" w:type="default"/>
          <w:pgSz w:w="11907" w:h="16840"/>
          <w:pgMar w:top="1320" w:right="610" w:bottom="1370" w:left="1418" w:header="852" w:footer="1193" w:gutter="0"/>
          <w:cols w:space="720" w:num="1"/>
        </w:sectPr>
      </w:pPr>
    </w:p>
    <w:p w14:paraId="1940CDD6">
      <w:pPr>
        <w:spacing w:line="449" w:lineRule="auto"/>
      </w:pPr>
    </w:p>
    <w:p w14:paraId="1BABD478">
      <w:pPr>
        <w:spacing w:line="372" w:lineRule="exact"/>
        <w:textAlignment w:val="center"/>
      </w:pPr>
    </w:p>
    <w:p w14:paraId="53C2AFF4">
      <w:pPr>
        <w:spacing w:before="46" w:line="50" w:lineRule="exact"/>
        <w:textAlignment w:val="center"/>
      </w:pPr>
    </w:p>
    <w:p w14:paraId="054361E0">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A5F6954">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 xml:space="preserve">5.1 </w:t>
      </w:r>
      <w:r>
        <w:rPr>
          <w:rFonts w:hint="eastAsia" w:ascii="宋体" w:hAnsi="宋体" w:eastAsia="宋体" w:cs="宋体"/>
          <w:spacing w:val="9"/>
          <w:sz w:val="23"/>
          <w:szCs w:val="23"/>
          <w:lang w:eastAsia="zh-CN"/>
        </w:rPr>
        <w:t>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w:t>
      </w:r>
      <w:r>
        <w:rPr>
          <w:rFonts w:hint="eastAsia" w:ascii="宋体" w:hAnsi="宋体" w:eastAsia="宋体" w:cs="宋体"/>
          <w:spacing w:val="9"/>
          <w:sz w:val="23"/>
          <w:szCs w:val="23"/>
          <w:lang w:eastAsia="zh-CN"/>
        </w:rPr>
        <w:t>；</w:t>
      </w:r>
      <w:r>
        <w:rPr>
          <w:rFonts w:ascii="宋体" w:hAnsi="宋体" w:eastAsia="宋体" w:cs="宋体"/>
          <w:spacing w:val="9"/>
          <w:sz w:val="23"/>
          <w:szCs w:val="23"/>
        </w:rPr>
        <w:t>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05556759">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CCF21">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50DEBD08">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6D661489">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6DD3207A">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06CEFFF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44E35DB8">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7B6B261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275F177E">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72355E80">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029B3BCF">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w:t>
      </w:r>
      <w:r>
        <w:rPr>
          <w:rFonts w:ascii="宋体" w:hAnsi="宋体" w:eastAsia="宋体" w:cs="宋体"/>
          <w:spacing w:val="12"/>
          <w:sz w:val="23"/>
          <w:szCs w:val="23"/>
          <w:highlight w:val="none"/>
        </w:rPr>
        <w:t>资质性</w:t>
      </w:r>
      <w:r>
        <w:rPr>
          <w:rFonts w:ascii="宋体" w:hAnsi="宋体" w:eastAsia="宋体" w:cs="宋体"/>
          <w:spacing w:val="12"/>
          <w:sz w:val="23"/>
          <w:szCs w:val="23"/>
        </w:rPr>
        <w:t>及其他要求；</w:t>
      </w:r>
    </w:p>
    <w:p w14:paraId="51500FE7">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w:t>
      </w:r>
      <w:r>
        <w:rPr>
          <w:rFonts w:ascii="宋体" w:hAnsi="宋体" w:eastAsia="宋体" w:cs="宋体"/>
          <w:color w:val="auto"/>
          <w:spacing w:val="12"/>
          <w:sz w:val="23"/>
          <w:szCs w:val="23"/>
          <w:highlight w:val="none"/>
        </w:rPr>
        <w:t>资质性</w:t>
      </w:r>
      <w:r>
        <w:rPr>
          <w:rFonts w:ascii="宋体" w:hAnsi="宋体" w:eastAsia="宋体" w:cs="宋体"/>
          <w:spacing w:val="12"/>
          <w:sz w:val="23"/>
          <w:szCs w:val="23"/>
        </w:rPr>
        <w:t>及其他要求的相关证明材料；</w:t>
      </w:r>
    </w:p>
    <w:p w14:paraId="360149F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0C8420A8">
      <w:pPr>
        <w:sectPr>
          <w:headerReference r:id="rId11" w:type="default"/>
          <w:footerReference r:id="rId12" w:type="default"/>
          <w:pgSz w:w="11907" w:h="16840"/>
          <w:pgMar w:top="400" w:right="610" w:bottom="1370" w:left="1418" w:header="0" w:footer="1193" w:gutter="0"/>
          <w:cols w:space="720" w:num="1"/>
        </w:sectPr>
      </w:pPr>
    </w:p>
    <w:p w14:paraId="48071905">
      <w:pPr>
        <w:spacing w:line="449" w:lineRule="auto"/>
      </w:pPr>
    </w:p>
    <w:p w14:paraId="00B0791E">
      <w:pPr>
        <w:spacing w:line="372" w:lineRule="exact"/>
        <w:textAlignment w:val="center"/>
      </w:pPr>
    </w:p>
    <w:p w14:paraId="7A2AEE6F">
      <w:pPr>
        <w:spacing w:before="46" w:line="50" w:lineRule="exact"/>
        <w:textAlignment w:val="center"/>
      </w:pPr>
    </w:p>
    <w:p w14:paraId="1551D50A">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037F2229">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5E5291D3">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38EFAE6">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06590EF7">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39E2C36B">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08C6DB78">
      <w:pPr>
        <w:spacing w:before="189" w:line="374" w:lineRule="auto"/>
        <w:ind w:left="8" w:leftChars="4" w:right="523" w:firstLine="496" w:firstLineChars="200"/>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4A591157">
      <w:pPr>
        <w:spacing w:before="189" w:line="374" w:lineRule="auto"/>
        <w:ind w:left="8" w:leftChars="4" w:right="523" w:firstLine="484" w:firstLineChars="200"/>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w:t>
      </w:r>
      <w:r>
        <w:rPr>
          <w:rFonts w:hint="eastAsia" w:ascii="宋体" w:hAnsi="宋体" w:eastAsia="宋体" w:cs="宋体"/>
          <w:spacing w:val="6"/>
          <w:sz w:val="23"/>
          <w:szCs w:val="23"/>
          <w:highlight w:val="none"/>
          <w:lang w:eastAsia="zh-CN"/>
        </w:rPr>
        <w:t>理机</w:t>
      </w:r>
      <w:r>
        <w:rPr>
          <w:rFonts w:hint="eastAsia" w:ascii="宋体" w:hAnsi="宋体" w:eastAsia="宋体" w:cs="宋体"/>
          <w:spacing w:val="6"/>
          <w:sz w:val="23"/>
          <w:szCs w:val="23"/>
          <w:highlight w:val="none"/>
        </w:rPr>
        <w:t>构提交疑问并电话告知招标代理机构，否则由此引起的损失由投标人自己负责，若投标人的投标文件没有按招标文件的要求提交全部资料或投标文件没有对招标文件</w:t>
      </w:r>
      <w:r>
        <w:rPr>
          <w:rFonts w:hint="eastAsia" w:ascii="宋体" w:hAnsi="宋体" w:eastAsia="宋体" w:cs="宋体"/>
          <w:spacing w:val="6"/>
          <w:sz w:val="23"/>
          <w:szCs w:val="23"/>
          <w:highlight w:val="none"/>
          <w:lang w:eastAsia="zh-CN"/>
        </w:rPr>
        <w:t>作出</w:t>
      </w:r>
      <w:r>
        <w:rPr>
          <w:rFonts w:hint="eastAsia" w:ascii="宋体" w:hAnsi="宋体" w:eastAsia="宋体" w:cs="宋体"/>
          <w:spacing w:val="6"/>
          <w:sz w:val="23"/>
          <w:szCs w:val="23"/>
          <w:highlight w:val="none"/>
        </w:rPr>
        <w:t>实质性响应，其风险由投标人自行承担。</w:t>
      </w:r>
    </w:p>
    <w:p w14:paraId="0957762B">
      <w:pPr>
        <w:spacing w:before="1" w:line="226" w:lineRule="auto"/>
        <w:ind w:left="577"/>
        <w:outlineLvl w:val="3"/>
        <w:rPr>
          <w:rFonts w:ascii="宋体" w:hAnsi="宋体" w:eastAsia="宋体" w:cs="宋体"/>
          <w:sz w:val="23"/>
          <w:szCs w:val="23"/>
        </w:rPr>
      </w:pPr>
    </w:p>
    <w:p w14:paraId="737146FA">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7E7073A7">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3369890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3E46E0C7">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06F6A32E">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24062E5C">
      <w:pPr>
        <w:sectPr>
          <w:footerReference r:id="rId13" w:type="default"/>
          <w:pgSz w:w="11907" w:h="16840"/>
          <w:pgMar w:top="400" w:right="610" w:bottom="1370" w:left="1418" w:header="0" w:footer="1191" w:gutter="0"/>
          <w:cols w:space="720" w:num="1"/>
        </w:sectPr>
      </w:pPr>
    </w:p>
    <w:p w14:paraId="06ADE50E">
      <w:pPr>
        <w:spacing w:line="449" w:lineRule="auto"/>
      </w:pPr>
    </w:p>
    <w:p w14:paraId="63C3790D">
      <w:pPr>
        <w:spacing w:line="372" w:lineRule="exact"/>
        <w:textAlignment w:val="center"/>
      </w:pPr>
    </w:p>
    <w:p w14:paraId="53600CDE">
      <w:pPr>
        <w:spacing w:before="46" w:line="50" w:lineRule="exact"/>
        <w:textAlignment w:val="center"/>
      </w:pPr>
    </w:p>
    <w:p w14:paraId="1636CD16">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24993D">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7DC1FC84">
      <w:pPr>
        <w:spacing w:before="185" w:line="228" w:lineRule="auto"/>
        <w:ind w:left="11"/>
        <w:jc w:val="both"/>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2538082E">
      <w:pPr>
        <w:spacing w:before="183" w:line="227" w:lineRule="auto"/>
        <w:ind w:left="3157" w:firstLine="254" w:firstLineChars="100"/>
        <w:jc w:val="left"/>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6443492">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5BE7789">
      <w:pPr>
        <w:spacing w:before="187" w:line="228" w:lineRule="auto"/>
        <w:ind w:left="3277"/>
        <w:jc w:val="both"/>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EE3C692">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46F42640">
      <w:pPr>
        <w:spacing w:line="430" w:lineRule="auto"/>
      </w:pPr>
    </w:p>
    <w:p w14:paraId="614927D8">
      <w:pPr>
        <w:spacing w:before="75" w:line="227" w:lineRule="auto"/>
        <w:ind w:left="3397"/>
        <w:jc w:val="both"/>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BFE7472">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5B4C2D64">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4318F1D5">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3B245C4D">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73DFB651">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62284DD4">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30342CC7">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4939F447">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1BFC6300">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62AC0FF7">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51CF9375">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90401FB">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4E3C55A4">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3051FFCC">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p>
    <w:p w14:paraId="07CD3B3F">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F960B90">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p>
    <w:p w14:paraId="09DCE7E4">
      <w:pPr>
        <w:spacing w:before="186" w:line="227" w:lineRule="auto"/>
        <w:ind w:left="531" w:leftChars="253" w:firstLine="0" w:firstLineChars="0"/>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12F2CBE4">
      <w:pPr>
        <w:sectPr>
          <w:footerReference r:id="rId14" w:type="default"/>
          <w:pgSz w:w="11907" w:h="16840"/>
          <w:pgMar w:top="400" w:right="610" w:bottom="1370" w:left="1418" w:header="0" w:footer="1191" w:gutter="0"/>
          <w:cols w:space="720" w:num="1"/>
        </w:sectPr>
      </w:pPr>
    </w:p>
    <w:p w14:paraId="6A4FDEED">
      <w:pPr>
        <w:spacing w:line="449" w:lineRule="auto"/>
      </w:pPr>
    </w:p>
    <w:p w14:paraId="53BDD95A">
      <w:pPr>
        <w:spacing w:line="372" w:lineRule="exact"/>
        <w:textAlignment w:val="center"/>
      </w:pPr>
    </w:p>
    <w:p w14:paraId="66912EB2">
      <w:pPr>
        <w:spacing w:before="46" w:line="50" w:lineRule="exact"/>
        <w:textAlignment w:val="center"/>
      </w:pPr>
    </w:p>
    <w:p w14:paraId="646D8D95">
      <w:pPr>
        <w:spacing w:before="53" w:line="227" w:lineRule="auto"/>
        <w:ind w:left="267" w:leftChars="127" w:firstLine="242" w:firstLineChars="100"/>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商务部分。(按照第三章格式编写投标文件)</w:t>
      </w:r>
    </w:p>
    <w:p w14:paraId="1D15991C">
      <w:pPr>
        <w:spacing w:before="182" w:line="227" w:lineRule="auto"/>
        <w:ind w:left="267" w:leftChars="127" w:firstLine="234" w:firstLineChars="100"/>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42FBE3D2">
      <w:pPr>
        <w:spacing w:before="186" w:line="227" w:lineRule="auto"/>
        <w:ind w:left="267" w:leftChars="127" w:firstLine="254" w:firstLineChars="100"/>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47925212">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3506B74C">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36D3D33D">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5BA6A04A">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2702C12">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6E57DEE5">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127761BB">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4B95866D">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7527B847">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2F4543C4">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351CCA2">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24D203FD">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1D9EC481">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682CD7F8">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0D075250">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04F4C777">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4C83C53">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lang w:eastAsia="zh-CN"/>
        </w:rPr>
        <w:t>缴纳</w:t>
      </w:r>
      <w:r>
        <w:rPr>
          <w:rFonts w:ascii="宋体" w:hAnsi="宋体" w:eastAsia="宋体" w:cs="宋体"/>
          <w:spacing w:val="12"/>
          <w:sz w:val="23"/>
          <w:szCs w:val="23"/>
        </w:rPr>
        <w:t>履约保证金的；</w:t>
      </w:r>
    </w:p>
    <w:p w14:paraId="754770FE">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09E39E70">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29490CBA">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E8B915F">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491B913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340CF392">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80CCD99">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36A11E27">
      <w:pPr>
        <w:sectPr>
          <w:footerReference r:id="rId15" w:type="default"/>
          <w:pgSz w:w="11907" w:h="16840"/>
          <w:pgMar w:top="400" w:right="610" w:bottom="1370" w:left="1418" w:header="0" w:footer="1193" w:gutter="0"/>
          <w:cols w:space="720" w:num="1"/>
        </w:sectPr>
      </w:pPr>
    </w:p>
    <w:p w14:paraId="2F003EBF">
      <w:pPr>
        <w:spacing w:line="449" w:lineRule="auto"/>
      </w:pPr>
    </w:p>
    <w:p w14:paraId="3F9B54B1">
      <w:pPr>
        <w:spacing w:line="372" w:lineRule="exact"/>
        <w:textAlignment w:val="center"/>
      </w:pPr>
    </w:p>
    <w:p w14:paraId="57FABF45">
      <w:pPr>
        <w:spacing w:before="46" w:line="50" w:lineRule="exact"/>
        <w:textAlignment w:val="center"/>
      </w:pPr>
    </w:p>
    <w:p w14:paraId="0602B161">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150F5E54">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1913F273">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0229A517">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21E7A110">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5D7AA855">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1B1CA48E">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437FDC4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613FC3B1">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478F5184">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501F572C">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0CFC3FF0">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0869C922">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571D433F">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2286034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28362B54">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1A0876D6">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41E651C">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62C86ABB">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627518D6">
      <w:pPr>
        <w:sectPr>
          <w:footerReference r:id="rId16" w:type="default"/>
          <w:pgSz w:w="11907" w:h="16840"/>
          <w:pgMar w:top="400" w:right="610" w:bottom="1370" w:left="1418" w:header="0" w:footer="1191" w:gutter="0"/>
          <w:cols w:space="720" w:num="1"/>
        </w:sectPr>
      </w:pPr>
    </w:p>
    <w:p w14:paraId="49DC0A38">
      <w:pPr>
        <w:spacing w:line="449" w:lineRule="auto"/>
      </w:pPr>
    </w:p>
    <w:p w14:paraId="3D56DA3E">
      <w:pPr>
        <w:spacing w:line="372" w:lineRule="exact"/>
        <w:textAlignment w:val="center"/>
      </w:pPr>
    </w:p>
    <w:p w14:paraId="251F35D3">
      <w:pPr>
        <w:spacing w:before="46" w:line="50" w:lineRule="exact"/>
        <w:textAlignment w:val="center"/>
      </w:pPr>
    </w:p>
    <w:p w14:paraId="3F205720">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22C3D95">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01E1ABEB">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43CDC781">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246E0071">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679F4C85">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23970E8A">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2F39B4E5">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62CCC7C9">
      <w:pPr>
        <w:spacing w:before="184" w:line="230" w:lineRule="auto"/>
        <w:ind w:left="29"/>
        <w:rPr>
          <w:rFonts w:ascii="宋体" w:hAnsi="宋体" w:eastAsia="宋体" w:cs="宋体"/>
          <w:sz w:val="23"/>
          <w:szCs w:val="23"/>
        </w:rPr>
      </w:pPr>
      <w:r>
        <w:rPr>
          <w:rFonts w:hint="eastAsia" w:ascii="宋体" w:hAnsi="宋体" w:eastAsia="宋体" w:cs="宋体"/>
          <w:spacing w:val="14"/>
          <w:sz w:val="23"/>
          <w:szCs w:val="23"/>
          <w:lang w:eastAsia="zh-CN"/>
        </w:rPr>
        <w:t>，</w:t>
      </w:r>
      <w:r>
        <w:rPr>
          <w:rFonts w:ascii="宋体" w:hAnsi="宋体" w:eastAsia="宋体" w:cs="宋体"/>
          <w:spacing w:val="7"/>
          <w:sz w:val="23"/>
          <w:szCs w:val="23"/>
        </w:rPr>
        <w:t>将按照有关规定进行相应处理。</w:t>
      </w:r>
    </w:p>
    <w:p w14:paraId="55868278">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062F42C4">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0A96484F">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569EEA8C">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6595D8C4">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91DD023">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2CCDFE22">
      <w:pPr>
        <w:sectPr>
          <w:footerReference r:id="rId17" w:type="default"/>
          <w:pgSz w:w="11907" w:h="16840"/>
          <w:pgMar w:top="400" w:right="610" w:bottom="1370" w:left="1418" w:header="0" w:footer="1193" w:gutter="0"/>
          <w:cols w:space="720" w:num="1"/>
        </w:sectPr>
      </w:pPr>
    </w:p>
    <w:p w14:paraId="598D7DC2">
      <w:pPr>
        <w:spacing w:line="449" w:lineRule="auto"/>
      </w:pPr>
    </w:p>
    <w:p w14:paraId="65A0741B">
      <w:pPr>
        <w:spacing w:line="372" w:lineRule="exact"/>
        <w:textAlignment w:val="center"/>
      </w:pPr>
    </w:p>
    <w:p w14:paraId="7BBEDA49">
      <w:pPr>
        <w:spacing w:before="46" w:line="50" w:lineRule="exact"/>
        <w:textAlignment w:val="center"/>
      </w:pPr>
    </w:p>
    <w:p w14:paraId="0FA6BECF">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66022D7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009204F5">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24FA59C1">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4FBC324F">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0547DEA7">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45D9F006">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174B4F82">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1F6E4D77">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lang w:eastAsia="zh-CN"/>
        </w:rPr>
        <w:t>：</w:t>
      </w:r>
    </w:p>
    <w:p w14:paraId="08C1ABF0">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41A645D3">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339D3770">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8692855">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6E1AED22">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1F1CE2B8">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779480CC">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069926DA">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1935C964">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5EF63EB0">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0E638173">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 xml:space="preserve">表”当众进行拆封，由唱标人员宣读投标人名称、投标价格 (价格折扣) </w:t>
      </w:r>
      <w:r>
        <w:rPr>
          <w:rFonts w:hint="eastAsia" w:ascii="宋体" w:hAnsi="宋体" w:eastAsia="宋体" w:cs="宋体"/>
          <w:spacing w:val="9"/>
          <w:sz w:val="23"/>
          <w:szCs w:val="23"/>
          <w:lang w:eastAsia="zh-CN"/>
        </w:rPr>
        <w:t>，或</w:t>
      </w:r>
      <w:r>
        <w:rPr>
          <w:rFonts w:ascii="宋体" w:hAnsi="宋体" w:eastAsia="宋体" w:cs="宋体"/>
          <w:spacing w:val="9"/>
          <w:sz w:val="23"/>
          <w:szCs w:val="23"/>
        </w:rPr>
        <w:t>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1C1ABF8D">
      <w:pPr>
        <w:sectPr>
          <w:footerReference r:id="rId18" w:type="default"/>
          <w:pgSz w:w="11907" w:h="16840"/>
          <w:pgMar w:top="400" w:right="610" w:bottom="1370" w:left="1418" w:header="0" w:footer="1193" w:gutter="0"/>
          <w:cols w:space="720" w:num="1"/>
        </w:sectPr>
      </w:pPr>
    </w:p>
    <w:p w14:paraId="64EE8EE4">
      <w:pPr>
        <w:spacing w:line="449" w:lineRule="auto"/>
      </w:pPr>
    </w:p>
    <w:p w14:paraId="56B9BC93">
      <w:pPr>
        <w:spacing w:line="372" w:lineRule="exact"/>
        <w:textAlignment w:val="center"/>
      </w:pPr>
    </w:p>
    <w:p w14:paraId="37E7F639">
      <w:pPr>
        <w:spacing w:before="46" w:line="50" w:lineRule="exact"/>
        <w:textAlignment w:val="center"/>
      </w:pPr>
    </w:p>
    <w:p w14:paraId="31C177FB">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19B082F7">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lang w:eastAsia="zh-CN"/>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1061F669">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478650F8">
      <w:pPr>
        <w:spacing w:line="353" w:lineRule="auto"/>
      </w:pPr>
    </w:p>
    <w:p w14:paraId="40691882">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46D2054"/>
    <w:p w14:paraId="6B51223A"/>
    <w:p w14:paraId="5B2A203C">
      <w:pPr>
        <w:spacing w:line="241" w:lineRule="auto"/>
      </w:pPr>
    </w:p>
    <w:p w14:paraId="72AA4596">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20CF180F">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lang w:val="en-US" w:eastAsia="zh-CN"/>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1B402F1A">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1BCB5475">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lang w:val="en-US" w:eastAsia="zh-CN"/>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3B0A39C3">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607AB17F">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77AD9293">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04C938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lang w:eastAsia="zh-CN"/>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25EA587E">
      <w:pPr>
        <w:sectPr>
          <w:footerReference r:id="rId19" w:type="default"/>
          <w:pgSz w:w="11907" w:h="16840"/>
          <w:pgMar w:top="400" w:right="610" w:bottom="1370" w:left="1418" w:header="0" w:footer="1193" w:gutter="0"/>
          <w:cols w:space="720" w:num="1"/>
        </w:sectPr>
      </w:pPr>
    </w:p>
    <w:p w14:paraId="667FF9CD">
      <w:pPr>
        <w:spacing w:line="449" w:lineRule="auto"/>
      </w:pPr>
    </w:p>
    <w:p w14:paraId="2D1C1789">
      <w:pPr>
        <w:spacing w:line="372" w:lineRule="exact"/>
        <w:textAlignment w:val="center"/>
      </w:pPr>
    </w:p>
    <w:p w14:paraId="5271F952">
      <w:pPr>
        <w:spacing w:before="46" w:line="50" w:lineRule="exact"/>
        <w:textAlignment w:val="center"/>
      </w:pPr>
    </w:p>
    <w:p w14:paraId="358F4AAF">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lang w:eastAsia="zh-CN"/>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46E53C60">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78D781EC">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9A8860B">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7F3803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81AA4AD">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3210B18A">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1C9CD0C1">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5C67CB0">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4CEAA8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6787FFF3">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D781808">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E204E6B">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lang w:eastAsia="zh-CN"/>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0142AEF8">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2FD9F407">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228293AD">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lang w:eastAsia="zh-CN"/>
        </w:rPr>
        <w:t>转账</w:t>
      </w:r>
      <w:r>
        <w:rPr>
          <w:rFonts w:ascii="宋体" w:hAnsi="宋体" w:eastAsia="宋体" w:cs="宋体"/>
          <w:spacing w:val="12"/>
          <w:sz w:val="23"/>
          <w:szCs w:val="23"/>
        </w:rPr>
        <w:t>或者金融机构出具的保函等</w:t>
      </w:r>
    </w:p>
    <w:p w14:paraId="147ED323">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w:t>
      </w:r>
      <w:r>
        <w:rPr>
          <w:rFonts w:ascii="宋体" w:hAnsi="宋体" w:eastAsia="宋体" w:cs="宋体"/>
          <w:spacing w:val="5"/>
          <w:sz w:val="23"/>
          <w:szCs w:val="23"/>
          <w:highlight w:val="none"/>
        </w:rPr>
        <w:t>中标供应商还应对超过部分</w:t>
      </w:r>
      <w:r>
        <w:rPr>
          <w:rFonts w:hint="eastAsia" w:ascii="宋体" w:hAnsi="宋体" w:eastAsia="宋体" w:cs="宋体"/>
          <w:spacing w:val="5"/>
          <w:sz w:val="23"/>
          <w:szCs w:val="23"/>
          <w:highlight w:val="none"/>
          <w:u w:val="none"/>
          <w:lang w:eastAsia="zh-CN"/>
        </w:rPr>
        <w:t>给</w:t>
      </w:r>
      <w:r>
        <w:rPr>
          <w:rFonts w:ascii="宋体" w:hAnsi="宋体" w:eastAsia="宋体" w:cs="宋体"/>
          <w:spacing w:val="5"/>
          <w:sz w:val="23"/>
          <w:szCs w:val="23"/>
          <w:highlight w:val="none"/>
          <w:u w:val="none"/>
        </w:rPr>
        <w:t>予</w:t>
      </w:r>
      <w:r>
        <w:rPr>
          <w:rFonts w:ascii="宋体" w:hAnsi="宋体" w:eastAsia="宋体" w:cs="宋体"/>
          <w:spacing w:val="5"/>
          <w:sz w:val="23"/>
          <w:szCs w:val="23"/>
          <w:highlight w:val="none"/>
        </w:rPr>
        <w:t>赔</w:t>
      </w:r>
      <w:r>
        <w:rPr>
          <w:rFonts w:ascii="宋体" w:hAnsi="宋体" w:eastAsia="宋体" w:cs="宋体"/>
          <w:spacing w:val="5"/>
          <w:sz w:val="23"/>
          <w:szCs w:val="23"/>
        </w:rPr>
        <w:t>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7C59EF0F">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12FE064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4C582704">
      <w:pPr>
        <w:spacing w:line="228" w:lineRule="auto"/>
        <w:ind w:left="4290"/>
        <w:outlineLvl w:val="2"/>
        <w:rPr>
          <w:rFonts w:ascii="Times New Roman" w:hAnsi="Times New Roman" w:eastAsia="Times New Roman" w:cs="Times New Roman"/>
          <w:b/>
          <w:bCs/>
          <w:spacing w:val="9"/>
          <w:sz w:val="23"/>
          <w:szCs w:val="23"/>
        </w:rPr>
      </w:pPr>
    </w:p>
    <w:p w14:paraId="2840A733">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52489AD4">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w:t>
      </w:r>
      <w:r>
        <w:rPr>
          <w:rFonts w:hint="eastAsia" w:ascii="宋体" w:hAnsi="宋体" w:eastAsia="宋体" w:cs="宋体"/>
          <w:spacing w:val="3"/>
          <w:sz w:val="23"/>
          <w:szCs w:val="23"/>
          <w:lang w:eastAsia="zh-CN"/>
        </w:rPr>
        <w:t>工作日</w:t>
      </w:r>
      <w:r>
        <w:rPr>
          <w:rFonts w:ascii="宋体" w:hAnsi="宋体" w:eastAsia="宋体" w:cs="宋体"/>
          <w:spacing w:val="5"/>
          <w:sz w:val="23"/>
          <w:szCs w:val="23"/>
        </w:rPr>
        <w:t>内向招标代理机构备案</w:t>
      </w:r>
      <w:r>
        <w:rPr>
          <w:rFonts w:ascii="宋体" w:hAnsi="宋体" w:eastAsia="宋体" w:cs="宋体"/>
          <w:spacing w:val="4"/>
          <w:sz w:val="23"/>
          <w:szCs w:val="23"/>
        </w:rPr>
        <w:t>。</w:t>
      </w:r>
    </w:p>
    <w:p w14:paraId="5D3F7F38">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5BEA6C9D">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59604BB">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1C11D361">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3B56E27B">
      <w:pPr>
        <w:spacing w:before="185" w:line="378" w:lineRule="auto"/>
        <w:ind w:left="6" w:leftChars="3" w:right="523" w:firstLine="386" w:firstLineChars="157"/>
        <w:rPr>
          <w:rFonts w:ascii="宋体" w:hAnsi="宋体" w:eastAsia="宋体" w:cs="宋体"/>
          <w:spacing w:val="6"/>
          <w:sz w:val="23"/>
          <w:szCs w:val="23"/>
        </w:rPr>
      </w:pPr>
      <w:r>
        <w:rPr>
          <w:rFonts w:ascii="宋体" w:hAnsi="宋体" w:eastAsia="宋体" w:cs="宋体"/>
          <w:spacing w:val="8"/>
          <w:sz w:val="23"/>
          <w:szCs w:val="23"/>
        </w:rPr>
        <w:t xml:space="preserve"> </w:t>
      </w:r>
      <w:r>
        <w:rPr>
          <w:rFonts w:hint="eastAsia" w:ascii="宋体" w:hAnsi="宋体" w:eastAsia="宋体" w:cs="宋体"/>
          <w:spacing w:val="8"/>
          <w:sz w:val="23"/>
          <w:szCs w:val="23"/>
          <w:lang w:val="en-US" w:eastAsia="zh-CN"/>
        </w:rPr>
        <w:t xml:space="preserve">32.1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5522D9E8">
      <w:pPr>
        <w:pStyle w:val="2"/>
      </w:pPr>
    </w:p>
    <w:p w14:paraId="7EACCD2D">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1E926F7D">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0F5EB84E">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615DB3E3">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59FFF965">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18AE0EA7">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5EEDB349">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6C015557">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4A72FDF0">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7032036A">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40F69456">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109A4AD9">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421E1B58">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3913E53C">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5B069A0B">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3E10EACC">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767630BC">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4B0FF9EE">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w:t>
      </w:r>
      <w:r>
        <w:rPr>
          <w:rFonts w:hint="eastAsia" w:ascii="宋体" w:hAnsi="宋体" w:eastAsia="宋体" w:cs="宋体"/>
          <w:spacing w:val="9"/>
          <w:sz w:val="23"/>
          <w:szCs w:val="23"/>
          <w:highlight w:val="none"/>
          <w:lang w:eastAsia="zh-CN"/>
        </w:rPr>
        <w:t>》《</w:t>
      </w:r>
      <w:r>
        <w:rPr>
          <w:rFonts w:hint="eastAsia" w:ascii="宋体" w:hAnsi="宋体" w:eastAsia="宋体" w:cs="宋体"/>
          <w:spacing w:val="9"/>
          <w:sz w:val="23"/>
          <w:szCs w:val="23"/>
          <w:highlight w:val="none"/>
        </w:rPr>
        <w:t>中华人民共和国招标投标法实施条例》等法律法规的规定办理。</w:t>
      </w:r>
    </w:p>
    <w:p w14:paraId="31B6CBF5">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5DAFB03">
      <w:pPr>
        <w:spacing w:line="241" w:lineRule="auto"/>
      </w:pPr>
    </w:p>
    <w:p w14:paraId="2451F6F8">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5</w:t>
      </w:r>
      <w:r>
        <w:rPr>
          <w:rFonts w:ascii="宋体" w:hAnsi="宋体" w:eastAsia="宋体" w:cs="宋体"/>
          <w:spacing w:val="9"/>
          <w:sz w:val="23"/>
          <w:szCs w:val="23"/>
        </w:rPr>
        <w:t>. 本招标文件中所引相关法律制度规定，在采购中有变化的，按照变化后的相</w:t>
      </w:r>
    </w:p>
    <w:p w14:paraId="189C5CE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lang w:eastAsia="zh-CN"/>
        </w:rPr>
        <w:t>作调整</w:t>
      </w:r>
      <w:r>
        <w:rPr>
          <w:rFonts w:ascii="宋体" w:hAnsi="宋体" w:eastAsia="宋体" w:cs="宋体"/>
          <w:spacing w:val="9"/>
          <w:sz w:val="23"/>
          <w:szCs w:val="23"/>
        </w:rPr>
        <w:t>。</w:t>
      </w:r>
    </w:p>
    <w:p w14:paraId="698DBD8F">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6"/>
          <w:sz w:val="23"/>
          <w:szCs w:val="23"/>
          <w:lang w:val="en-US" w:eastAsia="zh-CN"/>
        </w:rPr>
        <w:t>6</w:t>
      </w:r>
      <w:r>
        <w:rPr>
          <w:rFonts w:ascii="宋体" w:hAnsi="宋体" w:eastAsia="宋体" w:cs="宋体"/>
          <w:spacing w:val="10"/>
          <w:sz w:val="23"/>
          <w:szCs w:val="23"/>
        </w:rPr>
        <w:t>. 本项目除招标文件明确规定可以采购进口产品的货物外，不允许采购进口产品，</w:t>
      </w:r>
    </w:p>
    <w:p w14:paraId="1333EF50">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3880A8BA">
      <w:pPr>
        <w:sectPr>
          <w:headerReference r:id="rId20" w:type="default"/>
          <w:footerReference r:id="rId21" w:type="default"/>
          <w:pgSz w:w="11907" w:h="16840"/>
          <w:pgMar w:top="1320" w:right="610" w:bottom="1370" w:left="1418" w:header="852" w:footer="1191" w:gutter="0"/>
          <w:cols w:space="720" w:num="1"/>
        </w:sectPr>
      </w:pPr>
    </w:p>
    <w:p w14:paraId="66C1355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98C74B9">
      <w:pPr>
        <w:spacing w:line="410" w:lineRule="auto"/>
      </w:pPr>
    </w:p>
    <w:p w14:paraId="1B3D3A88">
      <w:pPr>
        <w:spacing w:line="305" w:lineRule="auto"/>
        <w:jc w:val="center"/>
        <w:rPr>
          <w:rFonts w:ascii="宋体" w:hAnsi="宋体" w:cs="宋体"/>
          <w:b/>
          <w:sz w:val="36"/>
          <w:szCs w:val="36"/>
        </w:rPr>
      </w:pPr>
      <w:r>
        <w:rPr>
          <w:rFonts w:hint="eastAsia" w:ascii="宋体" w:hAnsi="宋体" w:cs="宋体"/>
          <w:b/>
          <w:sz w:val="36"/>
          <w:szCs w:val="36"/>
        </w:rPr>
        <w:t>正本/副本</w:t>
      </w:r>
    </w:p>
    <w:p w14:paraId="76F797AC">
      <w:pPr>
        <w:jc w:val="center"/>
        <w:rPr>
          <w:rFonts w:ascii="宋体" w:hAnsi="宋体" w:cs="宋体"/>
          <w:kern w:val="1"/>
          <w:sz w:val="84"/>
          <w:szCs w:val="84"/>
        </w:rPr>
      </w:pPr>
      <w:r>
        <w:rPr>
          <w:rFonts w:hint="eastAsia" w:ascii="宋体" w:hAnsi="宋体" w:cs="宋体"/>
          <w:kern w:val="1"/>
          <w:sz w:val="84"/>
          <w:szCs w:val="84"/>
        </w:rPr>
        <w:t>投 标 文 件</w:t>
      </w:r>
    </w:p>
    <w:p w14:paraId="72B9074F">
      <w:pPr>
        <w:rPr>
          <w:rFonts w:ascii="宋体" w:hAnsi="宋体" w:cs="宋体"/>
          <w:kern w:val="1"/>
          <w:sz w:val="24"/>
        </w:rPr>
      </w:pPr>
    </w:p>
    <w:p w14:paraId="22A1D825">
      <w:pPr>
        <w:rPr>
          <w:rFonts w:ascii="宋体" w:hAnsi="宋体" w:cs="宋体"/>
          <w:kern w:val="1"/>
          <w:sz w:val="24"/>
        </w:rPr>
      </w:pPr>
    </w:p>
    <w:p w14:paraId="58A1737A">
      <w:pPr>
        <w:rPr>
          <w:rFonts w:ascii="宋体" w:hAnsi="宋体" w:cs="宋体"/>
          <w:kern w:val="1"/>
          <w:sz w:val="24"/>
        </w:rPr>
      </w:pPr>
    </w:p>
    <w:p w14:paraId="000B24C2">
      <w:pPr>
        <w:rPr>
          <w:rFonts w:ascii="宋体" w:hAnsi="宋体" w:cs="宋体"/>
          <w:kern w:val="1"/>
          <w:sz w:val="24"/>
        </w:rPr>
      </w:pPr>
    </w:p>
    <w:p w14:paraId="75AA982A">
      <w:pPr>
        <w:rPr>
          <w:rFonts w:ascii="宋体" w:hAnsi="宋体" w:cs="宋体"/>
          <w:kern w:val="1"/>
          <w:sz w:val="24"/>
        </w:rPr>
      </w:pPr>
    </w:p>
    <w:p w14:paraId="5E2FEE0D">
      <w:pPr>
        <w:rPr>
          <w:rFonts w:ascii="宋体" w:hAnsi="宋体" w:cs="宋体"/>
          <w:kern w:val="1"/>
          <w:sz w:val="24"/>
        </w:rPr>
      </w:pPr>
    </w:p>
    <w:p w14:paraId="0E43A891">
      <w:pPr>
        <w:rPr>
          <w:rFonts w:ascii="宋体" w:hAnsi="宋体" w:cs="宋体"/>
          <w:kern w:val="1"/>
          <w:sz w:val="24"/>
        </w:rPr>
      </w:pPr>
    </w:p>
    <w:p w14:paraId="37F94A59">
      <w:pPr>
        <w:rPr>
          <w:rFonts w:ascii="宋体" w:hAnsi="宋体" w:cs="宋体"/>
          <w:kern w:val="1"/>
          <w:sz w:val="24"/>
        </w:rPr>
      </w:pPr>
    </w:p>
    <w:p w14:paraId="4127A0B6">
      <w:pPr>
        <w:rPr>
          <w:rFonts w:ascii="宋体" w:hAnsi="宋体" w:cs="宋体"/>
          <w:kern w:val="1"/>
          <w:sz w:val="28"/>
          <w:u w:val="single"/>
        </w:rPr>
      </w:pPr>
      <w:r>
        <w:rPr>
          <w:rFonts w:hint="eastAsia" w:ascii="宋体" w:hAnsi="宋体" w:cs="宋体"/>
          <w:kern w:val="1"/>
          <w:sz w:val="28"/>
        </w:rPr>
        <w:t xml:space="preserve">               项目名称： </w:t>
      </w:r>
    </w:p>
    <w:p w14:paraId="12FE819B">
      <w:pPr>
        <w:rPr>
          <w:rFonts w:ascii="宋体" w:hAnsi="宋体" w:cs="宋体"/>
          <w:kern w:val="1"/>
          <w:sz w:val="28"/>
          <w:u w:val="single"/>
        </w:rPr>
      </w:pPr>
    </w:p>
    <w:p w14:paraId="073CF876">
      <w:pPr>
        <w:rPr>
          <w:rFonts w:ascii="宋体" w:hAnsi="宋体" w:cs="宋体"/>
          <w:kern w:val="1"/>
          <w:sz w:val="28"/>
          <w:u w:val="single"/>
        </w:rPr>
      </w:pPr>
      <w:r>
        <w:rPr>
          <w:rFonts w:hint="eastAsia" w:ascii="宋体" w:hAnsi="宋体" w:cs="宋体"/>
          <w:kern w:val="1"/>
          <w:sz w:val="28"/>
        </w:rPr>
        <w:t xml:space="preserve">               招标编号： </w:t>
      </w:r>
    </w:p>
    <w:p w14:paraId="356950E6">
      <w:pPr>
        <w:rPr>
          <w:rFonts w:ascii="宋体" w:hAnsi="宋体" w:cs="宋体"/>
          <w:kern w:val="1"/>
          <w:sz w:val="28"/>
          <w:u w:val="single"/>
        </w:rPr>
      </w:pPr>
    </w:p>
    <w:p w14:paraId="6507647C">
      <w:pPr>
        <w:rPr>
          <w:rFonts w:ascii="宋体" w:hAnsi="宋体" w:cs="宋体"/>
          <w:kern w:val="1"/>
          <w:sz w:val="28"/>
          <w:u w:val="single"/>
        </w:rPr>
      </w:pPr>
      <w:r>
        <w:rPr>
          <w:rFonts w:hint="eastAsia" w:ascii="宋体" w:hAnsi="宋体" w:cs="宋体"/>
          <w:kern w:val="1"/>
          <w:sz w:val="28"/>
        </w:rPr>
        <w:t xml:space="preserve">               投标单位（签章）： </w:t>
      </w:r>
    </w:p>
    <w:p w14:paraId="282E5DC4">
      <w:pPr>
        <w:jc w:val="center"/>
        <w:rPr>
          <w:rFonts w:ascii="宋体" w:hAnsi="宋体" w:cs="宋体"/>
          <w:kern w:val="1"/>
          <w:sz w:val="28"/>
        </w:rPr>
      </w:pPr>
    </w:p>
    <w:p w14:paraId="7BF365AC">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0F9EF7BA">
      <w:pPr>
        <w:widowControl w:val="0"/>
        <w:kinsoku/>
        <w:autoSpaceDE/>
        <w:autoSpaceDN/>
        <w:adjustRightInd/>
        <w:snapToGrid/>
        <w:jc w:val="center"/>
        <w:textAlignment w:val="auto"/>
        <w:rPr>
          <w:rFonts w:ascii="宋体" w:hAnsi="宋体" w:eastAsia="宋体" w:cs="宋体"/>
        </w:rPr>
      </w:pPr>
    </w:p>
    <w:p w14:paraId="6358E50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B66B4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A9F8FE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858608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9EAF135">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4DB004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49C93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7BA657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B4A21C2">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09658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DC396C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5ACEE1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562AE6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3019940">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1FE65732">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6533EE03">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287A7A89">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江西隆科建咨询顾问有限公司</w:t>
      </w:r>
    </w:p>
    <w:p w14:paraId="528A641B">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6"/>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0A6551E">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13F8996A">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49BA2540">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0120B2AA">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5720B7EF">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CBB5651">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102598BC">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73744E03">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078D8DF1">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4CC2B746">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428B9528">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73E12CD6">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lang w:eastAsia="zh-CN"/>
        </w:rPr>
        <w:t>缴纳</w:t>
      </w:r>
      <w:r>
        <w:rPr>
          <w:rFonts w:ascii="宋体" w:hAnsi="宋体" w:eastAsia="宋体" w:cs="宋体"/>
          <w:spacing w:val="12"/>
          <w:sz w:val="23"/>
          <w:szCs w:val="23"/>
        </w:rPr>
        <w:t>履约保证金的；</w:t>
      </w:r>
    </w:p>
    <w:p w14:paraId="796D3B4B">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700CA4BF">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3C04D384">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489F77E3">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57C754E2">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C2A243E">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2781475D">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59447B40">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0B5F9FC1">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0E32A68C">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64606652">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26FC0B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2B028ECB">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07678E10">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436BBD4B">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3F1AFF24">
      <w:pPr>
        <w:sectPr>
          <w:footerReference r:id="rId22" w:type="default"/>
          <w:pgSz w:w="11907" w:h="16840"/>
          <w:pgMar w:top="1320" w:right="610" w:bottom="1370" w:left="1418" w:header="852" w:footer="1193" w:gutter="0"/>
          <w:cols w:space="720" w:num="1"/>
        </w:sectPr>
      </w:pPr>
    </w:p>
    <w:p w14:paraId="6F25D739">
      <w:pPr>
        <w:spacing w:line="274" w:lineRule="auto"/>
      </w:pPr>
    </w:p>
    <w:p w14:paraId="0B2EEC48">
      <w:pPr>
        <w:spacing w:line="274" w:lineRule="auto"/>
      </w:pPr>
    </w:p>
    <w:p w14:paraId="195BE5E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1B360703">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2410D940">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江西隆科建咨询顾问有限公司</w:t>
      </w:r>
    </w:p>
    <w:p w14:paraId="36E103A9">
      <w:pPr>
        <w:spacing w:line="379" w:lineRule="auto"/>
      </w:pPr>
    </w:p>
    <w:p w14:paraId="68823AED">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0E8341F5">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5E17B76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73BF52FE">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6D08861E">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3DC124BB">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3D3440F8">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7E37966C">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757A888B">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1636A45">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2E7DA306">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lang w:eastAsia="zh-CN"/>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9AA409D">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725E89C">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68B0EBFC">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0B136DB9">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5E863044">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071A61B4">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A8267">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49994636">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4CE52899">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0367D01B">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567B6CF6">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F9836B0">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40542F6E">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653131B1">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6E3AC7E">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B53C6EC">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6FC05BB">
      <w:pPr>
        <w:sectPr>
          <w:footerReference r:id="rId23" w:type="default"/>
          <w:pgSz w:w="11907" w:h="16840"/>
          <w:pgMar w:top="1320" w:right="610" w:bottom="1370" w:left="1418" w:header="852" w:footer="1191" w:gutter="0"/>
          <w:cols w:space="720" w:num="1"/>
        </w:sectPr>
      </w:pPr>
    </w:p>
    <w:p w14:paraId="6EEDCFC7">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1D21DE6">
      <w:pPr>
        <w:spacing w:line="417" w:lineRule="auto"/>
      </w:pPr>
    </w:p>
    <w:p w14:paraId="5C81CFC6">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江西隆科建咨询顾问有限公司</w:t>
      </w:r>
      <w:r>
        <w:rPr>
          <w:rFonts w:ascii="宋体" w:hAnsi="宋体" w:eastAsia="宋体" w:cs="宋体"/>
          <w:spacing w:val="7"/>
          <w:sz w:val="23"/>
          <w:szCs w:val="23"/>
        </w:rPr>
        <w:t>：</w:t>
      </w:r>
    </w:p>
    <w:p w14:paraId="230F5794">
      <w:pPr>
        <w:spacing w:line="466" w:lineRule="auto"/>
      </w:pPr>
    </w:p>
    <w:p w14:paraId="5BA19740">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78BE567C">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086804">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3C9727E6">
      <w:pPr>
        <w:spacing w:line="258" w:lineRule="auto"/>
      </w:pPr>
    </w:p>
    <w:p w14:paraId="785DCEB2">
      <w:pPr>
        <w:spacing w:line="258" w:lineRule="auto"/>
      </w:pPr>
    </w:p>
    <w:p w14:paraId="13AE5B58">
      <w:pPr>
        <w:spacing w:line="259" w:lineRule="auto"/>
      </w:pPr>
    </w:p>
    <w:p w14:paraId="417561F3">
      <w:pPr>
        <w:spacing w:line="259" w:lineRule="auto"/>
      </w:pPr>
    </w:p>
    <w:p w14:paraId="64906AE6">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6E6D524C">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7985160">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5ED29922">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000DA309">
      <w:pPr>
        <w:spacing w:line="244" w:lineRule="auto"/>
      </w:pPr>
    </w:p>
    <w:p w14:paraId="46A75499">
      <w:pPr>
        <w:spacing w:line="244" w:lineRule="auto"/>
      </w:pPr>
    </w:p>
    <w:p w14:paraId="5CC560A4">
      <w:pPr>
        <w:spacing w:line="244" w:lineRule="auto"/>
      </w:pPr>
    </w:p>
    <w:p w14:paraId="6A163D64">
      <w:pPr>
        <w:spacing w:line="244" w:lineRule="auto"/>
      </w:pPr>
    </w:p>
    <w:p w14:paraId="35E939F0">
      <w:pPr>
        <w:spacing w:line="244" w:lineRule="auto"/>
      </w:pPr>
    </w:p>
    <w:p w14:paraId="0EC3FA4A">
      <w:pPr>
        <w:spacing w:line="244" w:lineRule="auto"/>
      </w:pPr>
    </w:p>
    <w:p w14:paraId="12519524">
      <w:pPr>
        <w:spacing w:line="244" w:lineRule="auto"/>
      </w:pPr>
    </w:p>
    <w:p w14:paraId="52835DEF">
      <w:pPr>
        <w:spacing w:line="244" w:lineRule="auto"/>
      </w:pPr>
    </w:p>
    <w:p w14:paraId="59F956D1">
      <w:pPr>
        <w:spacing w:line="244" w:lineRule="auto"/>
      </w:pPr>
    </w:p>
    <w:p w14:paraId="386EBF5A">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4D22E32C">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lang w:eastAsia="zh-CN"/>
        </w:rPr>
        <w:t>表人</w:t>
      </w:r>
      <w:r>
        <w:rPr>
          <w:rFonts w:ascii="宋体" w:hAnsi="宋体" w:eastAsia="宋体" w:cs="宋体"/>
          <w:spacing w:val="12"/>
          <w:sz w:val="23"/>
          <w:szCs w:val="23"/>
        </w:rPr>
        <w:t>身份证复印件加盖投标人公章。</w:t>
      </w:r>
    </w:p>
    <w:p w14:paraId="7BF3A496">
      <w:pPr>
        <w:sectPr>
          <w:footerReference r:id="rId24" w:type="default"/>
          <w:pgSz w:w="11907" w:h="16840"/>
          <w:pgMar w:top="1320" w:right="610" w:bottom="1370" w:left="1418" w:header="852" w:footer="1193" w:gutter="0"/>
          <w:cols w:space="720" w:num="1"/>
        </w:sectPr>
      </w:pPr>
    </w:p>
    <w:p w14:paraId="4C95D0F9">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D808CC9">
      <w:pPr>
        <w:spacing w:line="256" w:lineRule="auto"/>
      </w:pPr>
    </w:p>
    <w:p w14:paraId="5504822F">
      <w:pPr>
        <w:spacing w:line="256" w:lineRule="auto"/>
      </w:pPr>
    </w:p>
    <w:p w14:paraId="633FD62D">
      <w:pPr>
        <w:spacing w:line="256" w:lineRule="auto"/>
      </w:pPr>
    </w:p>
    <w:p w14:paraId="24959483">
      <w:pPr>
        <w:spacing w:line="257" w:lineRule="auto"/>
      </w:pPr>
    </w:p>
    <w:p w14:paraId="7FE757E6">
      <w:pPr>
        <w:spacing w:line="257" w:lineRule="auto"/>
      </w:pPr>
    </w:p>
    <w:p w14:paraId="6689AE2A">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7DCE23C7">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4D751AF3">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33AE3A3F">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5248DC2C">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619F2F4D">
      <w:pPr>
        <w:spacing w:line="260" w:lineRule="auto"/>
      </w:pPr>
    </w:p>
    <w:p w14:paraId="266E6755">
      <w:pPr>
        <w:spacing w:line="260" w:lineRule="auto"/>
      </w:pPr>
    </w:p>
    <w:p w14:paraId="197E619A">
      <w:pPr>
        <w:spacing w:line="260" w:lineRule="auto"/>
      </w:pPr>
    </w:p>
    <w:p w14:paraId="57EEA181">
      <w:pPr>
        <w:spacing w:line="261" w:lineRule="auto"/>
      </w:pPr>
    </w:p>
    <w:p w14:paraId="3FB7C2F0">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3837DF4F">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4340077A">
      <w:pPr>
        <w:spacing w:line="260" w:lineRule="auto"/>
      </w:pPr>
    </w:p>
    <w:p w14:paraId="2DE40339">
      <w:pPr>
        <w:spacing w:line="260" w:lineRule="auto"/>
      </w:pPr>
    </w:p>
    <w:p w14:paraId="7238604F">
      <w:pPr>
        <w:spacing w:line="260" w:lineRule="auto"/>
      </w:pPr>
    </w:p>
    <w:p w14:paraId="0648F2E5">
      <w:pPr>
        <w:spacing w:line="260" w:lineRule="auto"/>
      </w:pPr>
    </w:p>
    <w:p w14:paraId="71CC0DCC">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6252DBCE">
      <w:pPr>
        <w:spacing w:line="285" w:lineRule="auto"/>
      </w:pPr>
    </w:p>
    <w:p w14:paraId="57F982EB">
      <w:pPr>
        <w:spacing w:line="286" w:lineRule="auto"/>
      </w:pPr>
    </w:p>
    <w:p w14:paraId="576347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C15AD91">
      <w:pPr>
        <w:spacing w:line="261" w:lineRule="auto"/>
      </w:pPr>
    </w:p>
    <w:p w14:paraId="68F7C788">
      <w:pPr>
        <w:spacing w:line="262" w:lineRule="auto"/>
      </w:pPr>
    </w:p>
    <w:p w14:paraId="54DEA11D">
      <w:pPr>
        <w:spacing w:line="262" w:lineRule="auto"/>
      </w:pPr>
    </w:p>
    <w:p w14:paraId="641AAC07">
      <w:pPr>
        <w:spacing w:line="262" w:lineRule="auto"/>
      </w:pPr>
    </w:p>
    <w:p w14:paraId="3A90174B">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335138AD">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lang w:eastAsia="zh-CN"/>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05E53980">
      <w:pPr>
        <w:spacing w:line="291" w:lineRule="auto"/>
      </w:pPr>
    </w:p>
    <w:p w14:paraId="15CE0560">
      <w:pPr>
        <w:spacing w:line="291" w:lineRule="auto"/>
      </w:pPr>
    </w:p>
    <w:p w14:paraId="69275429">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418F2AC7">
      <w:pPr>
        <w:spacing w:line="249" w:lineRule="auto"/>
      </w:pPr>
    </w:p>
    <w:p w14:paraId="0BBD6D9D">
      <w:pPr>
        <w:spacing w:line="250" w:lineRule="auto"/>
      </w:pPr>
    </w:p>
    <w:p w14:paraId="0B4E72CE">
      <w:pPr>
        <w:spacing w:line="250" w:lineRule="auto"/>
      </w:pPr>
    </w:p>
    <w:p w14:paraId="1298D5B1">
      <w:pPr>
        <w:spacing w:line="250" w:lineRule="auto"/>
      </w:pPr>
    </w:p>
    <w:p w14:paraId="239DBD1B">
      <w:pPr>
        <w:spacing w:line="250" w:lineRule="auto"/>
      </w:pPr>
    </w:p>
    <w:p w14:paraId="23DC0A39">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413DC8A8">
      <w:pPr>
        <w:sectPr>
          <w:footerReference r:id="rId25" w:type="default"/>
          <w:pgSz w:w="11907" w:h="16840"/>
          <w:pgMar w:top="1320" w:right="610" w:bottom="1370" w:left="1418" w:header="852" w:footer="1193" w:gutter="0"/>
          <w:cols w:space="720" w:num="1"/>
        </w:sectPr>
      </w:pPr>
    </w:p>
    <w:p w14:paraId="62154D4B">
      <w:pPr>
        <w:spacing w:line="278" w:lineRule="auto"/>
      </w:pPr>
    </w:p>
    <w:p w14:paraId="47032048">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2482C516">
      <w:pPr>
        <w:spacing w:line="418" w:lineRule="auto"/>
      </w:pPr>
    </w:p>
    <w:p w14:paraId="6E793C69">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413E76DD">
      <w:pPr>
        <w:spacing w:line="147" w:lineRule="exact"/>
      </w:pPr>
    </w:p>
    <w:tbl>
      <w:tblPr>
        <w:tblStyle w:val="20"/>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40048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72D94071">
            <w:pPr>
              <w:spacing w:line="384" w:lineRule="auto"/>
            </w:pPr>
          </w:p>
          <w:p w14:paraId="3E453DC3">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163F3F2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0D75380C">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1C57A428">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64E9D7FE">
            <w:pPr>
              <w:spacing w:line="383" w:lineRule="auto"/>
            </w:pPr>
          </w:p>
          <w:p w14:paraId="3E9F39CA">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3D41BE80">
            <w:pPr>
              <w:spacing w:line="383" w:lineRule="auto"/>
            </w:pPr>
          </w:p>
          <w:p w14:paraId="64D74446">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5F68157E">
            <w:pPr>
              <w:spacing w:line="384" w:lineRule="auto"/>
            </w:pPr>
          </w:p>
          <w:p w14:paraId="01EED536">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651FC6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2DB93C9B"/>
        </w:tc>
        <w:tc>
          <w:tcPr>
            <w:tcW w:w="1617" w:type="dxa"/>
          </w:tcPr>
          <w:p w14:paraId="468D0312"/>
        </w:tc>
        <w:tc>
          <w:tcPr>
            <w:tcW w:w="3166" w:type="dxa"/>
          </w:tcPr>
          <w:p w14:paraId="678C5901"/>
        </w:tc>
        <w:tc>
          <w:tcPr>
            <w:tcW w:w="1635" w:type="dxa"/>
          </w:tcPr>
          <w:p w14:paraId="50F58BE0"/>
        </w:tc>
        <w:tc>
          <w:tcPr>
            <w:tcW w:w="2548" w:type="dxa"/>
          </w:tcPr>
          <w:p w14:paraId="48CDCC7C"/>
        </w:tc>
        <w:tc>
          <w:tcPr>
            <w:tcW w:w="1399" w:type="dxa"/>
          </w:tcPr>
          <w:p w14:paraId="5B143599"/>
        </w:tc>
      </w:tr>
    </w:tbl>
    <w:p w14:paraId="6F39026C">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lang w:eastAsia="zh-CN"/>
        </w:rPr>
        <w:t>的其他费用</w:t>
      </w:r>
      <w:r>
        <w:rPr>
          <w:rFonts w:ascii="宋体" w:hAnsi="宋体" w:eastAsia="宋体" w:cs="宋体"/>
          <w:spacing w:val="9"/>
          <w:sz w:val="23"/>
          <w:szCs w:val="23"/>
        </w:rPr>
        <w:t>。</w:t>
      </w:r>
    </w:p>
    <w:p w14:paraId="6D10FEB3">
      <w:pPr>
        <w:spacing w:line="272" w:lineRule="auto"/>
      </w:pPr>
    </w:p>
    <w:p w14:paraId="33573053">
      <w:pPr>
        <w:pStyle w:val="6"/>
      </w:pPr>
    </w:p>
    <w:p w14:paraId="2360770C">
      <w:pPr>
        <w:spacing w:line="272" w:lineRule="auto"/>
      </w:pPr>
    </w:p>
    <w:p w14:paraId="651DF414">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5728E44">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6265BB3">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0719186">
      <w:pPr>
        <w:sectPr>
          <w:headerReference r:id="rId26" w:type="default"/>
          <w:footerReference r:id="rId27" w:type="default"/>
          <w:pgSz w:w="16840" w:h="11907"/>
          <w:pgMar w:top="1467" w:right="1135" w:bottom="1371" w:left="851" w:header="852" w:footer="1194" w:gutter="0"/>
          <w:cols w:space="720" w:num="1"/>
        </w:sectPr>
      </w:pPr>
    </w:p>
    <w:p w14:paraId="01BF01FA">
      <w:pPr>
        <w:spacing w:line="347" w:lineRule="auto"/>
      </w:pPr>
    </w:p>
    <w:p w14:paraId="5E4976D5">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08F1F1BF">
      <w:pPr>
        <w:spacing w:line="290" w:lineRule="auto"/>
      </w:pPr>
    </w:p>
    <w:p w14:paraId="35C49E63">
      <w:pPr>
        <w:spacing w:line="290" w:lineRule="auto"/>
      </w:pPr>
    </w:p>
    <w:p w14:paraId="218DC325">
      <w:pPr>
        <w:spacing w:line="291" w:lineRule="auto"/>
      </w:pPr>
    </w:p>
    <w:p w14:paraId="1420F6EA">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5127A320"/>
    <w:p w14:paraId="3F566988"/>
    <w:tbl>
      <w:tblPr>
        <w:tblStyle w:val="20"/>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1C0A3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14804886">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2BF3C299">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51156484">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62461767">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5B0373EE">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7FDD2A7E">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19FEB068">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7B2D7368">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6849E15C">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305F643D">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5B4C087E">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1914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5BFCF9A3"/>
        </w:tc>
        <w:tc>
          <w:tcPr>
            <w:tcW w:w="1274" w:type="dxa"/>
          </w:tcPr>
          <w:p w14:paraId="55A061B2"/>
        </w:tc>
        <w:tc>
          <w:tcPr>
            <w:tcW w:w="1359" w:type="dxa"/>
          </w:tcPr>
          <w:p w14:paraId="41285E55"/>
        </w:tc>
        <w:tc>
          <w:tcPr>
            <w:tcW w:w="887" w:type="dxa"/>
          </w:tcPr>
          <w:p w14:paraId="67F37095"/>
        </w:tc>
        <w:tc>
          <w:tcPr>
            <w:tcW w:w="1211" w:type="dxa"/>
          </w:tcPr>
          <w:p w14:paraId="1EC802A9"/>
        </w:tc>
        <w:tc>
          <w:tcPr>
            <w:tcW w:w="840" w:type="dxa"/>
          </w:tcPr>
          <w:p w14:paraId="50F25BFF"/>
        </w:tc>
        <w:tc>
          <w:tcPr>
            <w:tcW w:w="841" w:type="dxa"/>
          </w:tcPr>
          <w:p w14:paraId="1DC9FA05"/>
        </w:tc>
        <w:tc>
          <w:tcPr>
            <w:tcW w:w="876" w:type="dxa"/>
          </w:tcPr>
          <w:p w14:paraId="7F53462F"/>
        </w:tc>
        <w:tc>
          <w:tcPr>
            <w:tcW w:w="1037" w:type="dxa"/>
          </w:tcPr>
          <w:p w14:paraId="74823048"/>
        </w:tc>
        <w:tc>
          <w:tcPr>
            <w:tcW w:w="795" w:type="dxa"/>
          </w:tcPr>
          <w:p w14:paraId="4890A537"/>
        </w:tc>
        <w:tc>
          <w:tcPr>
            <w:tcW w:w="709" w:type="dxa"/>
          </w:tcPr>
          <w:p w14:paraId="3435F9A7"/>
        </w:tc>
      </w:tr>
      <w:tr w14:paraId="04C65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5CF7DF22"/>
        </w:tc>
        <w:tc>
          <w:tcPr>
            <w:tcW w:w="1274" w:type="dxa"/>
          </w:tcPr>
          <w:p w14:paraId="74B5C8BE"/>
        </w:tc>
        <w:tc>
          <w:tcPr>
            <w:tcW w:w="1359" w:type="dxa"/>
          </w:tcPr>
          <w:p w14:paraId="4D11A171"/>
        </w:tc>
        <w:tc>
          <w:tcPr>
            <w:tcW w:w="887" w:type="dxa"/>
          </w:tcPr>
          <w:p w14:paraId="67D3E687"/>
        </w:tc>
        <w:tc>
          <w:tcPr>
            <w:tcW w:w="1211" w:type="dxa"/>
          </w:tcPr>
          <w:p w14:paraId="507E1F9A"/>
        </w:tc>
        <w:tc>
          <w:tcPr>
            <w:tcW w:w="840" w:type="dxa"/>
          </w:tcPr>
          <w:p w14:paraId="38E7A803"/>
        </w:tc>
        <w:tc>
          <w:tcPr>
            <w:tcW w:w="841" w:type="dxa"/>
          </w:tcPr>
          <w:p w14:paraId="0AF8B6C0"/>
        </w:tc>
        <w:tc>
          <w:tcPr>
            <w:tcW w:w="876" w:type="dxa"/>
          </w:tcPr>
          <w:p w14:paraId="5AD4C3E5"/>
        </w:tc>
        <w:tc>
          <w:tcPr>
            <w:tcW w:w="1037" w:type="dxa"/>
          </w:tcPr>
          <w:p w14:paraId="727DADE5"/>
        </w:tc>
        <w:tc>
          <w:tcPr>
            <w:tcW w:w="795" w:type="dxa"/>
          </w:tcPr>
          <w:p w14:paraId="71D2F5FC"/>
        </w:tc>
        <w:tc>
          <w:tcPr>
            <w:tcW w:w="709" w:type="dxa"/>
          </w:tcPr>
          <w:p w14:paraId="3DA219C6"/>
        </w:tc>
      </w:tr>
      <w:tr w14:paraId="4720EF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650EE7F5"/>
        </w:tc>
        <w:tc>
          <w:tcPr>
            <w:tcW w:w="6412" w:type="dxa"/>
            <w:gridSpan w:val="6"/>
          </w:tcPr>
          <w:p w14:paraId="5736180B">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2285F962"/>
        </w:tc>
        <w:tc>
          <w:tcPr>
            <w:tcW w:w="1037" w:type="dxa"/>
          </w:tcPr>
          <w:p w14:paraId="59E580CA"/>
        </w:tc>
        <w:tc>
          <w:tcPr>
            <w:tcW w:w="795" w:type="dxa"/>
          </w:tcPr>
          <w:p w14:paraId="3F3FD240"/>
        </w:tc>
        <w:tc>
          <w:tcPr>
            <w:tcW w:w="709" w:type="dxa"/>
          </w:tcPr>
          <w:p w14:paraId="1414B8BA"/>
        </w:tc>
      </w:tr>
    </w:tbl>
    <w:p w14:paraId="5087628C">
      <w:pPr>
        <w:spacing w:line="55" w:lineRule="exact"/>
      </w:pPr>
    </w:p>
    <w:p w14:paraId="322730DB">
      <w:pPr>
        <w:spacing w:line="295" w:lineRule="auto"/>
      </w:pPr>
    </w:p>
    <w:p w14:paraId="3DB979D8">
      <w:pPr>
        <w:spacing w:line="296" w:lineRule="auto"/>
      </w:pPr>
    </w:p>
    <w:p w14:paraId="21AD0A75">
      <w:pPr>
        <w:spacing w:line="296" w:lineRule="auto"/>
      </w:pPr>
    </w:p>
    <w:p w14:paraId="36A2F1B0">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7DA9F1FB">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3DF9BEFF">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44CB2E75">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18E19682">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667487DE">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9F2985B">
      <w:pPr>
        <w:pStyle w:val="6"/>
      </w:pPr>
    </w:p>
    <w:p w14:paraId="49D707D2">
      <w:pPr>
        <w:spacing w:line="280" w:lineRule="auto"/>
      </w:pPr>
    </w:p>
    <w:p w14:paraId="74C1400D">
      <w:pPr>
        <w:spacing w:line="280" w:lineRule="auto"/>
      </w:pPr>
    </w:p>
    <w:p w14:paraId="148C2EF9">
      <w:pPr>
        <w:spacing w:line="280" w:lineRule="auto"/>
      </w:pPr>
    </w:p>
    <w:p w14:paraId="6236ABAF">
      <w:pPr>
        <w:spacing w:line="281" w:lineRule="auto"/>
      </w:pPr>
    </w:p>
    <w:p w14:paraId="78B33EFC">
      <w:pPr>
        <w:spacing w:line="281" w:lineRule="auto"/>
      </w:pPr>
    </w:p>
    <w:p w14:paraId="161A4B9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659DC6B8">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ED1EFA6">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97F1661">
      <w:pPr>
        <w:sectPr>
          <w:headerReference r:id="rId28" w:type="default"/>
          <w:footerReference r:id="rId29" w:type="default"/>
          <w:pgSz w:w="11906" w:h="16839"/>
          <w:pgMar w:top="1292" w:right="834" w:bottom="1370" w:left="1360" w:header="851" w:footer="1193" w:gutter="0"/>
          <w:cols w:space="720" w:num="1"/>
        </w:sectPr>
      </w:pPr>
    </w:p>
    <w:p w14:paraId="79B97179">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65F6E4E6">
      <w:pPr>
        <w:spacing w:line="245" w:lineRule="auto"/>
      </w:pPr>
    </w:p>
    <w:p w14:paraId="70DC8699">
      <w:pPr>
        <w:spacing w:line="245" w:lineRule="auto"/>
      </w:pPr>
    </w:p>
    <w:p w14:paraId="4D0BBC11">
      <w:pPr>
        <w:spacing w:line="245" w:lineRule="auto"/>
      </w:pPr>
    </w:p>
    <w:p w14:paraId="39D3B261">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651CBC24"/>
    <w:p w14:paraId="0CE39B2B"/>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05AF87B7">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609CBD9D">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70BEBCA9">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4602B09C">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6D66EC7">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25C9E6F5">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23E648B9">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7E423C46">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EEBEEC9">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03349B2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D6EEEC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F1B9903">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A8295C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F40DB9A">
            <w:pPr>
              <w:spacing w:line="400" w:lineRule="exact"/>
              <w:rPr>
                <w:rFonts w:ascii="宋体" w:hAnsi="宋体" w:cs="宋体"/>
                <w:kern w:val="1"/>
                <w:sz w:val="24"/>
                <w:szCs w:val="24"/>
              </w:rPr>
            </w:pPr>
          </w:p>
        </w:tc>
      </w:tr>
      <w:tr w14:paraId="5C0B967B">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7DD298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CC6B76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BF32A0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8A3079A">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FC199BC">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04A11D7">
            <w:pPr>
              <w:spacing w:line="400" w:lineRule="exact"/>
              <w:rPr>
                <w:rFonts w:ascii="宋体" w:hAnsi="宋体" w:cs="宋体"/>
                <w:kern w:val="1"/>
                <w:sz w:val="24"/>
                <w:szCs w:val="24"/>
              </w:rPr>
            </w:pPr>
          </w:p>
        </w:tc>
      </w:tr>
      <w:tr w14:paraId="7752A2C6">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51D39AD">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2DD1BD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870CB3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029AD4">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1AF866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18A68BA">
            <w:pPr>
              <w:spacing w:line="400" w:lineRule="exact"/>
              <w:rPr>
                <w:rFonts w:ascii="宋体" w:hAnsi="宋体" w:cs="宋体"/>
                <w:kern w:val="1"/>
                <w:sz w:val="24"/>
                <w:szCs w:val="24"/>
              </w:rPr>
            </w:pPr>
          </w:p>
        </w:tc>
      </w:tr>
      <w:tr w14:paraId="55B7D963">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6E2C6E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4AE949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FCD23D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AD3BE51">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8361019">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067812AA">
            <w:pPr>
              <w:spacing w:line="400" w:lineRule="exact"/>
              <w:rPr>
                <w:rFonts w:ascii="宋体" w:hAnsi="宋体" w:cs="宋体"/>
                <w:kern w:val="1"/>
                <w:sz w:val="24"/>
                <w:szCs w:val="24"/>
              </w:rPr>
            </w:pPr>
          </w:p>
        </w:tc>
      </w:tr>
      <w:tr w14:paraId="2D9409A4">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8403E4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4C8A1E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2BFDEA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0F8DE0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3AC9A8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0DC7B9DE">
            <w:pPr>
              <w:spacing w:line="400" w:lineRule="exact"/>
              <w:rPr>
                <w:rFonts w:ascii="宋体" w:hAnsi="宋体" w:cs="宋体"/>
                <w:kern w:val="1"/>
                <w:sz w:val="24"/>
                <w:szCs w:val="24"/>
              </w:rPr>
            </w:pPr>
          </w:p>
        </w:tc>
      </w:tr>
      <w:tr w14:paraId="250B2603">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4DE052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B73092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FF8157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BA8F25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424D30E">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EB6AC89">
            <w:pPr>
              <w:spacing w:line="400" w:lineRule="exact"/>
              <w:rPr>
                <w:rFonts w:ascii="宋体" w:hAnsi="宋体" w:cs="宋体"/>
                <w:kern w:val="1"/>
                <w:sz w:val="24"/>
                <w:szCs w:val="24"/>
              </w:rPr>
            </w:pPr>
          </w:p>
        </w:tc>
      </w:tr>
    </w:tbl>
    <w:p w14:paraId="214A4F18">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792484BF">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7F573A39">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4DCEFFEA">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1AB4DFE">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24CF509">
      <w:pPr>
        <w:sectPr>
          <w:headerReference r:id="rId30" w:type="default"/>
          <w:footerReference r:id="rId31" w:type="default"/>
          <w:pgSz w:w="11906" w:h="16839"/>
          <w:pgMar w:top="1292" w:right="834" w:bottom="1370" w:left="1248" w:header="851" w:footer="1193" w:gutter="0"/>
          <w:cols w:space="720" w:num="1"/>
        </w:sectPr>
      </w:pPr>
    </w:p>
    <w:p w14:paraId="65705620">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BB7968">
      <w:pPr>
        <w:spacing w:line="246" w:lineRule="auto"/>
      </w:pPr>
    </w:p>
    <w:p w14:paraId="15E2D3A3">
      <w:pPr>
        <w:spacing w:line="246" w:lineRule="auto"/>
      </w:pPr>
    </w:p>
    <w:p w14:paraId="2A7B6C29">
      <w:pPr>
        <w:spacing w:line="247" w:lineRule="auto"/>
      </w:pPr>
    </w:p>
    <w:p w14:paraId="2290E64F">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04A5B026">
      <w:pPr>
        <w:spacing w:line="69" w:lineRule="exact"/>
      </w:pPr>
    </w:p>
    <w:tbl>
      <w:tblPr>
        <w:tblStyle w:val="20"/>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1BBC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016B6E5C">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3B3913AD"/>
        </w:tc>
      </w:tr>
      <w:tr w14:paraId="25286C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9FA6807">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43F16EAE"/>
        </w:tc>
        <w:tc>
          <w:tcPr>
            <w:tcW w:w="1485" w:type="dxa"/>
            <w:tcBorders>
              <w:left w:val="single" w:color="000000" w:sz="4" w:space="0"/>
              <w:right w:val="single" w:color="000000" w:sz="4" w:space="0"/>
            </w:tcBorders>
          </w:tcPr>
          <w:p w14:paraId="262C1E68">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4112615A"/>
        </w:tc>
      </w:tr>
      <w:tr w14:paraId="364B9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5CFEA35E">
            <w:pPr>
              <w:spacing w:line="293" w:lineRule="auto"/>
            </w:pPr>
          </w:p>
          <w:p w14:paraId="25554D49">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3841861E">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08E65BC3"/>
        </w:tc>
        <w:tc>
          <w:tcPr>
            <w:tcW w:w="1485" w:type="dxa"/>
            <w:tcBorders>
              <w:left w:val="single" w:color="000000" w:sz="4" w:space="0"/>
              <w:right w:val="single" w:color="000000" w:sz="4" w:space="0"/>
            </w:tcBorders>
          </w:tcPr>
          <w:p w14:paraId="5FB298B4">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634FEB22"/>
        </w:tc>
      </w:tr>
      <w:tr w14:paraId="582167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16705DE"/>
        </w:tc>
        <w:tc>
          <w:tcPr>
            <w:tcW w:w="1083" w:type="dxa"/>
            <w:tcBorders>
              <w:left w:val="single" w:color="000000" w:sz="4" w:space="0"/>
              <w:right w:val="single" w:color="000000" w:sz="4" w:space="0"/>
            </w:tcBorders>
          </w:tcPr>
          <w:p w14:paraId="76F0DD7A">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B8E182"/>
        </w:tc>
        <w:tc>
          <w:tcPr>
            <w:tcW w:w="1485" w:type="dxa"/>
            <w:tcBorders>
              <w:left w:val="single" w:color="000000" w:sz="4" w:space="0"/>
              <w:right w:val="single" w:color="000000" w:sz="4" w:space="0"/>
            </w:tcBorders>
          </w:tcPr>
          <w:p w14:paraId="22BB6885">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5E31D7B3"/>
        </w:tc>
      </w:tr>
      <w:tr w14:paraId="0ED925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1191252B">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54BE9B85"/>
        </w:tc>
      </w:tr>
      <w:tr w14:paraId="5C5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7CB1521">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61796A7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1BB4D47C"/>
        </w:tc>
        <w:tc>
          <w:tcPr>
            <w:tcW w:w="1401" w:type="dxa"/>
            <w:tcBorders>
              <w:left w:val="single" w:color="000000" w:sz="4" w:space="0"/>
              <w:right w:val="single" w:color="000000" w:sz="4" w:space="0"/>
            </w:tcBorders>
          </w:tcPr>
          <w:p w14:paraId="594837C5">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2849B04E"/>
        </w:tc>
        <w:tc>
          <w:tcPr>
            <w:tcW w:w="1312" w:type="dxa"/>
            <w:tcBorders>
              <w:left w:val="single" w:color="000000" w:sz="4" w:space="0"/>
              <w:right w:val="single" w:color="000000" w:sz="4" w:space="0"/>
            </w:tcBorders>
          </w:tcPr>
          <w:p w14:paraId="2C9D1DD2">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6A03B1DC"/>
        </w:tc>
      </w:tr>
      <w:tr w14:paraId="6F7C8A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2973302">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1C22D7E7">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EBC9036"/>
        </w:tc>
        <w:tc>
          <w:tcPr>
            <w:tcW w:w="1401" w:type="dxa"/>
            <w:tcBorders>
              <w:left w:val="single" w:color="000000" w:sz="4" w:space="0"/>
              <w:right w:val="single" w:color="000000" w:sz="4" w:space="0"/>
            </w:tcBorders>
          </w:tcPr>
          <w:p w14:paraId="0C103A66">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D535710"/>
        </w:tc>
        <w:tc>
          <w:tcPr>
            <w:tcW w:w="1312" w:type="dxa"/>
            <w:tcBorders>
              <w:left w:val="single" w:color="000000" w:sz="4" w:space="0"/>
              <w:right w:val="single" w:color="000000" w:sz="4" w:space="0"/>
            </w:tcBorders>
          </w:tcPr>
          <w:p w14:paraId="2BAD7894">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835BD74"/>
        </w:tc>
      </w:tr>
      <w:tr w14:paraId="19558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40FB89A">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381B4A66"/>
        </w:tc>
        <w:tc>
          <w:tcPr>
            <w:tcW w:w="5426" w:type="dxa"/>
            <w:gridSpan w:val="4"/>
            <w:tcBorders>
              <w:left w:val="single" w:color="000000" w:sz="4" w:space="0"/>
              <w:right w:val="single" w:color="000000" w:sz="16" w:space="0"/>
            </w:tcBorders>
          </w:tcPr>
          <w:p w14:paraId="65316DAB">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1B383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002A2B9D">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61385348"/>
        </w:tc>
      </w:tr>
      <w:tr w14:paraId="172040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3BF8B819">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5C850329"/>
        </w:tc>
      </w:tr>
      <w:tr w14:paraId="3E4C6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5496208">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1619C948"/>
        </w:tc>
      </w:tr>
      <w:tr w14:paraId="6EC3C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3A18DB">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3C1AD23D"/>
        </w:tc>
      </w:tr>
      <w:tr w14:paraId="73016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06C11AA5">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7A5DE7E0"/>
        </w:tc>
      </w:tr>
      <w:tr w14:paraId="626C55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498CA29">
            <w:pPr>
              <w:spacing w:line="259" w:lineRule="auto"/>
            </w:pPr>
          </w:p>
          <w:p w14:paraId="72DF1132">
            <w:pPr>
              <w:spacing w:line="259" w:lineRule="auto"/>
            </w:pPr>
          </w:p>
          <w:p w14:paraId="06B2A26B">
            <w:pPr>
              <w:spacing w:line="260" w:lineRule="auto"/>
            </w:pPr>
          </w:p>
          <w:p w14:paraId="10BBA12B">
            <w:pPr>
              <w:spacing w:line="260" w:lineRule="auto"/>
            </w:pPr>
          </w:p>
          <w:p w14:paraId="2B855340">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07A3B579"/>
        </w:tc>
      </w:tr>
      <w:tr w14:paraId="00F44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BC499D4">
            <w:pPr>
              <w:spacing w:line="357" w:lineRule="auto"/>
            </w:pPr>
          </w:p>
          <w:p w14:paraId="34FC0ED5">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50D8B9B2"/>
        </w:tc>
      </w:tr>
    </w:tbl>
    <w:p w14:paraId="44118867">
      <w:pPr>
        <w:spacing w:line="253" w:lineRule="auto"/>
      </w:pPr>
    </w:p>
    <w:p w14:paraId="2A32061B">
      <w:pPr>
        <w:spacing w:line="253" w:lineRule="auto"/>
      </w:pPr>
    </w:p>
    <w:p w14:paraId="4AB7A524">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E7110FB">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5D9C0A0">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0FDE8EB">
      <w:pPr>
        <w:sectPr>
          <w:headerReference r:id="rId32" w:type="default"/>
          <w:footerReference r:id="rId33" w:type="default"/>
          <w:pgSz w:w="11906" w:h="16839"/>
          <w:pgMar w:top="1292" w:right="834" w:bottom="1370" w:left="1231" w:header="851" w:footer="1193" w:gutter="0"/>
          <w:cols w:space="720" w:num="1"/>
        </w:sectPr>
      </w:pPr>
    </w:p>
    <w:p w14:paraId="4FF8A41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347536E6">
      <w:pPr>
        <w:spacing w:line="249" w:lineRule="auto"/>
      </w:pPr>
    </w:p>
    <w:p w14:paraId="19D3814B">
      <w:pPr>
        <w:spacing w:line="250" w:lineRule="auto"/>
      </w:pPr>
    </w:p>
    <w:p w14:paraId="4342EEB6">
      <w:pPr>
        <w:spacing w:line="250" w:lineRule="auto"/>
      </w:pPr>
    </w:p>
    <w:p w14:paraId="78BABB1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EB7BB67"/>
    <w:p w14:paraId="19FF9B25"/>
    <w:p w14:paraId="47B3ACB2">
      <w:pPr>
        <w:spacing w:line="54" w:lineRule="exact"/>
      </w:pPr>
    </w:p>
    <w:tbl>
      <w:tblPr>
        <w:tblStyle w:val="20"/>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78BB5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61D03921">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7E790C54">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0BB5FA12">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2A8B82F7">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6EBE0198">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C7B23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13735DB1"/>
        </w:tc>
        <w:tc>
          <w:tcPr>
            <w:tcW w:w="2390" w:type="dxa"/>
            <w:tcBorders>
              <w:left w:val="single" w:color="000000" w:sz="4" w:space="0"/>
              <w:right w:val="single" w:color="000000" w:sz="4" w:space="0"/>
            </w:tcBorders>
          </w:tcPr>
          <w:p w14:paraId="43A180F1"/>
        </w:tc>
        <w:tc>
          <w:tcPr>
            <w:tcW w:w="2751" w:type="dxa"/>
            <w:tcBorders>
              <w:left w:val="single" w:color="000000" w:sz="4" w:space="0"/>
              <w:right w:val="single" w:color="000000" w:sz="4" w:space="0"/>
            </w:tcBorders>
          </w:tcPr>
          <w:p w14:paraId="1CD1A330"/>
        </w:tc>
        <w:tc>
          <w:tcPr>
            <w:tcW w:w="1793" w:type="dxa"/>
            <w:tcBorders>
              <w:left w:val="single" w:color="000000" w:sz="4" w:space="0"/>
              <w:right w:val="single" w:color="000000" w:sz="4" w:space="0"/>
            </w:tcBorders>
          </w:tcPr>
          <w:p w14:paraId="2D9FF5E3"/>
        </w:tc>
        <w:tc>
          <w:tcPr>
            <w:tcW w:w="1709" w:type="dxa"/>
            <w:tcBorders>
              <w:left w:val="single" w:color="000000" w:sz="4" w:space="0"/>
            </w:tcBorders>
          </w:tcPr>
          <w:p w14:paraId="2440A087"/>
        </w:tc>
      </w:tr>
      <w:tr w14:paraId="06C8B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29342F15"/>
        </w:tc>
        <w:tc>
          <w:tcPr>
            <w:tcW w:w="2390" w:type="dxa"/>
            <w:tcBorders>
              <w:left w:val="single" w:color="000000" w:sz="4" w:space="0"/>
              <w:right w:val="single" w:color="000000" w:sz="4" w:space="0"/>
            </w:tcBorders>
          </w:tcPr>
          <w:p w14:paraId="498161F8"/>
        </w:tc>
        <w:tc>
          <w:tcPr>
            <w:tcW w:w="2751" w:type="dxa"/>
            <w:tcBorders>
              <w:left w:val="single" w:color="000000" w:sz="4" w:space="0"/>
              <w:right w:val="single" w:color="000000" w:sz="4" w:space="0"/>
            </w:tcBorders>
          </w:tcPr>
          <w:p w14:paraId="01B16BBF"/>
        </w:tc>
        <w:tc>
          <w:tcPr>
            <w:tcW w:w="1793" w:type="dxa"/>
            <w:tcBorders>
              <w:left w:val="single" w:color="000000" w:sz="4" w:space="0"/>
              <w:right w:val="single" w:color="000000" w:sz="4" w:space="0"/>
            </w:tcBorders>
          </w:tcPr>
          <w:p w14:paraId="6500061C"/>
        </w:tc>
        <w:tc>
          <w:tcPr>
            <w:tcW w:w="1709" w:type="dxa"/>
            <w:tcBorders>
              <w:left w:val="single" w:color="000000" w:sz="4" w:space="0"/>
            </w:tcBorders>
          </w:tcPr>
          <w:p w14:paraId="590F74AD"/>
        </w:tc>
      </w:tr>
      <w:tr w14:paraId="49FEA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764E4C8B"/>
        </w:tc>
        <w:tc>
          <w:tcPr>
            <w:tcW w:w="2390" w:type="dxa"/>
            <w:tcBorders>
              <w:left w:val="single" w:color="000000" w:sz="4" w:space="0"/>
              <w:right w:val="single" w:color="000000" w:sz="4" w:space="0"/>
            </w:tcBorders>
          </w:tcPr>
          <w:p w14:paraId="2E7DD4B9"/>
        </w:tc>
        <w:tc>
          <w:tcPr>
            <w:tcW w:w="2751" w:type="dxa"/>
            <w:tcBorders>
              <w:left w:val="single" w:color="000000" w:sz="4" w:space="0"/>
              <w:right w:val="single" w:color="000000" w:sz="4" w:space="0"/>
            </w:tcBorders>
          </w:tcPr>
          <w:p w14:paraId="006C74FE"/>
        </w:tc>
        <w:tc>
          <w:tcPr>
            <w:tcW w:w="1793" w:type="dxa"/>
            <w:tcBorders>
              <w:left w:val="single" w:color="000000" w:sz="4" w:space="0"/>
              <w:right w:val="single" w:color="000000" w:sz="4" w:space="0"/>
            </w:tcBorders>
          </w:tcPr>
          <w:p w14:paraId="15CCE84D"/>
        </w:tc>
        <w:tc>
          <w:tcPr>
            <w:tcW w:w="1709" w:type="dxa"/>
            <w:tcBorders>
              <w:left w:val="single" w:color="000000" w:sz="4" w:space="0"/>
            </w:tcBorders>
          </w:tcPr>
          <w:p w14:paraId="35397AA9"/>
        </w:tc>
      </w:tr>
      <w:tr w14:paraId="7932E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39B8AC0"/>
        </w:tc>
        <w:tc>
          <w:tcPr>
            <w:tcW w:w="2390" w:type="dxa"/>
            <w:tcBorders>
              <w:left w:val="single" w:color="000000" w:sz="4" w:space="0"/>
            </w:tcBorders>
          </w:tcPr>
          <w:p w14:paraId="12B49DC9"/>
        </w:tc>
        <w:tc>
          <w:tcPr>
            <w:tcW w:w="2751" w:type="dxa"/>
            <w:tcBorders>
              <w:right w:val="single" w:color="000000" w:sz="4" w:space="0"/>
            </w:tcBorders>
          </w:tcPr>
          <w:p w14:paraId="7FA9B456"/>
        </w:tc>
        <w:tc>
          <w:tcPr>
            <w:tcW w:w="1793" w:type="dxa"/>
            <w:tcBorders>
              <w:left w:val="single" w:color="000000" w:sz="4" w:space="0"/>
              <w:right w:val="single" w:color="000000" w:sz="4" w:space="0"/>
            </w:tcBorders>
          </w:tcPr>
          <w:p w14:paraId="7F1D77B2"/>
        </w:tc>
        <w:tc>
          <w:tcPr>
            <w:tcW w:w="1709" w:type="dxa"/>
            <w:tcBorders>
              <w:left w:val="single" w:color="000000" w:sz="4" w:space="0"/>
            </w:tcBorders>
          </w:tcPr>
          <w:p w14:paraId="5D264BA3"/>
        </w:tc>
      </w:tr>
      <w:tr w14:paraId="6ADFC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0C48FF0E"/>
        </w:tc>
        <w:tc>
          <w:tcPr>
            <w:tcW w:w="2390" w:type="dxa"/>
          </w:tcPr>
          <w:p w14:paraId="5566E5AB"/>
        </w:tc>
        <w:tc>
          <w:tcPr>
            <w:tcW w:w="2751" w:type="dxa"/>
          </w:tcPr>
          <w:p w14:paraId="666BDAAC"/>
        </w:tc>
        <w:tc>
          <w:tcPr>
            <w:tcW w:w="1793" w:type="dxa"/>
          </w:tcPr>
          <w:p w14:paraId="43F55923"/>
        </w:tc>
        <w:tc>
          <w:tcPr>
            <w:tcW w:w="1709" w:type="dxa"/>
          </w:tcPr>
          <w:p w14:paraId="2746BBBD"/>
        </w:tc>
      </w:tr>
      <w:tr w14:paraId="36E86C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09C6211"/>
        </w:tc>
        <w:tc>
          <w:tcPr>
            <w:tcW w:w="2390" w:type="dxa"/>
            <w:tcBorders>
              <w:left w:val="single" w:color="000000" w:sz="4" w:space="0"/>
              <w:right w:val="single" w:color="000000" w:sz="4" w:space="0"/>
            </w:tcBorders>
          </w:tcPr>
          <w:p w14:paraId="3A2AFDF5"/>
        </w:tc>
        <w:tc>
          <w:tcPr>
            <w:tcW w:w="2751" w:type="dxa"/>
            <w:tcBorders>
              <w:left w:val="single" w:color="000000" w:sz="4" w:space="0"/>
              <w:right w:val="single" w:color="000000" w:sz="4" w:space="0"/>
            </w:tcBorders>
          </w:tcPr>
          <w:p w14:paraId="03F53DBB"/>
        </w:tc>
        <w:tc>
          <w:tcPr>
            <w:tcW w:w="1793" w:type="dxa"/>
            <w:tcBorders>
              <w:left w:val="single" w:color="000000" w:sz="4" w:space="0"/>
              <w:right w:val="single" w:color="000000" w:sz="4" w:space="0"/>
            </w:tcBorders>
          </w:tcPr>
          <w:p w14:paraId="577F774B"/>
        </w:tc>
        <w:tc>
          <w:tcPr>
            <w:tcW w:w="1709" w:type="dxa"/>
            <w:tcBorders>
              <w:left w:val="single" w:color="000000" w:sz="4" w:space="0"/>
            </w:tcBorders>
          </w:tcPr>
          <w:p w14:paraId="092AD6F2"/>
        </w:tc>
      </w:tr>
      <w:tr w14:paraId="09FAD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744F2534"/>
        </w:tc>
        <w:tc>
          <w:tcPr>
            <w:tcW w:w="2390" w:type="dxa"/>
            <w:tcBorders>
              <w:left w:val="single" w:color="000000" w:sz="4" w:space="0"/>
              <w:right w:val="single" w:color="000000" w:sz="4" w:space="0"/>
            </w:tcBorders>
          </w:tcPr>
          <w:p w14:paraId="652A78D9"/>
        </w:tc>
        <w:tc>
          <w:tcPr>
            <w:tcW w:w="2751" w:type="dxa"/>
            <w:tcBorders>
              <w:left w:val="single" w:color="000000" w:sz="4" w:space="0"/>
              <w:right w:val="single" w:color="000000" w:sz="4" w:space="0"/>
            </w:tcBorders>
          </w:tcPr>
          <w:p w14:paraId="6104D4A3"/>
        </w:tc>
        <w:tc>
          <w:tcPr>
            <w:tcW w:w="1793" w:type="dxa"/>
            <w:tcBorders>
              <w:left w:val="single" w:color="000000" w:sz="4" w:space="0"/>
              <w:right w:val="single" w:color="000000" w:sz="4" w:space="0"/>
            </w:tcBorders>
          </w:tcPr>
          <w:p w14:paraId="2D42CD50"/>
        </w:tc>
        <w:tc>
          <w:tcPr>
            <w:tcW w:w="1709" w:type="dxa"/>
            <w:tcBorders>
              <w:left w:val="single" w:color="000000" w:sz="4" w:space="0"/>
            </w:tcBorders>
          </w:tcPr>
          <w:p w14:paraId="1B425233"/>
        </w:tc>
      </w:tr>
      <w:tr w14:paraId="6322E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2397CF3"/>
        </w:tc>
        <w:tc>
          <w:tcPr>
            <w:tcW w:w="2390" w:type="dxa"/>
            <w:tcBorders>
              <w:left w:val="single" w:color="000000" w:sz="4" w:space="0"/>
              <w:right w:val="single" w:color="000000" w:sz="4" w:space="0"/>
            </w:tcBorders>
          </w:tcPr>
          <w:p w14:paraId="7F1E7E62"/>
        </w:tc>
        <w:tc>
          <w:tcPr>
            <w:tcW w:w="2751" w:type="dxa"/>
            <w:tcBorders>
              <w:left w:val="single" w:color="000000" w:sz="4" w:space="0"/>
              <w:right w:val="single" w:color="000000" w:sz="4" w:space="0"/>
            </w:tcBorders>
          </w:tcPr>
          <w:p w14:paraId="6067D039"/>
        </w:tc>
        <w:tc>
          <w:tcPr>
            <w:tcW w:w="1793" w:type="dxa"/>
            <w:tcBorders>
              <w:left w:val="single" w:color="000000" w:sz="4" w:space="0"/>
              <w:right w:val="single" w:color="000000" w:sz="4" w:space="0"/>
            </w:tcBorders>
          </w:tcPr>
          <w:p w14:paraId="18E9B11D"/>
        </w:tc>
        <w:tc>
          <w:tcPr>
            <w:tcW w:w="1709" w:type="dxa"/>
            <w:tcBorders>
              <w:left w:val="single" w:color="000000" w:sz="4" w:space="0"/>
            </w:tcBorders>
          </w:tcPr>
          <w:p w14:paraId="2F81230C"/>
        </w:tc>
      </w:tr>
      <w:tr w14:paraId="25B9E9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0384740A"/>
        </w:tc>
        <w:tc>
          <w:tcPr>
            <w:tcW w:w="2390" w:type="dxa"/>
            <w:tcBorders>
              <w:left w:val="single" w:color="000000" w:sz="4" w:space="0"/>
              <w:right w:val="single" w:color="000000" w:sz="4" w:space="0"/>
            </w:tcBorders>
          </w:tcPr>
          <w:p w14:paraId="58A61ACB"/>
        </w:tc>
        <w:tc>
          <w:tcPr>
            <w:tcW w:w="2751" w:type="dxa"/>
            <w:tcBorders>
              <w:left w:val="single" w:color="000000" w:sz="4" w:space="0"/>
              <w:right w:val="single" w:color="000000" w:sz="4" w:space="0"/>
            </w:tcBorders>
          </w:tcPr>
          <w:p w14:paraId="11458561"/>
        </w:tc>
        <w:tc>
          <w:tcPr>
            <w:tcW w:w="1793" w:type="dxa"/>
            <w:tcBorders>
              <w:left w:val="single" w:color="000000" w:sz="4" w:space="0"/>
              <w:right w:val="single" w:color="000000" w:sz="4" w:space="0"/>
            </w:tcBorders>
          </w:tcPr>
          <w:p w14:paraId="099E0A14"/>
        </w:tc>
        <w:tc>
          <w:tcPr>
            <w:tcW w:w="1709" w:type="dxa"/>
            <w:tcBorders>
              <w:left w:val="single" w:color="000000" w:sz="4" w:space="0"/>
            </w:tcBorders>
          </w:tcPr>
          <w:p w14:paraId="6C031648"/>
        </w:tc>
      </w:tr>
      <w:tr w14:paraId="061BDB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488595C"/>
        </w:tc>
        <w:tc>
          <w:tcPr>
            <w:tcW w:w="2390" w:type="dxa"/>
            <w:tcBorders>
              <w:left w:val="single" w:color="000000" w:sz="4" w:space="0"/>
              <w:right w:val="single" w:color="000000" w:sz="4" w:space="0"/>
            </w:tcBorders>
          </w:tcPr>
          <w:p w14:paraId="212CDDF4"/>
        </w:tc>
        <w:tc>
          <w:tcPr>
            <w:tcW w:w="2751" w:type="dxa"/>
            <w:tcBorders>
              <w:left w:val="single" w:color="000000" w:sz="4" w:space="0"/>
              <w:right w:val="single" w:color="000000" w:sz="4" w:space="0"/>
            </w:tcBorders>
          </w:tcPr>
          <w:p w14:paraId="7CA866E9"/>
        </w:tc>
        <w:tc>
          <w:tcPr>
            <w:tcW w:w="1793" w:type="dxa"/>
            <w:tcBorders>
              <w:left w:val="single" w:color="000000" w:sz="4" w:space="0"/>
              <w:right w:val="single" w:color="000000" w:sz="4" w:space="0"/>
            </w:tcBorders>
          </w:tcPr>
          <w:p w14:paraId="56748DF4"/>
        </w:tc>
        <w:tc>
          <w:tcPr>
            <w:tcW w:w="1709" w:type="dxa"/>
            <w:tcBorders>
              <w:left w:val="single" w:color="000000" w:sz="4" w:space="0"/>
            </w:tcBorders>
          </w:tcPr>
          <w:p w14:paraId="1B9B0C60"/>
        </w:tc>
      </w:tr>
      <w:tr w14:paraId="6B031B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DC76B9"/>
        </w:tc>
        <w:tc>
          <w:tcPr>
            <w:tcW w:w="2390" w:type="dxa"/>
            <w:tcBorders>
              <w:left w:val="single" w:color="000000" w:sz="4" w:space="0"/>
              <w:right w:val="single" w:color="000000" w:sz="4" w:space="0"/>
            </w:tcBorders>
          </w:tcPr>
          <w:p w14:paraId="5A65F58A"/>
        </w:tc>
        <w:tc>
          <w:tcPr>
            <w:tcW w:w="2751" w:type="dxa"/>
            <w:tcBorders>
              <w:left w:val="single" w:color="000000" w:sz="4" w:space="0"/>
              <w:right w:val="single" w:color="000000" w:sz="4" w:space="0"/>
            </w:tcBorders>
          </w:tcPr>
          <w:p w14:paraId="0855864B"/>
        </w:tc>
        <w:tc>
          <w:tcPr>
            <w:tcW w:w="1793" w:type="dxa"/>
            <w:tcBorders>
              <w:left w:val="single" w:color="000000" w:sz="4" w:space="0"/>
              <w:right w:val="single" w:color="000000" w:sz="4" w:space="0"/>
            </w:tcBorders>
          </w:tcPr>
          <w:p w14:paraId="1CAC2DD2"/>
        </w:tc>
        <w:tc>
          <w:tcPr>
            <w:tcW w:w="1709" w:type="dxa"/>
            <w:tcBorders>
              <w:left w:val="single" w:color="000000" w:sz="4" w:space="0"/>
            </w:tcBorders>
          </w:tcPr>
          <w:p w14:paraId="3062FE35"/>
        </w:tc>
      </w:tr>
      <w:tr w14:paraId="7A8E6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41C9E82C"/>
        </w:tc>
        <w:tc>
          <w:tcPr>
            <w:tcW w:w="2390" w:type="dxa"/>
            <w:tcBorders>
              <w:left w:val="single" w:color="000000" w:sz="4" w:space="0"/>
              <w:right w:val="single" w:color="000000" w:sz="4" w:space="0"/>
            </w:tcBorders>
          </w:tcPr>
          <w:p w14:paraId="1B80301E"/>
        </w:tc>
        <w:tc>
          <w:tcPr>
            <w:tcW w:w="2751" w:type="dxa"/>
            <w:tcBorders>
              <w:left w:val="single" w:color="000000" w:sz="4" w:space="0"/>
              <w:right w:val="single" w:color="000000" w:sz="4" w:space="0"/>
            </w:tcBorders>
          </w:tcPr>
          <w:p w14:paraId="3C2FD1FC"/>
        </w:tc>
        <w:tc>
          <w:tcPr>
            <w:tcW w:w="1793" w:type="dxa"/>
            <w:tcBorders>
              <w:left w:val="single" w:color="000000" w:sz="4" w:space="0"/>
              <w:right w:val="single" w:color="000000" w:sz="4" w:space="0"/>
            </w:tcBorders>
          </w:tcPr>
          <w:p w14:paraId="7FD3BBD8"/>
        </w:tc>
        <w:tc>
          <w:tcPr>
            <w:tcW w:w="1709" w:type="dxa"/>
            <w:tcBorders>
              <w:left w:val="single" w:color="000000" w:sz="4" w:space="0"/>
            </w:tcBorders>
          </w:tcPr>
          <w:p w14:paraId="4CBAC157"/>
        </w:tc>
      </w:tr>
      <w:tr w14:paraId="6B7224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30D0EAD6"/>
        </w:tc>
        <w:tc>
          <w:tcPr>
            <w:tcW w:w="2390" w:type="dxa"/>
            <w:tcBorders>
              <w:left w:val="single" w:color="000000" w:sz="4" w:space="0"/>
              <w:right w:val="single" w:color="000000" w:sz="4" w:space="0"/>
            </w:tcBorders>
          </w:tcPr>
          <w:p w14:paraId="14BC34CC"/>
        </w:tc>
        <w:tc>
          <w:tcPr>
            <w:tcW w:w="2751" w:type="dxa"/>
            <w:tcBorders>
              <w:left w:val="single" w:color="000000" w:sz="4" w:space="0"/>
              <w:right w:val="single" w:color="000000" w:sz="4" w:space="0"/>
            </w:tcBorders>
          </w:tcPr>
          <w:p w14:paraId="3B3A50D6"/>
        </w:tc>
        <w:tc>
          <w:tcPr>
            <w:tcW w:w="1793" w:type="dxa"/>
            <w:tcBorders>
              <w:left w:val="single" w:color="000000" w:sz="4" w:space="0"/>
              <w:right w:val="single" w:color="000000" w:sz="4" w:space="0"/>
            </w:tcBorders>
          </w:tcPr>
          <w:p w14:paraId="0703C72E"/>
        </w:tc>
        <w:tc>
          <w:tcPr>
            <w:tcW w:w="1709" w:type="dxa"/>
            <w:tcBorders>
              <w:left w:val="single" w:color="000000" w:sz="4" w:space="0"/>
            </w:tcBorders>
          </w:tcPr>
          <w:p w14:paraId="50734E1C"/>
        </w:tc>
      </w:tr>
    </w:tbl>
    <w:p w14:paraId="376A8E28">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2058A2D9">
      <w:pPr>
        <w:spacing w:line="297" w:lineRule="auto"/>
      </w:pPr>
    </w:p>
    <w:p w14:paraId="24CDC63C">
      <w:pPr>
        <w:spacing w:line="297" w:lineRule="auto"/>
      </w:pPr>
    </w:p>
    <w:p w14:paraId="28EF4D67">
      <w:pPr>
        <w:spacing w:line="297" w:lineRule="auto"/>
      </w:pPr>
    </w:p>
    <w:p w14:paraId="29670D19">
      <w:pPr>
        <w:spacing w:line="297" w:lineRule="auto"/>
      </w:pPr>
    </w:p>
    <w:p w14:paraId="7123F602">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640F11BA">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BD9B085">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78D7F01">
      <w:pPr>
        <w:sectPr>
          <w:headerReference r:id="rId34" w:type="default"/>
          <w:footerReference r:id="rId35" w:type="default"/>
          <w:pgSz w:w="11906" w:h="16839"/>
          <w:pgMar w:top="1292" w:right="834" w:bottom="1371" w:left="1216" w:header="851" w:footer="1193" w:gutter="0"/>
          <w:cols w:space="720" w:num="1"/>
        </w:sectPr>
      </w:pPr>
    </w:p>
    <w:p w14:paraId="51FD0678">
      <w:pPr>
        <w:spacing w:line="270" w:lineRule="auto"/>
      </w:pPr>
    </w:p>
    <w:p w14:paraId="5452D3E7">
      <w:pPr>
        <w:spacing w:line="271" w:lineRule="auto"/>
      </w:pPr>
    </w:p>
    <w:p w14:paraId="6A000BEC">
      <w:pPr>
        <w:spacing w:line="271" w:lineRule="auto"/>
      </w:pPr>
    </w:p>
    <w:p w14:paraId="4714CCA8">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w:t>
      </w:r>
      <w:r>
        <w:rPr>
          <w:rFonts w:hint="eastAsia" w:ascii="黑体" w:hAnsi="黑体" w:eastAsia="黑体" w:cs="黑体"/>
          <w:spacing w:val="9"/>
          <w:sz w:val="31"/>
          <w:szCs w:val="31"/>
          <w:lang w:eastAsia="zh-CN"/>
          <w14:textOutline w14:w="5791" w14:cap="sq" w14:cmpd="sng" w14:algn="ctr">
            <w14:solidFill>
              <w14:srgbClr w14:val="000000"/>
            </w14:solidFill>
            <w14:prstDash w14:val="solid"/>
            <w14:bevel/>
          </w14:textOutline>
        </w:rPr>
        <w:t>表</w:t>
      </w:r>
    </w:p>
    <w:p w14:paraId="2A128190">
      <w:pPr>
        <w:spacing w:line="256" w:lineRule="auto"/>
      </w:pPr>
    </w:p>
    <w:p w14:paraId="6334CB84">
      <w:pPr>
        <w:spacing w:line="257" w:lineRule="auto"/>
      </w:pPr>
    </w:p>
    <w:p w14:paraId="696DABE7">
      <w:pPr>
        <w:spacing w:line="257" w:lineRule="auto"/>
      </w:pPr>
    </w:p>
    <w:p w14:paraId="6D9D757E">
      <w:pPr>
        <w:spacing w:line="257" w:lineRule="auto"/>
      </w:pPr>
    </w:p>
    <w:p w14:paraId="4EEE9A78">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C29CE60">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66735C6E">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20453782">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2F8FB65F">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544C8028">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67996127">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18EC9DEA">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4C075776">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0E6B2EB">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65DC8A9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D6AD70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408D375">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59D7E91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D0B74D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6B8AA70">
            <w:pPr>
              <w:spacing w:line="400" w:lineRule="exact"/>
              <w:rPr>
                <w:rFonts w:ascii="宋体" w:hAnsi="宋体" w:cs="宋体"/>
                <w:kern w:val="1"/>
                <w:sz w:val="23"/>
                <w:szCs w:val="23"/>
              </w:rPr>
            </w:pPr>
          </w:p>
        </w:tc>
      </w:tr>
      <w:tr w14:paraId="15693873">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5C9264E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021EC1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97393A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A3240E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444ED820">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1CD922E">
            <w:pPr>
              <w:spacing w:line="400" w:lineRule="exact"/>
              <w:rPr>
                <w:rFonts w:ascii="宋体" w:hAnsi="宋体" w:cs="宋体"/>
                <w:kern w:val="1"/>
                <w:sz w:val="23"/>
                <w:szCs w:val="23"/>
              </w:rPr>
            </w:pPr>
          </w:p>
        </w:tc>
      </w:tr>
      <w:tr w14:paraId="31A0EB6A">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657120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A84847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A548302">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590336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6BE24E38">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4B87AD9">
            <w:pPr>
              <w:spacing w:line="400" w:lineRule="exact"/>
              <w:rPr>
                <w:rFonts w:ascii="宋体" w:hAnsi="宋体" w:cs="宋体"/>
                <w:kern w:val="1"/>
                <w:sz w:val="23"/>
                <w:szCs w:val="23"/>
              </w:rPr>
            </w:pPr>
          </w:p>
        </w:tc>
      </w:tr>
      <w:tr w14:paraId="620CEF7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7AFD7676">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6CB60F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81F254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53E83D2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D0748A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3FC9AAB">
            <w:pPr>
              <w:spacing w:line="400" w:lineRule="exact"/>
              <w:rPr>
                <w:rFonts w:ascii="宋体" w:hAnsi="宋体" w:cs="宋体"/>
                <w:kern w:val="1"/>
                <w:sz w:val="23"/>
                <w:szCs w:val="23"/>
              </w:rPr>
            </w:pPr>
          </w:p>
        </w:tc>
      </w:tr>
      <w:tr w14:paraId="0DF9AAB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0CAE2A8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CCCEFD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D0A9EF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808EC9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DF2281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BF176E0">
            <w:pPr>
              <w:spacing w:line="400" w:lineRule="exact"/>
              <w:rPr>
                <w:rFonts w:ascii="宋体" w:hAnsi="宋体" w:cs="宋体"/>
                <w:kern w:val="1"/>
                <w:sz w:val="23"/>
                <w:szCs w:val="23"/>
              </w:rPr>
            </w:pPr>
          </w:p>
        </w:tc>
      </w:tr>
      <w:tr w14:paraId="62F96797">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75A7CB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BB3C47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4BA088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56FCE8A1">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B84C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B8670C3">
            <w:pPr>
              <w:spacing w:line="400" w:lineRule="exact"/>
              <w:rPr>
                <w:rFonts w:ascii="宋体" w:hAnsi="宋体" w:cs="宋体"/>
                <w:kern w:val="1"/>
                <w:sz w:val="23"/>
                <w:szCs w:val="23"/>
              </w:rPr>
            </w:pPr>
          </w:p>
        </w:tc>
      </w:tr>
      <w:tr w14:paraId="6C197454">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27FCE1AE">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CB4D8D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F546EC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48A15A82">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DD1BE34">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D2F3840">
            <w:pPr>
              <w:spacing w:line="400" w:lineRule="exact"/>
              <w:rPr>
                <w:rFonts w:ascii="宋体" w:hAnsi="宋体" w:cs="宋体"/>
                <w:kern w:val="1"/>
                <w:sz w:val="23"/>
                <w:szCs w:val="23"/>
              </w:rPr>
            </w:pPr>
          </w:p>
        </w:tc>
      </w:tr>
    </w:tbl>
    <w:p w14:paraId="6E897D61">
      <w:pPr>
        <w:spacing w:line="251" w:lineRule="auto"/>
      </w:pPr>
    </w:p>
    <w:p w14:paraId="2F46993D">
      <w:pPr>
        <w:spacing w:line="252" w:lineRule="auto"/>
      </w:pPr>
    </w:p>
    <w:p w14:paraId="33FBF91D">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32002CFC">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6D51BAE">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2E959C39">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F358B9E">
      <w:pPr>
        <w:sectPr>
          <w:headerReference r:id="rId36" w:type="default"/>
          <w:footerReference r:id="rId37" w:type="default"/>
          <w:pgSz w:w="11906" w:h="16839"/>
          <w:pgMar w:top="1292" w:right="460" w:bottom="1370" w:left="1248" w:header="851" w:footer="1193" w:gutter="0"/>
          <w:cols w:space="720" w:num="1"/>
        </w:sectPr>
      </w:pPr>
    </w:p>
    <w:p w14:paraId="0B1921C7">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2A22AB58">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11990692">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1ACA6894">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324EED11">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1DBEF7F7">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ED6B25F">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4DC0ABAC">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3AB3DED0">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42E7A753">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5A050351">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09E2FE87">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64F5ECE0">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53DBF69">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2EF3BC81">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0141FB2E">
      <w:pPr>
        <w:sectPr>
          <w:headerReference r:id="rId38" w:type="default"/>
          <w:footerReference r:id="rId39" w:type="default"/>
          <w:pgSz w:w="11906" w:h="16839"/>
          <w:pgMar w:top="1292" w:right="834" w:bottom="1370" w:left="1360" w:header="851" w:footer="1193" w:gutter="0"/>
          <w:cols w:space="720" w:num="1"/>
        </w:sectPr>
      </w:pPr>
    </w:p>
    <w:p w14:paraId="202F6FF7">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099A0FF7">
      <w:pPr>
        <w:spacing w:line="289" w:lineRule="auto"/>
      </w:pPr>
    </w:p>
    <w:p w14:paraId="4D6CAAB6">
      <w:pPr>
        <w:spacing w:line="290" w:lineRule="auto"/>
      </w:pPr>
    </w:p>
    <w:p w14:paraId="554CB24A">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48F9D62B">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w:t>
      </w:r>
      <w:r>
        <w:rPr>
          <w:rFonts w:hint="eastAsia" w:ascii="宋体" w:hAnsi="宋体" w:eastAsia="宋体" w:cs="宋体"/>
          <w:spacing w:val="10"/>
          <w:sz w:val="23"/>
          <w:szCs w:val="23"/>
          <w:lang w:eastAsia="zh-CN"/>
        </w:rPr>
        <w:t>容和</w:t>
      </w:r>
      <w:r>
        <w:rPr>
          <w:rFonts w:ascii="宋体" w:hAnsi="宋体" w:eastAsia="宋体" w:cs="宋体"/>
          <w:spacing w:val="10"/>
          <w:sz w:val="23"/>
          <w:szCs w:val="23"/>
        </w:rPr>
        <w:t>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BFC4F89">
      <w:pPr>
        <w:spacing w:line="260" w:lineRule="auto"/>
      </w:pPr>
    </w:p>
    <w:p w14:paraId="48416AE0">
      <w:pPr>
        <w:spacing w:line="260" w:lineRule="auto"/>
      </w:pPr>
    </w:p>
    <w:p w14:paraId="669DEFF5">
      <w:pPr>
        <w:spacing w:line="260" w:lineRule="auto"/>
      </w:pPr>
    </w:p>
    <w:p w14:paraId="1CF8C7EB">
      <w:pPr>
        <w:spacing w:line="260" w:lineRule="auto"/>
      </w:pPr>
    </w:p>
    <w:p w14:paraId="0C0F2C1E">
      <w:pPr>
        <w:spacing w:line="261" w:lineRule="auto"/>
      </w:pPr>
    </w:p>
    <w:p w14:paraId="0C91D8DE">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2403401A">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5886895">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BFED987">
      <w:pPr>
        <w:spacing w:line="298" w:lineRule="auto"/>
      </w:pPr>
    </w:p>
    <w:p w14:paraId="525835DA">
      <w:pPr>
        <w:spacing w:line="299" w:lineRule="auto"/>
      </w:pPr>
    </w:p>
    <w:p w14:paraId="34F99B78">
      <w:pPr>
        <w:spacing w:line="299" w:lineRule="auto"/>
      </w:pPr>
    </w:p>
    <w:p w14:paraId="4AFC8D06">
      <w:pPr>
        <w:spacing w:line="299" w:lineRule="auto"/>
      </w:pPr>
    </w:p>
    <w:p w14:paraId="135EFF5C">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30BEBFF8">
      <w:pPr>
        <w:spacing w:line="371" w:lineRule="auto"/>
      </w:pPr>
    </w:p>
    <w:p w14:paraId="0227E2E3">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lang w:eastAsia="zh-CN"/>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3797BA55">
      <w:pPr>
        <w:spacing w:line="286" w:lineRule="auto"/>
      </w:pPr>
    </w:p>
    <w:p w14:paraId="15CBFB80">
      <w:pPr>
        <w:spacing w:line="286" w:lineRule="auto"/>
      </w:pPr>
    </w:p>
    <w:p w14:paraId="35DE2353">
      <w:pPr>
        <w:spacing w:line="287" w:lineRule="auto"/>
      </w:pPr>
    </w:p>
    <w:p w14:paraId="67A45763">
      <w:pPr>
        <w:spacing w:line="287" w:lineRule="auto"/>
      </w:pPr>
    </w:p>
    <w:p w14:paraId="0409516B">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2BE9CEF9">
      <w:pPr>
        <w:sectPr>
          <w:footerReference r:id="rId40" w:type="default"/>
          <w:pgSz w:w="11906" w:h="16839"/>
          <w:pgMar w:top="1292" w:right="834" w:bottom="1370" w:left="1360" w:header="851" w:footer="1193" w:gutter="0"/>
          <w:cols w:space="720" w:num="1"/>
        </w:sectPr>
      </w:pPr>
    </w:p>
    <w:p w14:paraId="26F70943">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1F2F04B9">
      <w:pPr>
        <w:spacing w:line="290" w:lineRule="auto"/>
      </w:pPr>
    </w:p>
    <w:p w14:paraId="1F8D3DF6">
      <w:pPr>
        <w:spacing w:line="290" w:lineRule="auto"/>
      </w:pPr>
    </w:p>
    <w:p w14:paraId="7045E9D7">
      <w:pPr>
        <w:spacing w:line="290" w:lineRule="auto"/>
      </w:pPr>
    </w:p>
    <w:p w14:paraId="1FDAF5E5">
      <w:pPr>
        <w:spacing w:line="290" w:lineRule="auto"/>
      </w:pPr>
    </w:p>
    <w:p w14:paraId="7705F88F">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727ED2B8">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1A0DB89D">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2D74C9C">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5FC28198">
      <w:pPr>
        <w:spacing w:line="246" w:lineRule="auto"/>
      </w:pPr>
    </w:p>
    <w:p w14:paraId="60D99053">
      <w:pPr>
        <w:spacing w:line="247" w:lineRule="auto"/>
      </w:pPr>
    </w:p>
    <w:p w14:paraId="4C6F79E1">
      <w:pPr>
        <w:spacing w:line="247" w:lineRule="auto"/>
      </w:pPr>
    </w:p>
    <w:p w14:paraId="54B9697F">
      <w:pPr>
        <w:spacing w:line="247" w:lineRule="auto"/>
      </w:pPr>
    </w:p>
    <w:p w14:paraId="6E2B5660">
      <w:pPr>
        <w:spacing w:line="247" w:lineRule="auto"/>
      </w:pPr>
    </w:p>
    <w:p w14:paraId="4723EFC2">
      <w:pPr>
        <w:spacing w:line="247" w:lineRule="auto"/>
      </w:pPr>
    </w:p>
    <w:p w14:paraId="74FF5D34">
      <w:pPr>
        <w:spacing w:line="247" w:lineRule="auto"/>
      </w:pPr>
    </w:p>
    <w:p w14:paraId="5C422374">
      <w:pPr>
        <w:spacing w:line="247" w:lineRule="auto"/>
      </w:pPr>
    </w:p>
    <w:p w14:paraId="59139CA1">
      <w:pPr>
        <w:spacing w:line="247" w:lineRule="auto"/>
      </w:pPr>
    </w:p>
    <w:p w14:paraId="062AC084">
      <w:pPr>
        <w:spacing w:line="247" w:lineRule="auto"/>
      </w:pPr>
    </w:p>
    <w:p w14:paraId="5D2565B9">
      <w:pPr>
        <w:spacing w:line="247" w:lineRule="auto"/>
      </w:pPr>
    </w:p>
    <w:p w14:paraId="695BF9F3">
      <w:pPr>
        <w:spacing w:line="247" w:lineRule="auto"/>
      </w:pPr>
    </w:p>
    <w:p w14:paraId="2A1F312A">
      <w:pPr>
        <w:spacing w:line="247" w:lineRule="auto"/>
      </w:pPr>
    </w:p>
    <w:p w14:paraId="53B8A9F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B18B14">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BB14E0">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52D8B0">
      <w:pPr>
        <w:spacing w:line="400" w:lineRule="exact"/>
        <w:ind w:right="-483" w:rightChars="-230" w:firstLine="420" w:firstLineChars="150"/>
        <w:outlineLvl w:val="1"/>
        <w:rPr>
          <w:rFonts w:ascii="宋体" w:hAnsi="宋体" w:cs="宋体"/>
          <w:b/>
          <w:caps/>
          <w:sz w:val="28"/>
          <w:szCs w:val="28"/>
        </w:rPr>
      </w:pPr>
    </w:p>
    <w:p w14:paraId="7F6D2D99">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48500A98">
      <w:pPr>
        <w:spacing w:line="400" w:lineRule="exact"/>
        <w:ind w:right="-483" w:rightChars="-230"/>
        <w:rPr>
          <w:rFonts w:ascii="宋体" w:hAnsi="宋体" w:cs="宋体"/>
          <w:b/>
          <w:caps/>
          <w:sz w:val="28"/>
          <w:szCs w:val="28"/>
        </w:rPr>
      </w:pPr>
    </w:p>
    <w:p w14:paraId="1AA30094">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3A49705E">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w:t>
      </w:r>
      <w:r>
        <w:rPr>
          <w:rFonts w:hint="eastAsia" w:ascii="宋体" w:hAnsi="宋体" w:eastAsia="宋体"/>
          <w:bCs/>
          <w:caps/>
          <w:sz w:val="24"/>
          <w:lang w:eastAsia="zh-CN"/>
        </w:rPr>
        <w:t>》《</w:t>
      </w:r>
      <w:r>
        <w:rPr>
          <w:rFonts w:hint="eastAsia" w:ascii="宋体" w:hAnsi="宋体"/>
          <w:bCs/>
          <w:caps/>
          <w:sz w:val="24"/>
        </w:rPr>
        <w:t>环境标志产品政府采购品目清单》以《中国政府采购网》(www.ccgp.gov.cn)发布的最新一期为准。</w:t>
      </w:r>
      <w:r>
        <w:rPr>
          <w:rFonts w:ascii="宋体" w:hAnsi="宋体"/>
          <w:bCs/>
          <w:caps/>
          <w:sz w:val="24"/>
        </w:rPr>
        <w:t xml:space="preserve"> </w:t>
      </w:r>
    </w:p>
    <w:p w14:paraId="6D5CE9EA">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4F4DAE85">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3BFB47A6">
      <w:pPr>
        <w:pStyle w:val="6"/>
      </w:pPr>
    </w:p>
    <w:p w14:paraId="4648DFE4">
      <w:pPr>
        <w:sectPr>
          <w:footerReference r:id="rId41" w:type="default"/>
          <w:pgSz w:w="11906" w:h="16839"/>
          <w:pgMar w:top="1292" w:right="834" w:bottom="1370" w:left="1360" w:header="851" w:footer="1193" w:gutter="0"/>
          <w:cols w:space="720" w:num="1"/>
        </w:sectPr>
      </w:pPr>
    </w:p>
    <w:p w14:paraId="74C91E01">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5BE9714F">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298B77A6">
      <w:pPr>
        <w:spacing w:line="259" w:lineRule="auto"/>
      </w:pPr>
    </w:p>
    <w:p w14:paraId="69E91C91">
      <w:pPr>
        <w:spacing w:line="259" w:lineRule="auto"/>
      </w:pPr>
    </w:p>
    <w:p w14:paraId="6D80B192">
      <w:pPr>
        <w:spacing w:line="260" w:lineRule="auto"/>
      </w:pPr>
    </w:p>
    <w:p w14:paraId="78C4E2DF">
      <w:pPr>
        <w:spacing w:line="260" w:lineRule="auto"/>
      </w:pPr>
    </w:p>
    <w:p w14:paraId="0674B1D3">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14:paraId="6F8F2CA6">
      <w:pPr>
        <w:spacing w:line="439" w:lineRule="auto"/>
      </w:pPr>
    </w:p>
    <w:p w14:paraId="56E407AD">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7246D653">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7EC21601">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54E559E">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25DFAB42">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442E575A">
      <w:pPr>
        <w:spacing w:line="246" w:lineRule="auto"/>
      </w:pPr>
    </w:p>
    <w:p w14:paraId="54AA128F">
      <w:pPr>
        <w:spacing w:line="246" w:lineRule="auto"/>
      </w:pPr>
    </w:p>
    <w:p w14:paraId="4F5F01FC">
      <w:pPr>
        <w:spacing w:line="246" w:lineRule="auto"/>
      </w:pPr>
    </w:p>
    <w:p w14:paraId="2213A1B7">
      <w:pPr>
        <w:spacing w:line="246" w:lineRule="auto"/>
      </w:pPr>
    </w:p>
    <w:p w14:paraId="639CDC32">
      <w:pPr>
        <w:spacing w:line="246" w:lineRule="auto"/>
      </w:pPr>
    </w:p>
    <w:p w14:paraId="0D36039C">
      <w:pPr>
        <w:spacing w:line="246" w:lineRule="auto"/>
      </w:pPr>
    </w:p>
    <w:p w14:paraId="02C830B7">
      <w:pPr>
        <w:spacing w:line="247" w:lineRule="auto"/>
      </w:pPr>
    </w:p>
    <w:p w14:paraId="12866858">
      <w:pPr>
        <w:spacing w:line="247" w:lineRule="auto"/>
      </w:pPr>
    </w:p>
    <w:p w14:paraId="50F6321A">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E0149E6">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F16CF28">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BBC9F7D">
      <w:pPr>
        <w:sectPr>
          <w:footerReference r:id="rId42" w:type="default"/>
          <w:pgSz w:w="11906" w:h="16839"/>
          <w:pgMar w:top="1292" w:right="834" w:bottom="1370" w:left="1360" w:header="851" w:footer="1193" w:gutter="0"/>
          <w:cols w:space="720" w:num="1"/>
        </w:sectPr>
      </w:pPr>
    </w:p>
    <w:p w14:paraId="14207309">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D4FFFC6">
      <w:pPr>
        <w:spacing w:line="331" w:lineRule="auto"/>
      </w:pPr>
    </w:p>
    <w:p w14:paraId="6434B47D">
      <w:pPr>
        <w:spacing w:line="331" w:lineRule="auto"/>
      </w:pPr>
    </w:p>
    <w:p w14:paraId="49B71642">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14:paraId="79F5936A">
      <w:pPr>
        <w:spacing w:line="286" w:lineRule="auto"/>
      </w:pPr>
    </w:p>
    <w:p w14:paraId="6572D7B5">
      <w:pPr>
        <w:spacing w:line="286" w:lineRule="auto"/>
      </w:pPr>
    </w:p>
    <w:p w14:paraId="697352BB">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39B21F67">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w:t>
      </w:r>
      <w:r>
        <w:rPr>
          <w:rFonts w:hint="eastAsia" w:ascii="宋体" w:hAnsi="宋体" w:eastAsia="宋体" w:cs="宋体"/>
          <w:spacing w:val="10"/>
          <w:sz w:val="23"/>
          <w:szCs w:val="23"/>
          <w:lang w:eastAsia="zh-CN"/>
        </w:rPr>
        <w:t>容和</w:t>
      </w:r>
      <w:r>
        <w:rPr>
          <w:rFonts w:ascii="宋体" w:hAnsi="宋体" w:eastAsia="宋体" w:cs="宋体"/>
          <w:spacing w:val="10"/>
          <w:sz w:val="23"/>
          <w:szCs w:val="23"/>
        </w:rPr>
        <w:t>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6F313215">
      <w:pPr>
        <w:spacing w:line="302" w:lineRule="auto"/>
      </w:pPr>
    </w:p>
    <w:p w14:paraId="26A993C2">
      <w:pPr>
        <w:spacing w:line="302" w:lineRule="auto"/>
      </w:pPr>
    </w:p>
    <w:p w14:paraId="38D87B41">
      <w:pPr>
        <w:spacing w:line="266" w:lineRule="auto"/>
      </w:pPr>
    </w:p>
    <w:p w14:paraId="7709D1A5">
      <w:pPr>
        <w:spacing w:line="266" w:lineRule="auto"/>
      </w:pPr>
    </w:p>
    <w:p w14:paraId="16EE858E">
      <w:pPr>
        <w:spacing w:line="266" w:lineRule="auto"/>
      </w:pPr>
    </w:p>
    <w:p w14:paraId="00D35C76">
      <w:pPr>
        <w:spacing w:line="267" w:lineRule="auto"/>
      </w:pPr>
    </w:p>
    <w:p w14:paraId="3F92E0DA">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0B99A1D">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52969BF">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ABDE3E9"/>
    <w:p w14:paraId="5510678F">
      <w:pPr>
        <w:pStyle w:val="6"/>
      </w:pPr>
    </w:p>
    <w:p w14:paraId="3DCEDA26">
      <w:pPr>
        <w:pStyle w:val="7"/>
        <w:sectPr>
          <w:footerReference r:id="rId43" w:type="default"/>
          <w:pgSz w:w="11906" w:h="16839"/>
          <w:pgMar w:top="1292" w:right="834" w:bottom="1370" w:left="1360" w:header="851" w:footer="1193" w:gutter="0"/>
          <w:cols w:space="720" w:num="1"/>
        </w:sectPr>
      </w:pPr>
    </w:p>
    <w:p w14:paraId="6535DD5B">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5591281E">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0AF4998E">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30FFDE87">
      <w:pPr>
        <w:spacing w:line="259" w:lineRule="auto"/>
      </w:pPr>
    </w:p>
    <w:p w14:paraId="25388D46">
      <w:pPr>
        <w:spacing w:line="259" w:lineRule="auto"/>
      </w:pPr>
    </w:p>
    <w:p w14:paraId="56C5CE23">
      <w:pPr>
        <w:spacing w:line="259" w:lineRule="auto"/>
      </w:pPr>
    </w:p>
    <w:p w14:paraId="05292232">
      <w:pPr>
        <w:spacing w:line="260" w:lineRule="auto"/>
      </w:pPr>
    </w:p>
    <w:p w14:paraId="17C17470">
      <w:pPr>
        <w:spacing w:line="260" w:lineRule="auto"/>
      </w:pPr>
    </w:p>
    <w:p w14:paraId="2151CD81">
      <w:pPr>
        <w:spacing w:line="260" w:lineRule="auto"/>
      </w:pPr>
    </w:p>
    <w:p w14:paraId="64446438">
      <w:pPr>
        <w:spacing w:line="260" w:lineRule="auto"/>
      </w:pPr>
    </w:p>
    <w:p w14:paraId="50E29B7C">
      <w:pPr>
        <w:spacing w:line="260" w:lineRule="auto"/>
      </w:pPr>
    </w:p>
    <w:p w14:paraId="26389766">
      <w:pPr>
        <w:spacing w:line="260" w:lineRule="auto"/>
      </w:pPr>
    </w:p>
    <w:p w14:paraId="25250254">
      <w:pPr>
        <w:spacing w:line="260" w:lineRule="auto"/>
      </w:pPr>
    </w:p>
    <w:p w14:paraId="10F74932">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37B0FDE1">
      <w:pPr>
        <w:sectPr>
          <w:footerReference r:id="rId44" w:type="default"/>
          <w:pgSz w:w="11906" w:h="16839"/>
          <w:pgMar w:top="1292" w:right="834" w:bottom="1371" w:left="1360" w:header="851" w:footer="1192" w:gutter="0"/>
          <w:cols w:space="720" w:num="1"/>
        </w:sectPr>
      </w:pPr>
    </w:p>
    <w:p w14:paraId="1B4FB0D5">
      <w:pPr>
        <w:spacing w:line="244" w:lineRule="auto"/>
      </w:pPr>
    </w:p>
    <w:p w14:paraId="4D667D31">
      <w:pPr>
        <w:spacing w:line="244" w:lineRule="auto"/>
      </w:pPr>
    </w:p>
    <w:p w14:paraId="60FAF433">
      <w:pPr>
        <w:spacing w:line="244" w:lineRule="auto"/>
      </w:pPr>
    </w:p>
    <w:p w14:paraId="3CD060B9">
      <w:pPr>
        <w:spacing w:line="244" w:lineRule="auto"/>
      </w:pPr>
    </w:p>
    <w:p w14:paraId="65A05B1D">
      <w:pPr>
        <w:spacing w:line="244" w:lineRule="auto"/>
      </w:pPr>
    </w:p>
    <w:p w14:paraId="22D2545D">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65C94661">
      <w:pPr>
        <w:tabs>
          <w:tab w:val="left" w:pos="1170"/>
        </w:tabs>
        <w:jc w:val="center"/>
        <w:rPr>
          <w:rFonts w:ascii="宋体" w:hAnsi="宋体" w:eastAsia="宋体" w:cs="宋体"/>
          <w:b/>
          <w:sz w:val="24"/>
          <w:szCs w:val="24"/>
        </w:rPr>
      </w:pPr>
    </w:p>
    <w:p w14:paraId="7AF13F63">
      <w:pPr>
        <w:tabs>
          <w:tab w:val="left" w:pos="1170"/>
        </w:tabs>
        <w:jc w:val="center"/>
        <w:rPr>
          <w:rFonts w:ascii="宋体" w:hAnsi="宋体" w:eastAsia="宋体" w:cs="宋体"/>
          <w:b/>
          <w:sz w:val="24"/>
          <w:szCs w:val="24"/>
        </w:rPr>
      </w:pPr>
    </w:p>
    <w:p w14:paraId="603B9557">
      <w:pPr>
        <w:tabs>
          <w:tab w:val="left" w:pos="1170"/>
        </w:tabs>
        <w:jc w:val="center"/>
        <w:rPr>
          <w:rFonts w:ascii="宋体" w:hAnsi="宋体" w:eastAsia="宋体" w:cs="宋体"/>
          <w:b/>
          <w:sz w:val="24"/>
          <w:szCs w:val="24"/>
        </w:rPr>
      </w:pPr>
    </w:p>
    <w:p w14:paraId="667AD435">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6DD4866">
      <w:pPr>
        <w:spacing w:line="480" w:lineRule="auto"/>
        <w:ind w:firstLine="480" w:firstLineChars="200"/>
        <w:rPr>
          <w:rFonts w:ascii="宋体" w:hAnsi="宋体" w:eastAsia="宋体" w:cs="宋体"/>
          <w:sz w:val="24"/>
          <w:szCs w:val="24"/>
          <w:u w:val="single"/>
        </w:rPr>
      </w:pPr>
    </w:p>
    <w:p w14:paraId="39DDA82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20C52090">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07AA4378">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449208C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0133AE07">
      <w:pPr>
        <w:keepNext/>
        <w:keepLines/>
        <w:numPr>
          <w:ilvl w:val="1"/>
          <w:numId w:val="0"/>
        </w:numPr>
        <w:spacing w:before="260" w:after="260" w:line="416" w:lineRule="atLeast"/>
        <w:ind w:left="142"/>
        <w:outlineLvl w:val="1"/>
        <w:rPr>
          <w:rFonts w:eastAsia="黑体" w:cs="Times New Roman"/>
          <w:b/>
          <w:sz w:val="32"/>
          <w:szCs w:val="24"/>
        </w:rPr>
      </w:pPr>
    </w:p>
    <w:p w14:paraId="497AD3F1">
      <w:pPr>
        <w:sectPr>
          <w:footerReference r:id="rId45" w:type="default"/>
          <w:pgSz w:w="11906" w:h="16839"/>
          <w:pgMar w:top="1292" w:right="834" w:bottom="1371" w:left="1360" w:header="851" w:footer="1192" w:gutter="0"/>
          <w:cols w:space="720" w:num="1"/>
        </w:sectPr>
      </w:pPr>
    </w:p>
    <w:p w14:paraId="09F6886D">
      <w:pPr>
        <w:spacing w:line="244" w:lineRule="auto"/>
      </w:pPr>
    </w:p>
    <w:p w14:paraId="6BE3D2F6">
      <w:pPr>
        <w:spacing w:line="244" w:lineRule="auto"/>
      </w:pPr>
    </w:p>
    <w:p w14:paraId="4F08EB4B">
      <w:pPr>
        <w:spacing w:line="244" w:lineRule="auto"/>
      </w:pPr>
    </w:p>
    <w:p w14:paraId="793CA571">
      <w:pPr>
        <w:spacing w:line="244" w:lineRule="auto"/>
      </w:pPr>
    </w:p>
    <w:p w14:paraId="05F4DF59">
      <w:pPr>
        <w:spacing w:line="244" w:lineRule="auto"/>
      </w:pPr>
    </w:p>
    <w:p w14:paraId="038B7DE6">
      <w:pPr>
        <w:spacing w:before="101" w:line="228" w:lineRule="auto"/>
        <w:ind w:left="2095" w:firstLine="990" w:firstLineChars="3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092AFFA4">
      <w:pPr>
        <w:spacing w:line="250" w:lineRule="auto"/>
        <w:jc w:val="both"/>
      </w:pPr>
    </w:p>
    <w:p w14:paraId="01B4CFB4">
      <w:pPr>
        <w:spacing w:line="250" w:lineRule="auto"/>
        <w:jc w:val="both"/>
      </w:pPr>
    </w:p>
    <w:p w14:paraId="5232BFE7">
      <w:pPr>
        <w:spacing w:line="250" w:lineRule="auto"/>
        <w:jc w:val="both"/>
      </w:pPr>
    </w:p>
    <w:p w14:paraId="0BDA5A09">
      <w:pPr>
        <w:spacing w:line="250" w:lineRule="auto"/>
        <w:jc w:val="both"/>
      </w:pPr>
    </w:p>
    <w:p w14:paraId="4F79AE1E">
      <w:pPr>
        <w:spacing w:line="250" w:lineRule="auto"/>
        <w:jc w:val="both"/>
      </w:pPr>
    </w:p>
    <w:p w14:paraId="375974EC">
      <w:pPr>
        <w:spacing w:line="251" w:lineRule="auto"/>
        <w:jc w:val="both"/>
      </w:pPr>
    </w:p>
    <w:p w14:paraId="5A54B554">
      <w:pPr>
        <w:spacing w:line="251" w:lineRule="auto"/>
        <w:jc w:val="both"/>
      </w:pPr>
    </w:p>
    <w:p w14:paraId="7EF8FA87">
      <w:pPr>
        <w:spacing w:line="251" w:lineRule="auto"/>
        <w:jc w:val="both"/>
      </w:pPr>
    </w:p>
    <w:p w14:paraId="33E80CCD">
      <w:pPr>
        <w:spacing w:line="251" w:lineRule="auto"/>
        <w:jc w:val="both"/>
      </w:pPr>
    </w:p>
    <w:p w14:paraId="01DE8DBC">
      <w:pPr>
        <w:spacing w:line="251" w:lineRule="auto"/>
        <w:jc w:val="both"/>
      </w:pPr>
    </w:p>
    <w:p w14:paraId="1AE1C72E">
      <w:pPr>
        <w:spacing w:line="251" w:lineRule="auto"/>
        <w:jc w:val="both"/>
      </w:pPr>
    </w:p>
    <w:p w14:paraId="11BAC252">
      <w:pPr>
        <w:spacing w:line="251" w:lineRule="auto"/>
        <w:jc w:val="both"/>
      </w:pPr>
    </w:p>
    <w:p w14:paraId="38DB96DB">
      <w:pPr>
        <w:spacing w:line="251" w:lineRule="auto"/>
        <w:jc w:val="both"/>
      </w:pPr>
    </w:p>
    <w:p w14:paraId="26E75DA0">
      <w:pPr>
        <w:spacing w:before="101" w:line="224" w:lineRule="auto"/>
        <w:ind w:left="3248"/>
        <w:jc w:val="both"/>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4741C497">
      <w:pPr>
        <w:jc w:val="both"/>
        <w:sectPr>
          <w:headerReference r:id="rId46" w:type="default"/>
          <w:footerReference r:id="rId47" w:type="default"/>
          <w:pgSz w:w="11907" w:h="16840"/>
          <w:pgMar w:top="1313" w:right="283" w:bottom="1132" w:left="1786" w:header="851" w:footer="954" w:gutter="0"/>
          <w:cols w:space="720" w:num="1"/>
        </w:sectPr>
      </w:pPr>
    </w:p>
    <w:p w14:paraId="5CA2420D">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592F2ABE">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70250C27">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132CFFCF">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D1A1A20">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36520916">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076451EA">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3FF512C4">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65A5A5A">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1763EBF4">
      <w:pPr>
        <w:pStyle w:val="6"/>
        <w:rPr>
          <w:rFonts w:ascii="宋体" w:hAnsi="宋体" w:eastAsia="宋体" w:cs="宋体"/>
          <w:spacing w:val="4"/>
          <w:sz w:val="23"/>
          <w:szCs w:val="23"/>
        </w:rPr>
      </w:pPr>
    </w:p>
    <w:p w14:paraId="39A52E32">
      <w:pPr>
        <w:pStyle w:val="6"/>
      </w:pPr>
    </w:p>
    <w:p w14:paraId="3DBF6AAC">
      <w:pPr>
        <w:spacing w:before="184" w:line="228" w:lineRule="auto"/>
        <w:ind w:left="4057"/>
        <w:outlineLvl w:val="1"/>
        <w:rPr>
          <w:rFonts w:ascii="宋体" w:hAnsi="宋体" w:eastAsia="宋体" w:cs="宋体"/>
          <w:sz w:val="23"/>
          <w:szCs w:val="23"/>
        </w:rPr>
      </w:pPr>
    </w:p>
    <w:p w14:paraId="080CD1D0">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1B74CA2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A464FE6">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862E41A">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1E84242">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7B299E4E">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619CA990">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4F1B6AE1">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4D3E12F4">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7FF59B54">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74D78E3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3054BC39">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77A3E68E">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30D5339">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22017944">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3BB59360">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7888AAC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lang w:eastAsia="zh-CN"/>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36EB556A">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7944E8B4">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3CA48AE1">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2CF17479">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42BB3D62">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pacing w:val="4"/>
          <w:sz w:val="23"/>
          <w:szCs w:val="23"/>
        </w:rPr>
        <w:t>件</w:t>
      </w:r>
      <w:r>
        <w:rPr>
          <w:rFonts w:ascii="宋体" w:hAnsi="宋体" w:eastAsia="宋体" w:cs="宋体"/>
          <w:spacing w:val="3"/>
          <w:sz w:val="23"/>
          <w:szCs w:val="23"/>
        </w:rPr>
        <w:t>) 。</w:t>
      </w:r>
    </w:p>
    <w:p w14:paraId="122F46A3">
      <w:pPr>
        <w:sectPr>
          <w:headerReference r:id="rId48" w:type="default"/>
          <w:footerReference r:id="rId49" w:type="default"/>
          <w:pgSz w:w="11907" w:h="16840"/>
          <w:pgMar w:top="1313" w:right="283" w:bottom="1132" w:left="1786" w:header="851" w:footer="954" w:gutter="0"/>
          <w:cols w:space="720" w:num="1"/>
        </w:sectPr>
      </w:pPr>
    </w:p>
    <w:p w14:paraId="493C2F7E">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27A1275">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23C8BF07">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09F0CFE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4F99680E">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1AF82631">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43AD4F08">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79569FDD">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18EDC45D">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7A9DFA7D">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pacing w:val="8"/>
          <w:sz w:val="23"/>
          <w:szCs w:val="23"/>
        </w:rPr>
        <w:t>不</w:t>
      </w:r>
      <w:r>
        <w:rPr>
          <w:rFonts w:ascii="宋体" w:hAnsi="宋体" w:eastAsia="宋体" w:cs="宋体"/>
          <w:spacing w:val="4"/>
          <w:sz w:val="23"/>
          <w:szCs w:val="23"/>
        </w:rPr>
        <w:t>提供) 。</w:t>
      </w:r>
    </w:p>
    <w:p w14:paraId="12B8E2C3">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09966BD9">
      <w:pPr>
        <w:pStyle w:val="6"/>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7"/>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8"/>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9"/>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4C6C8040">
      <w:pPr>
        <w:pStyle w:val="7"/>
      </w:pPr>
    </w:p>
    <w:p w14:paraId="46825304">
      <w:pPr>
        <w:spacing w:line="323" w:lineRule="auto"/>
      </w:pPr>
    </w:p>
    <w:p w14:paraId="0BBF733A">
      <w:pPr>
        <w:pStyle w:val="2"/>
      </w:pPr>
    </w:p>
    <w:p w14:paraId="2271A2A5"/>
    <w:p w14:paraId="7414C92D">
      <w:pPr>
        <w:pStyle w:val="2"/>
      </w:pPr>
    </w:p>
    <w:p w14:paraId="1C599F7B"/>
    <w:p w14:paraId="4FBF730F">
      <w:pPr>
        <w:pStyle w:val="2"/>
      </w:pPr>
    </w:p>
    <w:p w14:paraId="0DF82103">
      <w:pPr>
        <w:pStyle w:val="2"/>
      </w:pPr>
    </w:p>
    <w:p w14:paraId="69989E5A">
      <w:pPr>
        <w:spacing w:line="324" w:lineRule="auto"/>
      </w:pPr>
    </w:p>
    <w:p w14:paraId="5EEA28D5">
      <w:pPr>
        <w:spacing w:before="139" w:line="222" w:lineRule="auto"/>
        <w:ind w:left="24"/>
        <w:jc w:val="both"/>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61790B58">
      <w:pPr>
        <w:spacing w:before="139" w:line="222" w:lineRule="auto"/>
        <w:ind w:left="24" w:firstLine="2820" w:firstLineChars="600"/>
        <w:jc w:val="both"/>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48E1FEC8">
      <w:pPr>
        <w:spacing w:before="53" w:line="571" w:lineRule="exact"/>
        <w:ind w:left="2567" w:firstLine="2240" w:firstLineChars="500"/>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4A505D8B">
      <w:pPr>
        <w:spacing w:line="726" w:lineRule="exact"/>
        <w:ind w:firstLine="450" w:firstLineChars="100"/>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36D79619">
      <w:pPr>
        <w:pStyle w:val="14"/>
        <w:ind w:firstLine="1446" w:firstLineChars="600"/>
        <w:rPr>
          <w:rFonts w:hint="eastAsia" w:ascii="宋体" w:hAnsi="宋体" w:eastAsia="宋体" w:cs="宋体"/>
          <w:sz w:val="24"/>
          <w:szCs w:val="24"/>
        </w:rPr>
      </w:pPr>
      <w:r>
        <w:rPr>
          <w:rFonts w:hint="eastAsia" w:ascii="宋体" w:hAnsi="宋体" w:eastAsia="宋体" w:cs="宋体"/>
          <w:sz w:val="24"/>
          <w:szCs w:val="24"/>
        </w:rPr>
        <w:t>技术服务要求</w:t>
      </w:r>
    </w:p>
    <w:p w14:paraId="3FE8015C">
      <w:pPr>
        <w:rPr>
          <w:rFonts w:hint="eastAsia" w:ascii="宋体" w:hAnsi="宋体" w:eastAsia="宋体" w:cs="宋体"/>
          <w:sz w:val="24"/>
          <w:szCs w:val="24"/>
        </w:rPr>
      </w:pPr>
    </w:p>
    <w:tbl>
      <w:tblPr>
        <w:tblStyle w:val="17"/>
        <w:tblW w:w="123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1083"/>
        <w:gridCol w:w="1855"/>
        <w:gridCol w:w="6927"/>
        <w:gridCol w:w="900"/>
        <w:gridCol w:w="626"/>
      </w:tblGrid>
      <w:tr w14:paraId="119B3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385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序号</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B8EF3">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产品名称</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001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功能描述</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A77F6">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产品规格</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62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数量</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0D1C1">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单位</w:t>
            </w:r>
          </w:p>
        </w:tc>
      </w:tr>
      <w:tr w14:paraId="4F75A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2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3A5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高中部广播系统配置清单</w:t>
            </w:r>
          </w:p>
        </w:tc>
      </w:tr>
      <w:tr w14:paraId="7C24F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21C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4AC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IP网络音箱</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5E7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教室音响</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B41A">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rPr>
              <w:t>产品特点</w:t>
            </w:r>
          </w:p>
          <w:p w14:paraId="72B8CF8E">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rPr>
              <w:t>一体化壁挂式音箱设计，整机结构坚固，箱体符合声音共振原理设计理念</w:t>
            </w:r>
          </w:p>
          <w:p w14:paraId="7331B505">
            <w:pPr>
              <w:textAlignment w:val="center"/>
              <w:rPr>
                <w:rFonts w:ascii="微软雅黑" w:hAnsi="微软雅黑" w:eastAsia="微软雅黑" w:cs="微软雅黑"/>
                <w:sz w:val="18"/>
                <w:szCs w:val="18"/>
              </w:rPr>
            </w:pPr>
            <w:r>
              <w:rPr>
                <w:rFonts w:ascii="微软雅黑" w:hAnsi="微软雅黑" w:eastAsia="微软雅黑" w:cs="微软雅黑"/>
                <w:sz w:val="18"/>
                <w:szCs w:val="18"/>
              </w:rPr>
              <w:t>2.</w:t>
            </w:r>
            <w:r>
              <w:rPr>
                <w:rFonts w:hint="eastAsia" w:ascii="微软雅黑" w:hAnsi="微软雅黑" w:eastAsia="微软雅黑" w:cs="微软雅黑"/>
                <w:sz w:val="18"/>
                <w:szCs w:val="18"/>
              </w:rPr>
              <w:t>设备采用嵌入式计算机技术和</w:t>
            </w:r>
            <w:r>
              <w:rPr>
                <w:rFonts w:ascii="微软雅黑" w:hAnsi="微软雅黑" w:eastAsia="微软雅黑" w:cs="微软雅黑"/>
                <w:sz w:val="18"/>
                <w:szCs w:val="18"/>
              </w:rPr>
              <w:t>DSP</w:t>
            </w:r>
            <w:r>
              <w:rPr>
                <w:rFonts w:hint="eastAsia" w:ascii="微软雅黑" w:hAnsi="微软雅黑" w:eastAsia="微软雅黑" w:cs="微软雅黑"/>
                <w:sz w:val="18"/>
                <w:szCs w:val="18"/>
              </w:rPr>
              <w:t>音频处理技术设计。</w:t>
            </w:r>
          </w:p>
          <w:p w14:paraId="6B1FDCD1">
            <w:pPr>
              <w:textAlignment w:val="center"/>
              <w:rPr>
                <w:rFonts w:ascii="微软雅黑" w:hAnsi="微软雅黑" w:eastAsia="微软雅黑" w:cs="微软雅黑"/>
                <w:sz w:val="18"/>
                <w:szCs w:val="18"/>
              </w:rPr>
            </w:pPr>
            <w:r>
              <w:rPr>
                <w:rFonts w:ascii="微软雅黑" w:hAnsi="微软雅黑" w:eastAsia="微软雅黑" w:cs="微软雅黑"/>
                <w:sz w:val="18"/>
                <w:szCs w:val="18"/>
              </w:rPr>
              <w:t>3.</w:t>
            </w:r>
            <w:r>
              <w:rPr>
                <w:rFonts w:hint="eastAsia" w:ascii="微软雅黑" w:hAnsi="微软雅黑" w:eastAsia="微软雅黑" w:cs="微软雅黑"/>
                <w:sz w:val="18"/>
                <w:szCs w:val="18"/>
              </w:rPr>
              <w:t>内置</w:t>
            </w:r>
            <w:r>
              <w:rPr>
                <w:rFonts w:ascii="微软雅黑" w:hAnsi="微软雅黑" w:eastAsia="微软雅黑" w:cs="微软雅黑"/>
                <w:sz w:val="18"/>
                <w:szCs w:val="18"/>
              </w:rPr>
              <w:t>1</w:t>
            </w:r>
            <w:r>
              <w:rPr>
                <w:rFonts w:hint="eastAsia" w:ascii="微软雅黑" w:hAnsi="微软雅黑" w:eastAsia="微软雅黑" w:cs="微软雅黑"/>
                <w:sz w:val="18"/>
                <w:szCs w:val="18"/>
              </w:rPr>
              <w:t>路网络硬件音频解码模块，支持</w:t>
            </w:r>
            <w:r>
              <w:rPr>
                <w:rFonts w:ascii="微软雅黑" w:hAnsi="微软雅黑" w:eastAsia="微软雅黑" w:cs="微软雅黑"/>
                <w:sz w:val="18"/>
                <w:szCs w:val="18"/>
              </w:rPr>
              <w:t>TCP/IP</w:t>
            </w:r>
            <w:r>
              <w:rPr>
                <w:rFonts w:hint="eastAsia" w:ascii="微软雅黑" w:hAnsi="微软雅黑" w:eastAsia="微软雅黑" w:cs="微软雅黑"/>
                <w:sz w:val="18"/>
                <w:szCs w:val="18"/>
              </w:rPr>
              <w:t>、</w:t>
            </w:r>
            <w:r>
              <w:rPr>
                <w:rFonts w:ascii="微软雅黑" w:hAnsi="微软雅黑" w:eastAsia="微软雅黑" w:cs="微软雅黑"/>
                <w:sz w:val="18"/>
                <w:szCs w:val="18"/>
              </w:rPr>
              <w:t>UDP</w:t>
            </w:r>
            <w:r>
              <w:rPr>
                <w:rFonts w:hint="eastAsia" w:ascii="微软雅黑" w:hAnsi="微软雅黑" w:eastAsia="微软雅黑" w:cs="微软雅黑"/>
                <w:sz w:val="18"/>
                <w:szCs w:val="18"/>
              </w:rPr>
              <w:t>协议，实现网络化传输</w:t>
            </w:r>
            <w:r>
              <w:rPr>
                <w:rFonts w:ascii="微软雅黑" w:hAnsi="微软雅黑" w:eastAsia="微软雅黑" w:cs="微软雅黑"/>
                <w:sz w:val="18"/>
                <w:szCs w:val="18"/>
              </w:rPr>
              <w:t>16</w:t>
            </w:r>
            <w:r>
              <w:rPr>
                <w:rFonts w:hint="eastAsia" w:ascii="微软雅黑" w:hAnsi="微软雅黑" w:eastAsia="微软雅黑" w:cs="微软雅黑"/>
                <w:sz w:val="18"/>
                <w:szCs w:val="18"/>
              </w:rPr>
              <w:t>位</w:t>
            </w:r>
            <w:r>
              <w:rPr>
                <w:rFonts w:ascii="微软雅黑" w:hAnsi="微软雅黑" w:eastAsia="微软雅黑" w:cs="微软雅黑"/>
                <w:sz w:val="18"/>
                <w:szCs w:val="18"/>
              </w:rPr>
              <w:t>CD</w:t>
            </w:r>
            <w:r>
              <w:rPr>
                <w:rFonts w:hint="eastAsia" w:ascii="微软雅黑" w:hAnsi="微软雅黑" w:eastAsia="微软雅黑" w:cs="微软雅黑"/>
                <w:sz w:val="18"/>
                <w:szCs w:val="18"/>
              </w:rPr>
              <w:t>音质的音频信号。</w:t>
            </w:r>
          </w:p>
          <w:p w14:paraId="6102A9E2">
            <w:pPr>
              <w:textAlignment w:val="center"/>
              <w:rPr>
                <w:rFonts w:ascii="微软雅黑" w:hAnsi="微软雅黑" w:eastAsia="微软雅黑" w:cs="微软雅黑"/>
                <w:sz w:val="18"/>
                <w:szCs w:val="18"/>
              </w:rPr>
            </w:pPr>
            <w:r>
              <w:rPr>
                <w:rFonts w:ascii="微软雅黑" w:hAnsi="微软雅黑" w:eastAsia="微软雅黑" w:cs="微软雅黑"/>
                <w:sz w:val="18"/>
                <w:szCs w:val="18"/>
              </w:rPr>
              <w:t>4.</w:t>
            </w:r>
            <w:r>
              <w:rPr>
                <w:rFonts w:hint="eastAsia" w:ascii="微软雅黑" w:hAnsi="微软雅黑" w:eastAsia="微软雅黑" w:cs="微软雅黑"/>
                <w:sz w:val="18"/>
                <w:szCs w:val="18"/>
              </w:rPr>
              <w:t>内置</w:t>
            </w:r>
            <w:r>
              <w:rPr>
                <w:rFonts w:ascii="微软雅黑" w:hAnsi="微软雅黑" w:eastAsia="微软雅黑" w:cs="微软雅黑"/>
                <w:sz w:val="18"/>
                <w:szCs w:val="18"/>
              </w:rPr>
              <w:t>2 x 20W</w:t>
            </w:r>
            <w:r>
              <w:rPr>
                <w:rFonts w:hint="eastAsia" w:ascii="微软雅黑" w:hAnsi="微软雅黑" w:eastAsia="微软雅黑" w:cs="微软雅黑"/>
                <w:sz w:val="18"/>
                <w:szCs w:val="18"/>
              </w:rPr>
              <w:t>数字功率放大器，一路接主音箱，一路外接到副音箱</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具有网络音量设置。</w:t>
            </w:r>
          </w:p>
          <w:p w14:paraId="20007D78">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5</w:t>
            </w:r>
            <w:r>
              <w:rPr>
                <w:rFonts w:ascii="微软雅黑" w:hAnsi="微软雅黑" w:eastAsia="微软雅黑" w:cs="微软雅黑"/>
                <w:sz w:val="18"/>
                <w:szCs w:val="18"/>
              </w:rPr>
              <w:t>.</w:t>
            </w:r>
            <w:r>
              <w:rPr>
                <w:rFonts w:hint="eastAsia" w:ascii="微软雅黑" w:hAnsi="微软雅黑" w:eastAsia="微软雅黑" w:cs="微软雅黑"/>
                <w:sz w:val="18"/>
                <w:szCs w:val="18"/>
              </w:rPr>
              <w:t>具备有（</w:t>
            </w:r>
            <w:r>
              <w:rPr>
                <w:rFonts w:ascii="微软雅黑" w:hAnsi="微软雅黑" w:eastAsia="微软雅黑" w:cs="微软雅黑"/>
                <w:sz w:val="18"/>
                <w:szCs w:val="18"/>
              </w:rPr>
              <w:t>AUX</w:t>
            </w:r>
            <w:r>
              <w:rPr>
                <w:rFonts w:hint="eastAsia" w:ascii="微软雅黑" w:hAnsi="微软雅黑" w:eastAsia="微软雅黑" w:cs="微软雅黑"/>
                <w:sz w:val="18"/>
                <w:szCs w:val="18"/>
              </w:rPr>
              <w:t>）输入接口，具有独立的音量电位器控制，支持断网本地寻呼功能，支持缄默强度预置功能，支持背景伴奏预置功能。</w:t>
            </w:r>
          </w:p>
          <w:p w14:paraId="5D5455A7">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6</w:t>
            </w:r>
            <w:r>
              <w:rPr>
                <w:rFonts w:ascii="微软雅黑" w:hAnsi="微软雅黑" w:eastAsia="微软雅黑" w:cs="微软雅黑"/>
                <w:sz w:val="18"/>
                <w:szCs w:val="18"/>
              </w:rPr>
              <w:t>.</w:t>
            </w:r>
            <w:r>
              <w:rPr>
                <w:rFonts w:hint="eastAsia" w:ascii="微软雅黑" w:hAnsi="微软雅黑" w:eastAsia="微软雅黑" w:cs="微软雅黑"/>
                <w:sz w:val="18"/>
                <w:szCs w:val="18"/>
              </w:rPr>
              <w:t>可扩展连接蓝牙接收器实现接收蓝牙音频进行本地扩声。</w:t>
            </w:r>
          </w:p>
          <w:p w14:paraId="05FBDDED">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7</w:t>
            </w:r>
            <w:r>
              <w:rPr>
                <w:rFonts w:ascii="微软雅黑" w:hAnsi="微软雅黑" w:eastAsia="微软雅黑" w:cs="微软雅黑"/>
                <w:sz w:val="18"/>
                <w:szCs w:val="18"/>
              </w:rPr>
              <w:t>.</w:t>
            </w:r>
            <w:r>
              <w:rPr>
                <w:rFonts w:hint="eastAsia" w:ascii="微软雅黑" w:hAnsi="微软雅黑" w:eastAsia="微软雅黑" w:cs="微软雅黑"/>
                <w:sz w:val="18"/>
                <w:szCs w:val="18"/>
              </w:rPr>
              <w:t>内置模拟音频信号备份模块，支持定压</w:t>
            </w:r>
            <w:r>
              <w:rPr>
                <w:rFonts w:ascii="微软雅黑" w:hAnsi="微软雅黑" w:eastAsia="微软雅黑" w:cs="微软雅黑"/>
                <w:sz w:val="18"/>
                <w:szCs w:val="18"/>
              </w:rPr>
              <w:t>100V</w:t>
            </w:r>
            <w:r>
              <w:rPr>
                <w:rFonts w:hint="eastAsia" w:ascii="微软雅黑" w:hAnsi="微软雅黑" w:eastAsia="微软雅黑" w:cs="微软雅黑"/>
                <w:sz w:val="18"/>
                <w:szCs w:val="18"/>
              </w:rPr>
              <w:t>信号输入，当设备检测到网络故障或者设备断电时，自动切换输入定压信号。实现双线路冗余。</w:t>
            </w:r>
          </w:p>
          <w:p w14:paraId="4DF6CD46">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8</w:t>
            </w:r>
            <w:r>
              <w:rPr>
                <w:rFonts w:ascii="微软雅黑" w:hAnsi="微软雅黑" w:eastAsia="微软雅黑" w:cs="微软雅黑"/>
                <w:sz w:val="18"/>
                <w:szCs w:val="18"/>
              </w:rPr>
              <w:t>.</w:t>
            </w:r>
            <w:r>
              <w:rPr>
                <w:rFonts w:hint="eastAsia" w:ascii="微软雅黑" w:hAnsi="微软雅黑" w:eastAsia="微软雅黑" w:cs="微软雅黑"/>
                <w:sz w:val="18"/>
                <w:szCs w:val="18"/>
              </w:rPr>
              <w:t>内置无线音频模块，传输频率：</w:t>
            </w:r>
            <w:r>
              <w:rPr>
                <w:rFonts w:ascii="微软雅黑" w:hAnsi="微软雅黑" w:eastAsia="微软雅黑" w:cs="微软雅黑"/>
                <w:sz w:val="18"/>
                <w:szCs w:val="18"/>
              </w:rPr>
              <w:t>2.40MHz—2.53MHz</w:t>
            </w:r>
            <w:r>
              <w:rPr>
                <w:rFonts w:hint="eastAsia" w:ascii="微软雅黑" w:hAnsi="微软雅黑" w:eastAsia="微软雅黑" w:cs="微软雅黑"/>
                <w:sz w:val="18"/>
                <w:szCs w:val="18"/>
              </w:rPr>
              <w:t>，高保真、抗干扰性好，实现无线麦克风进行本地扩音。为行业内最高</w:t>
            </w:r>
            <w:r>
              <w:rPr>
                <w:rFonts w:ascii="微软雅黑" w:hAnsi="微软雅黑" w:eastAsia="微软雅黑" w:cs="微软雅黑"/>
                <w:sz w:val="18"/>
                <w:szCs w:val="18"/>
              </w:rPr>
              <w:t xml:space="preserve">64K @16bit×2, </w:t>
            </w:r>
            <w:r>
              <w:rPr>
                <w:rFonts w:hint="eastAsia" w:ascii="微软雅黑" w:hAnsi="微软雅黑" w:eastAsia="微软雅黑" w:cs="微软雅黑"/>
                <w:sz w:val="18"/>
                <w:szCs w:val="18"/>
              </w:rPr>
              <w:t>具有</w:t>
            </w:r>
            <w:r>
              <w:rPr>
                <w:rFonts w:ascii="微软雅黑" w:hAnsi="微软雅黑" w:eastAsia="微软雅黑" w:cs="微软雅黑"/>
                <w:sz w:val="18"/>
                <w:szCs w:val="18"/>
              </w:rPr>
              <w:t>HDCD</w:t>
            </w:r>
            <w:r>
              <w:rPr>
                <w:rFonts w:hint="eastAsia" w:ascii="微软雅黑" w:hAnsi="微软雅黑" w:eastAsia="微软雅黑" w:cs="微软雅黑"/>
                <w:sz w:val="18"/>
                <w:szCs w:val="18"/>
              </w:rPr>
              <w:t>音质效果。声音延迟（＜</w:t>
            </w:r>
            <w:r>
              <w:rPr>
                <w:rFonts w:ascii="微软雅黑" w:hAnsi="微软雅黑" w:eastAsia="微软雅黑" w:cs="微软雅黑"/>
                <w:sz w:val="18"/>
                <w:szCs w:val="18"/>
              </w:rPr>
              <w:t>0.5ms)</w:t>
            </w:r>
            <w:r>
              <w:rPr>
                <w:rFonts w:hint="eastAsia" w:ascii="微软雅黑" w:hAnsi="微软雅黑" w:eastAsia="微软雅黑" w:cs="微软雅黑"/>
                <w:sz w:val="18"/>
                <w:szCs w:val="18"/>
              </w:rPr>
              <w:t>。响应频率：</w:t>
            </w:r>
            <w:r>
              <w:rPr>
                <w:rFonts w:ascii="微软雅黑" w:hAnsi="微软雅黑" w:eastAsia="微软雅黑" w:cs="微软雅黑"/>
                <w:sz w:val="18"/>
                <w:szCs w:val="18"/>
              </w:rPr>
              <w:t>80Hz—16KHz</w:t>
            </w:r>
            <w:r>
              <w:rPr>
                <w:rFonts w:hint="eastAsia" w:ascii="微软雅黑" w:hAnsi="微软雅黑" w:eastAsia="微软雅黑" w:cs="微软雅黑"/>
                <w:sz w:val="18"/>
                <w:szCs w:val="18"/>
              </w:rPr>
              <w:t>。</w:t>
            </w:r>
          </w:p>
          <w:p w14:paraId="3E67501B">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9</w:t>
            </w:r>
            <w:r>
              <w:rPr>
                <w:rFonts w:ascii="微软雅黑" w:hAnsi="微软雅黑" w:eastAsia="微软雅黑" w:cs="微软雅黑"/>
                <w:sz w:val="18"/>
                <w:szCs w:val="18"/>
              </w:rPr>
              <w:t>.</w:t>
            </w:r>
            <w:r>
              <w:rPr>
                <w:rFonts w:hint="eastAsia" w:ascii="微软雅黑" w:hAnsi="微软雅黑" w:eastAsia="微软雅黑" w:cs="微软雅黑"/>
                <w:sz w:val="18"/>
                <w:szCs w:val="18"/>
              </w:rPr>
              <w:t>开机自动进入配对状态，配对成功后，有提示音，自动转入接收状态。</w:t>
            </w:r>
          </w:p>
          <w:p w14:paraId="76D7A92E">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0</w:t>
            </w:r>
            <w:r>
              <w:rPr>
                <w:rFonts w:ascii="微软雅黑" w:hAnsi="微软雅黑" w:eastAsia="微软雅黑" w:cs="微软雅黑"/>
                <w:sz w:val="18"/>
                <w:szCs w:val="18"/>
              </w:rPr>
              <w:t>.</w:t>
            </w:r>
            <w:r>
              <w:rPr>
                <w:rFonts w:hint="eastAsia" w:ascii="微软雅黑" w:hAnsi="微软雅黑" w:eastAsia="微软雅黑" w:cs="微软雅黑"/>
                <w:sz w:val="18"/>
                <w:szCs w:val="18"/>
              </w:rPr>
              <w:t>主机与麦克风自动配对连接距离</w:t>
            </w:r>
            <w:r>
              <w:rPr>
                <w:rFonts w:hint="eastAsia" w:ascii="微软雅黑" w:hAnsi="微软雅黑" w:eastAsia="微软雅黑" w:cs="微软雅黑"/>
                <w:sz w:val="18"/>
                <w:szCs w:val="18"/>
                <w:lang w:val="en-US" w:eastAsia="zh-CN"/>
              </w:rPr>
              <w:t>≥</w:t>
            </w:r>
            <w:r>
              <w:rPr>
                <w:rFonts w:ascii="微软雅黑" w:hAnsi="微软雅黑" w:eastAsia="微软雅黑" w:cs="微软雅黑"/>
                <w:sz w:val="18"/>
                <w:szCs w:val="18"/>
              </w:rPr>
              <w:t>3</w:t>
            </w:r>
            <w:r>
              <w:rPr>
                <w:rFonts w:hint="eastAsia" w:ascii="微软雅黑" w:hAnsi="微软雅黑" w:eastAsia="微软雅黑" w:cs="微软雅黑"/>
                <w:sz w:val="18"/>
                <w:szCs w:val="18"/>
              </w:rPr>
              <w:t>米，配对连接时间≤</w:t>
            </w:r>
            <w:r>
              <w:rPr>
                <w:rFonts w:ascii="微软雅黑" w:hAnsi="微软雅黑" w:eastAsia="微软雅黑" w:cs="微软雅黑"/>
                <w:sz w:val="18"/>
                <w:szCs w:val="18"/>
              </w:rPr>
              <w:t>3</w:t>
            </w:r>
            <w:r>
              <w:rPr>
                <w:rFonts w:hint="eastAsia" w:ascii="微软雅黑" w:hAnsi="微软雅黑" w:eastAsia="微软雅黑" w:cs="微软雅黑"/>
                <w:sz w:val="18"/>
                <w:szCs w:val="18"/>
              </w:rPr>
              <w:t>秒。</w:t>
            </w:r>
          </w:p>
          <w:p w14:paraId="77874F3C">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1</w:t>
            </w:r>
            <w:r>
              <w:rPr>
                <w:rFonts w:ascii="微软雅黑" w:hAnsi="微软雅黑" w:eastAsia="微软雅黑" w:cs="微软雅黑"/>
                <w:sz w:val="18"/>
                <w:szCs w:val="18"/>
              </w:rPr>
              <w:t>.</w:t>
            </w:r>
            <w:r>
              <w:rPr>
                <w:rFonts w:hint="eastAsia" w:ascii="微软雅黑" w:hAnsi="微软雅黑" w:eastAsia="微软雅黑" w:cs="微软雅黑"/>
                <w:sz w:val="18"/>
                <w:szCs w:val="18"/>
              </w:rPr>
              <w:t>实现加密传输，接收器支持自动扫频功能。</w:t>
            </w:r>
          </w:p>
          <w:p w14:paraId="7D461DBE">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2</w:t>
            </w:r>
            <w:r>
              <w:rPr>
                <w:rFonts w:ascii="微软雅黑" w:hAnsi="微软雅黑" w:eastAsia="微软雅黑" w:cs="微软雅黑"/>
                <w:sz w:val="18"/>
                <w:szCs w:val="18"/>
              </w:rPr>
              <w:t>.</w:t>
            </w:r>
            <w:r>
              <w:rPr>
                <w:rFonts w:hint="eastAsia" w:ascii="微软雅黑" w:hAnsi="微软雅黑" w:eastAsia="微软雅黑" w:cs="微软雅黑"/>
                <w:sz w:val="18"/>
                <w:szCs w:val="18"/>
              </w:rPr>
              <w:t>麦克风音量支持音量调节功能。内置话筒混响功能。带激光笔和</w:t>
            </w:r>
            <w:r>
              <w:rPr>
                <w:rFonts w:ascii="微软雅黑" w:hAnsi="微软雅黑" w:eastAsia="微软雅黑" w:cs="微软雅黑"/>
                <w:sz w:val="18"/>
                <w:szCs w:val="18"/>
              </w:rPr>
              <w:t>PPT</w:t>
            </w:r>
            <w:r>
              <w:rPr>
                <w:rFonts w:hint="eastAsia" w:ascii="微软雅黑" w:hAnsi="微软雅黑" w:eastAsia="微软雅黑" w:cs="微软雅黑"/>
                <w:sz w:val="18"/>
                <w:szCs w:val="18"/>
              </w:rPr>
              <w:t>翻页功能。</w:t>
            </w:r>
          </w:p>
          <w:p w14:paraId="201AB347">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3</w:t>
            </w:r>
            <w:r>
              <w:rPr>
                <w:rFonts w:ascii="微软雅黑" w:hAnsi="微软雅黑" w:eastAsia="微软雅黑" w:cs="微软雅黑"/>
                <w:sz w:val="18"/>
                <w:szCs w:val="18"/>
              </w:rPr>
              <w:t>.</w:t>
            </w:r>
            <w:r>
              <w:rPr>
                <w:rFonts w:hint="eastAsia" w:ascii="微软雅黑" w:hAnsi="微软雅黑" w:eastAsia="微软雅黑" w:cs="微软雅黑"/>
                <w:sz w:val="18"/>
                <w:szCs w:val="18"/>
              </w:rPr>
              <w:t>内置</w:t>
            </w:r>
            <w:r>
              <w:rPr>
                <w:rFonts w:ascii="微软雅黑" w:hAnsi="微软雅黑" w:eastAsia="微软雅黑" w:cs="微软雅黑"/>
                <w:sz w:val="18"/>
                <w:szCs w:val="18"/>
              </w:rPr>
              <w:t>MP3</w:t>
            </w:r>
            <w:r>
              <w:rPr>
                <w:rFonts w:hint="eastAsia" w:ascii="微软雅黑" w:hAnsi="微软雅黑" w:eastAsia="微软雅黑" w:cs="微软雅黑"/>
                <w:sz w:val="18"/>
                <w:szCs w:val="18"/>
              </w:rPr>
              <w:t>播放器功能。支持录音功能。</w:t>
            </w:r>
          </w:p>
          <w:p w14:paraId="6F070FEC">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4</w:t>
            </w:r>
            <w:r>
              <w:rPr>
                <w:rFonts w:ascii="微软雅黑" w:hAnsi="微软雅黑" w:eastAsia="微软雅黑" w:cs="微软雅黑"/>
                <w:sz w:val="18"/>
                <w:szCs w:val="18"/>
              </w:rPr>
              <w:t>.</w:t>
            </w:r>
            <w:r>
              <w:rPr>
                <w:rFonts w:hint="eastAsia" w:ascii="微软雅黑" w:hAnsi="微软雅黑" w:eastAsia="微软雅黑" w:cs="微软雅黑"/>
                <w:sz w:val="18"/>
                <w:szCs w:val="18"/>
              </w:rPr>
              <w:t>对频距离（功率）可以自行设定。</w:t>
            </w:r>
          </w:p>
          <w:p w14:paraId="0148EE59">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5</w:t>
            </w:r>
            <w:r>
              <w:rPr>
                <w:rFonts w:ascii="微软雅黑" w:hAnsi="微软雅黑" w:eastAsia="微软雅黑" w:cs="微软雅黑"/>
                <w:sz w:val="18"/>
                <w:szCs w:val="18"/>
              </w:rPr>
              <w:t>.</w:t>
            </w:r>
            <w:r>
              <w:rPr>
                <w:rFonts w:hint="eastAsia" w:ascii="微软雅黑" w:hAnsi="微软雅黑" w:eastAsia="微软雅黑" w:cs="微软雅黑"/>
                <w:sz w:val="18"/>
                <w:szCs w:val="18"/>
              </w:rPr>
              <w:t>有效使用距离最远可达</w:t>
            </w:r>
            <w:r>
              <w:rPr>
                <w:rFonts w:ascii="微软雅黑" w:hAnsi="微软雅黑" w:eastAsia="微软雅黑" w:cs="微软雅黑"/>
                <w:sz w:val="18"/>
                <w:szCs w:val="18"/>
              </w:rPr>
              <w:t>30m</w:t>
            </w:r>
            <w:r>
              <w:rPr>
                <w:rFonts w:hint="eastAsia" w:ascii="微软雅黑" w:hAnsi="微软雅黑" w:eastAsia="微软雅黑" w:cs="微软雅黑"/>
                <w:sz w:val="18"/>
                <w:szCs w:val="18"/>
              </w:rPr>
              <w:t>（与使用环境有关）。</w:t>
            </w:r>
          </w:p>
          <w:p w14:paraId="599AB029">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6</w:t>
            </w:r>
            <w:r>
              <w:rPr>
                <w:rFonts w:ascii="微软雅黑" w:hAnsi="微软雅黑" w:eastAsia="微软雅黑" w:cs="微软雅黑"/>
                <w:sz w:val="18"/>
                <w:szCs w:val="18"/>
              </w:rPr>
              <w:t>.</w:t>
            </w:r>
            <w:r>
              <w:rPr>
                <w:rFonts w:hint="eastAsia" w:ascii="微软雅黑" w:hAnsi="微软雅黑" w:eastAsia="微软雅黑" w:cs="微软雅黑"/>
                <w:sz w:val="18"/>
                <w:szCs w:val="18"/>
              </w:rPr>
              <w:t>内置</w:t>
            </w:r>
            <w:r>
              <w:rPr>
                <w:rFonts w:ascii="微软雅黑" w:hAnsi="微软雅黑" w:eastAsia="微软雅黑" w:cs="微软雅黑"/>
                <w:sz w:val="18"/>
                <w:szCs w:val="18"/>
              </w:rPr>
              <w:t>2</w:t>
            </w:r>
            <w:r>
              <w:rPr>
                <w:rFonts w:hint="eastAsia" w:ascii="微软雅黑" w:hAnsi="微软雅黑" w:eastAsia="微软雅黑" w:cs="微软雅黑"/>
                <w:sz w:val="18"/>
                <w:szCs w:val="18"/>
              </w:rPr>
              <w:t>级优先设置。</w:t>
            </w:r>
          </w:p>
          <w:p w14:paraId="658C7A4F">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rPr>
              <w:t>）网络报警信号优先</w:t>
            </w:r>
            <w:r>
              <w:rPr>
                <w:rFonts w:ascii="微软雅黑" w:hAnsi="微软雅黑" w:eastAsia="微软雅黑" w:cs="微软雅黑"/>
                <w:sz w:val="18"/>
                <w:szCs w:val="18"/>
              </w:rPr>
              <w:t>AUX</w:t>
            </w:r>
            <w:r>
              <w:rPr>
                <w:rFonts w:hint="eastAsia" w:ascii="微软雅黑" w:hAnsi="微软雅黑" w:eastAsia="微软雅黑" w:cs="微软雅黑"/>
                <w:sz w:val="18"/>
                <w:szCs w:val="18"/>
              </w:rPr>
              <w:t>和网络背景音乐信号。</w:t>
            </w:r>
            <w:r>
              <w:rPr>
                <w:rFonts w:ascii="微软雅黑" w:hAnsi="微软雅黑" w:eastAsia="微软雅黑" w:cs="微软雅黑"/>
                <w:sz w:val="18"/>
                <w:szCs w:val="18"/>
              </w:rPr>
              <w:t xml:space="preserve"> </w:t>
            </w:r>
          </w:p>
          <w:p w14:paraId="604EF54F">
            <w:pPr>
              <w:textAlignment w:val="center"/>
              <w:rPr>
                <w:rFonts w:ascii="微软雅黑" w:hAnsi="微软雅黑" w:eastAsia="微软雅黑" w:cs="微软雅黑"/>
                <w:sz w:val="18"/>
                <w:szCs w:val="18"/>
              </w:rPr>
            </w:pPr>
            <w:r>
              <w:rPr>
                <w:rFonts w:ascii="微软雅黑" w:hAnsi="微软雅黑" w:eastAsia="微软雅黑" w:cs="微软雅黑"/>
                <w:sz w:val="18"/>
                <w:szCs w:val="18"/>
              </w:rPr>
              <w:t>2</w:t>
            </w:r>
            <w:r>
              <w:rPr>
                <w:rFonts w:hint="eastAsia" w:ascii="微软雅黑" w:hAnsi="微软雅黑" w:eastAsia="微软雅黑" w:cs="微软雅黑"/>
                <w:sz w:val="18"/>
                <w:szCs w:val="18"/>
              </w:rPr>
              <w:t>）</w:t>
            </w:r>
            <w:r>
              <w:rPr>
                <w:rFonts w:ascii="微软雅黑" w:hAnsi="微软雅黑" w:eastAsia="微软雅黑" w:cs="微软雅黑"/>
                <w:sz w:val="18"/>
                <w:szCs w:val="18"/>
              </w:rPr>
              <w:t>AUX</w:t>
            </w:r>
            <w:r>
              <w:rPr>
                <w:rFonts w:hint="eastAsia" w:ascii="微软雅黑" w:hAnsi="微软雅黑" w:eastAsia="微软雅黑" w:cs="微软雅黑"/>
                <w:sz w:val="18"/>
                <w:szCs w:val="18"/>
              </w:rPr>
              <w:t>优先网络背景音乐信号。</w:t>
            </w:r>
          </w:p>
          <w:p w14:paraId="196CA502">
            <w:pPr>
              <w:textAlignment w:val="center"/>
              <w:rPr>
                <w:rFonts w:ascii="微软雅黑" w:hAnsi="微软雅黑" w:eastAsia="微软雅黑" w:cs="微软雅黑"/>
                <w:sz w:val="18"/>
                <w:szCs w:val="18"/>
              </w:rPr>
            </w:pPr>
            <w:r>
              <w:rPr>
                <w:rFonts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7</w:t>
            </w:r>
            <w:r>
              <w:rPr>
                <w:rFonts w:ascii="微软雅黑" w:hAnsi="微软雅黑" w:eastAsia="微软雅黑" w:cs="微软雅黑"/>
                <w:sz w:val="18"/>
                <w:szCs w:val="18"/>
              </w:rPr>
              <w:t>.</w:t>
            </w:r>
            <w:r>
              <w:rPr>
                <w:rFonts w:hint="eastAsia" w:ascii="微软雅黑" w:hAnsi="微软雅黑" w:eastAsia="微软雅黑" w:cs="微软雅黑"/>
                <w:sz w:val="18"/>
                <w:szCs w:val="18"/>
              </w:rPr>
              <w:t>支持断网后本地</w:t>
            </w:r>
            <w:r>
              <w:rPr>
                <w:rFonts w:ascii="微软雅黑" w:hAnsi="微软雅黑" w:eastAsia="微软雅黑" w:cs="微软雅黑"/>
                <w:sz w:val="18"/>
                <w:szCs w:val="18"/>
              </w:rPr>
              <w:t>AUX</w:t>
            </w:r>
            <w:r>
              <w:rPr>
                <w:rFonts w:hint="eastAsia" w:ascii="微软雅黑" w:hAnsi="微软雅黑" w:eastAsia="微软雅黑" w:cs="微软雅黑"/>
                <w:sz w:val="18"/>
                <w:szCs w:val="18"/>
              </w:rPr>
              <w:t>和无线信号输入实现本地扩音技术。</w:t>
            </w:r>
          </w:p>
          <w:p w14:paraId="05663E5C">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r>
              <w:rPr>
                <w:rFonts w:hint="eastAsia" w:ascii="微软雅黑" w:hAnsi="微软雅黑" w:eastAsia="微软雅黑" w:cs="微软雅黑"/>
                <w:sz w:val="18"/>
                <w:szCs w:val="18"/>
                <w:lang w:val="en-US" w:eastAsia="zh-CN"/>
              </w:rPr>
              <w:t>8</w:t>
            </w:r>
            <w:r>
              <w:rPr>
                <w:rFonts w:ascii="微软雅黑" w:hAnsi="微软雅黑" w:eastAsia="微软雅黑" w:cs="微软雅黑"/>
                <w:sz w:val="18"/>
                <w:szCs w:val="18"/>
              </w:rPr>
              <w:t>.</w:t>
            </w:r>
            <w:r>
              <w:rPr>
                <w:rFonts w:hint="eastAsia" w:ascii="微软雅黑" w:hAnsi="微软雅黑" w:eastAsia="微软雅黑" w:cs="微软雅黑"/>
                <w:sz w:val="18"/>
                <w:szCs w:val="18"/>
              </w:rPr>
              <w:t>兼容路由器、交换机、网桥网关、</w:t>
            </w:r>
            <w:r>
              <w:rPr>
                <w:rFonts w:ascii="微软雅黑" w:hAnsi="微软雅黑" w:eastAsia="微软雅黑" w:cs="微软雅黑"/>
                <w:sz w:val="18"/>
                <w:szCs w:val="18"/>
              </w:rPr>
              <w:t>Modem</w:t>
            </w:r>
            <w:r>
              <w:rPr>
                <w:rFonts w:hint="eastAsia" w:ascii="微软雅黑" w:hAnsi="微软雅黑" w:eastAsia="微软雅黑" w:cs="微软雅黑"/>
                <w:sz w:val="18"/>
                <w:szCs w:val="18"/>
              </w:rPr>
              <w:t>、</w:t>
            </w:r>
            <w:r>
              <w:rPr>
                <w:rFonts w:ascii="微软雅黑" w:hAnsi="微软雅黑" w:eastAsia="微软雅黑" w:cs="微软雅黑"/>
                <w:sz w:val="18"/>
                <w:szCs w:val="18"/>
              </w:rPr>
              <w:t>Internet</w:t>
            </w:r>
            <w:r>
              <w:rPr>
                <w:rFonts w:hint="eastAsia" w:ascii="微软雅黑" w:hAnsi="微软雅黑" w:eastAsia="微软雅黑" w:cs="微软雅黑"/>
                <w:sz w:val="18"/>
                <w:szCs w:val="18"/>
              </w:rPr>
              <w:t>、</w:t>
            </w:r>
            <w:r>
              <w:rPr>
                <w:rFonts w:ascii="微软雅黑" w:hAnsi="微软雅黑" w:eastAsia="微软雅黑" w:cs="微软雅黑"/>
                <w:sz w:val="18"/>
                <w:szCs w:val="18"/>
              </w:rPr>
              <w:t>2G</w:t>
            </w:r>
            <w:r>
              <w:rPr>
                <w:rFonts w:hint="eastAsia" w:ascii="微软雅黑" w:hAnsi="微软雅黑" w:eastAsia="微软雅黑" w:cs="微软雅黑"/>
                <w:sz w:val="18"/>
                <w:szCs w:val="18"/>
              </w:rPr>
              <w:t>、</w:t>
            </w:r>
            <w:r>
              <w:rPr>
                <w:rFonts w:ascii="微软雅黑" w:hAnsi="微软雅黑" w:eastAsia="微软雅黑" w:cs="微软雅黑"/>
                <w:sz w:val="18"/>
                <w:szCs w:val="18"/>
              </w:rPr>
              <w:t>3G</w:t>
            </w:r>
            <w:r>
              <w:rPr>
                <w:rFonts w:hint="eastAsia" w:ascii="微软雅黑" w:hAnsi="微软雅黑" w:eastAsia="微软雅黑" w:cs="微软雅黑"/>
                <w:sz w:val="18"/>
                <w:szCs w:val="18"/>
              </w:rPr>
              <w:t>、</w:t>
            </w:r>
            <w:r>
              <w:rPr>
                <w:rFonts w:ascii="微软雅黑" w:hAnsi="微软雅黑" w:eastAsia="微软雅黑" w:cs="微软雅黑"/>
                <w:sz w:val="18"/>
                <w:szCs w:val="18"/>
              </w:rPr>
              <w:t>4G</w:t>
            </w:r>
            <w:r>
              <w:rPr>
                <w:rFonts w:hint="eastAsia" w:ascii="微软雅黑" w:hAnsi="微软雅黑" w:eastAsia="微软雅黑" w:cs="微软雅黑"/>
                <w:sz w:val="18"/>
                <w:szCs w:val="18"/>
              </w:rPr>
              <w:t>等任意网络结构。</w:t>
            </w:r>
          </w:p>
          <w:p w14:paraId="2749CF03">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19</w:t>
            </w:r>
            <w:r>
              <w:rPr>
                <w:rFonts w:ascii="微软雅黑" w:hAnsi="微软雅黑" w:eastAsia="微软雅黑" w:cs="微软雅黑"/>
                <w:sz w:val="18"/>
                <w:szCs w:val="18"/>
              </w:rPr>
              <w:t>.</w:t>
            </w:r>
            <w:r>
              <w:rPr>
                <w:rFonts w:hint="eastAsia" w:ascii="微软雅黑" w:hAnsi="微软雅黑" w:eastAsia="微软雅黑" w:cs="微软雅黑"/>
                <w:sz w:val="18"/>
                <w:szCs w:val="18"/>
              </w:rPr>
              <w:t>数字化产品，扩容方便，不受地理位置限制，无需增加机房管理设备</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免线路施工。</w:t>
            </w:r>
          </w:p>
          <w:p w14:paraId="2529AC50">
            <w:pPr>
              <w:textAlignment w:val="center"/>
              <w:rPr>
                <w:rFonts w:ascii="微软雅黑" w:hAnsi="微软雅黑" w:eastAsia="微软雅黑" w:cs="微软雅黑"/>
                <w:sz w:val="18"/>
                <w:szCs w:val="18"/>
              </w:rPr>
            </w:pPr>
            <w:r>
              <w:rPr>
                <w:rFonts w:ascii="微软雅黑" w:hAnsi="微软雅黑" w:eastAsia="微软雅黑" w:cs="微软雅黑"/>
                <w:sz w:val="18"/>
                <w:szCs w:val="18"/>
              </w:rPr>
              <w:t>2</w:t>
            </w:r>
            <w:r>
              <w:rPr>
                <w:rFonts w:hint="eastAsia" w:ascii="微软雅黑" w:hAnsi="微软雅黑" w:eastAsia="微软雅黑" w:cs="微软雅黑"/>
                <w:sz w:val="18"/>
                <w:szCs w:val="18"/>
                <w:lang w:val="en-US" w:eastAsia="zh-CN"/>
              </w:rPr>
              <w:t>0</w:t>
            </w:r>
            <w:r>
              <w:rPr>
                <w:rFonts w:ascii="微软雅黑" w:hAnsi="微软雅黑" w:eastAsia="微软雅黑" w:cs="微软雅黑"/>
                <w:sz w:val="18"/>
                <w:szCs w:val="18"/>
              </w:rPr>
              <w:t>.</w:t>
            </w:r>
            <w:r>
              <w:rPr>
                <w:rFonts w:hint="eastAsia" w:ascii="微软雅黑" w:hAnsi="微软雅黑" w:eastAsia="微软雅黑" w:cs="微软雅黑"/>
                <w:sz w:val="18"/>
                <w:szCs w:val="18"/>
              </w:rPr>
              <w:t>支持广播系统对终端进行远程固件升级，无需到终端本地升级。</w:t>
            </w:r>
          </w:p>
          <w:p w14:paraId="788FC34D">
            <w:pPr>
              <w:textAlignment w:val="center"/>
              <w:rPr>
                <w:rFonts w:ascii="微软雅黑" w:hAnsi="微软雅黑" w:eastAsia="微软雅黑" w:cs="微软雅黑"/>
                <w:sz w:val="18"/>
                <w:szCs w:val="18"/>
              </w:rPr>
            </w:pPr>
          </w:p>
          <w:p w14:paraId="0EEBB9FF">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rPr>
              <w:t>技术参数</w:t>
            </w:r>
          </w:p>
          <w:p w14:paraId="44F553DB">
            <w:pPr>
              <w:textAlignment w:val="center"/>
              <w:rPr>
                <w:rFonts w:ascii="微软雅黑" w:hAnsi="微软雅黑" w:eastAsia="微软雅黑" w:cs="微软雅黑"/>
                <w:sz w:val="18"/>
                <w:szCs w:val="18"/>
              </w:rPr>
            </w:pPr>
            <w:r>
              <w:rPr>
                <w:rFonts w:ascii="微软雅黑" w:hAnsi="微软雅黑" w:eastAsia="微软雅黑" w:cs="微软雅黑"/>
                <w:sz w:val="18"/>
                <w:szCs w:val="18"/>
              </w:rPr>
              <w:t xml:space="preserve">1. </w:t>
            </w:r>
            <w:r>
              <w:rPr>
                <w:rFonts w:hint="eastAsia" w:ascii="微软雅黑" w:hAnsi="微软雅黑" w:eastAsia="微软雅黑" w:cs="微软雅黑"/>
                <w:sz w:val="18"/>
                <w:szCs w:val="18"/>
              </w:rPr>
              <w:t>网络接口：标准</w:t>
            </w:r>
            <w:r>
              <w:rPr>
                <w:rFonts w:ascii="微软雅黑" w:hAnsi="微软雅黑" w:eastAsia="微软雅黑" w:cs="微软雅黑"/>
                <w:sz w:val="18"/>
                <w:szCs w:val="18"/>
              </w:rPr>
              <w:t>RJ45</w:t>
            </w:r>
            <w:r>
              <w:rPr>
                <w:rFonts w:hint="eastAsia" w:ascii="微软雅黑" w:hAnsi="微软雅黑" w:eastAsia="微软雅黑" w:cs="微软雅黑"/>
                <w:sz w:val="18"/>
                <w:szCs w:val="18"/>
              </w:rPr>
              <w:t>输入</w:t>
            </w:r>
          </w:p>
          <w:p w14:paraId="54485296">
            <w:pPr>
              <w:textAlignment w:val="center"/>
              <w:rPr>
                <w:rFonts w:ascii="微软雅黑" w:hAnsi="微软雅黑" w:eastAsia="微软雅黑" w:cs="微软雅黑"/>
                <w:sz w:val="18"/>
                <w:szCs w:val="18"/>
              </w:rPr>
            </w:pPr>
            <w:r>
              <w:rPr>
                <w:rFonts w:ascii="微软雅黑" w:hAnsi="微软雅黑" w:eastAsia="微软雅黑" w:cs="微软雅黑"/>
                <w:sz w:val="18"/>
                <w:szCs w:val="18"/>
              </w:rPr>
              <w:t xml:space="preserve">2. </w:t>
            </w:r>
            <w:r>
              <w:rPr>
                <w:rFonts w:hint="eastAsia" w:ascii="微软雅黑" w:hAnsi="微软雅黑" w:eastAsia="微软雅黑" w:cs="微软雅黑"/>
                <w:sz w:val="18"/>
                <w:szCs w:val="18"/>
              </w:rPr>
              <w:t>支持协议：</w:t>
            </w:r>
            <w:r>
              <w:rPr>
                <w:rFonts w:ascii="微软雅黑" w:hAnsi="微软雅黑" w:eastAsia="微软雅黑" w:cs="微软雅黑"/>
                <w:sz w:val="18"/>
                <w:szCs w:val="18"/>
              </w:rPr>
              <w:t>TCP/IP</w:t>
            </w:r>
            <w:r>
              <w:rPr>
                <w:rFonts w:hint="eastAsia" w:ascii="微软雅黑" w:hAnsi="微软雅黑" w:eastAsia="微软雅黑" w:cs="微软雅黑"/>
                <w:sz w:val="18"/>
                <w:szCs w:val="18"/>
              </w:rPr>
              <w:t>，</w:t>
            </w:r>
            <w:r>
              <w:rPr>
                <w:rFonts w:ascii="微软雅黑" w:hAnsi="微软雅黑" w:eastAsia="微软雅黑" w:cs="微软雅黑"/>
                <w:sz w:val="18"/>
                <w:szCs w:val="18"/>
              </w:rPr>
              <w:t>UDP</w:t>
            </w:r>
          </w:p>
          <w:p w14:paraId="6F518D93">
            <w:pPr>
              <w:textAlignment w:val="center"/>
              <w:rPr>
                <w:rFonts w:hint="default" w:ascii="微软雅黑" w:hAnsi="微软雅黑" w:eastAsia="微软雅黑" w:cs="微软雅黑"/>
                <w:sz w:val="18"/>
                <w:szCs w:val="18"/>
                <w:lang w:val="en-US" w:eastAsia="zh-CN"/>
              </w:rPr>
            </w:pPr>
            <w:r>
              <w:rPr>
                <w:rFonts w:ascii="微软雅黑" w:hAnsi="微软雅黑" w:eastAsia="微软雅黑" w:cs="微软雅黑"/>
                <w:sz w:val="18"/>
                <w:szCs w:val="18"/>
              </w:rPr>
              <w:t xml:space="preserve">3. </w:t>
            </w:r>
            <w:r>
              <w:rPr>
                <w:rFonts w:hint="eastAsia" w:ascii="微软雅黑" w:hAnsi="微软雅黑" w:eastAsia="微软雅黑" w:cs="微软雅黑"/>
                <w:sz w:val="18"/>
                <w:szCs w:val="18"/>
              </w:rPr>
              <w:t>音频格式：</w:t>
            </w:r>
            <w:r>
              <w:rPr>
                <w:rFonts w:ascii="微软雅黑" w:hAnsi="微软雅黑" w:eastAsia="微软雅黑" w:cs="微软雅黑"/>
                <w:sz w:val="18"/>
                <w:szCs w:val="18"/>
              </w:rPr>
              <w:t>MP3</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lang w:val="en-US" w:eastAsia="zh-CN"/>
              </w:rPr>
              <w:t>不仅限）</w:t>
            </w:r>
          </w:p>
          <w:p w14:paraId="08A0FF47">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4</w:t>
            </w:r>
            <w:r>
              <w:rPr>
                <w:rFonts w:ascii="微软雅黑" w:hAnsi="微软雅黑" w:eastAsia="微软雅黑" w:cs="微软雅黑"/>
                <w:sz w:val="18"/>
                <w:szCs w:val="18"/>
              </w:rPr>
              <w:t xml:space="preserve">. </w:t>
            </w:r>
            <w:r>
              <w:rPr>
                <w:rFonts w:hint="eastAsia" w:ascii="微软雅黑" w:hAnsi="微软雅黑" w:eastAsia="微软雅黑" w:cs="微软雅黑"/>
                <w:sz w:val="18"/>
                <w:szCs w:val="18"/>
              </w:rPr>
              <w:t>音频模式：</w:t>
            </w:r>
            <w:r>
              <w:rPr>
                <w:rFonts w:ascii="微软雅黑" w:hAnsi="微软雅黑" w:eastAsia="微软雅黑" w:cs="微软雅黑"/>
                <w:sz w:val="18"/>
                <w:szCs w:val="18"/>
              </w:rPr>
              <w:t>16</w:t>
            </w:r>
            <w:r>
              <w:rPr>
                <w:rFonts w:hint="eastAsia" w:ascii="微软雅黑" w:hAnsi="微软雅黑" w:eastAsia="微软雅黑" w:cs="微软雅黑"/>
                <w:sz w:val="18"/>
                <w:szCs w:val="18"/>
              </w:rPr>
              <w:t>位</w:t>
            </w:r>
            <w:r>
              <w:rPr>
                <w:rFonts w:ascii="微软雅黑" w:hAnsi="微软雅黑" w:eastAsia="微软雅黑" w:cs="微软雅黑"/>
                <w:sz w:val="18"/>
                <w:szCs w:val="18"/>
              </w:rPr>
              <w:t>CD</w:t>
            </w:r>
            <w:r>
              <w:rPr>
                <w:rFonts w:hint="eastAsia" w:ascii="微软雅黑" w:hAnsi="微软雅黑" w:eastAsia="微软雅黑" w:cs="微软雅黑"/>
                <w:sz w:val="18"/>
                <w:szCs w:val="18"/>
              </w:rPr>
              <w:t>音质</w:t>
            </w:r>
          </w:p>
          <w:p w14:paraId="44CB73E5">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5</w:t>
            </w:r>
            <w:r>
              <w:rPr>
                <w:rFonts w:ascii="微软雅黑" w:hAnsi="微软雅黑" w:eastAsia="微软雅黑" w:cs="微软雅黑"/>
                <w:sz w:val="18"/>
                <w:szCs w:val="18"/>
              </w:rPr>
              <w:t>. AUX</w:t>
            </w:r>
            <w:r>
              <w:rPr>
                <w:rFonts w:hint="eastAsia" w:ascii="微软雅黑" w:hAnsi="微软雅黑" w:eastAsia="微软雅黑" w:cs="微软雅黑"/>
                <w:sz w:val="18"/>
                <w:szCs w:val="18"/>
              </w:rPr>
              <w:t>输入灵敏度：</w:t>
            </w:r>
            <w:r>
              <w:rPr>
                <w:rFonts w:ascii="微软雅黑" w:hAnsi="微软雅黑" w:eastAsia="微软雅黑" w:cs="微软雅黑"/>
                <w:sz w:val="18"/>
                <w:szCs w:val="18"/>
              </w:rPr>
              <w:t>350mV  (</w:t>
            </w:r>
            <w:r>
              <w:rPr>
                <w:rFonts w:hint="eastAsia" w:ascii="微软雅黑" w:hAnsi="微软雅黑" w:eastAsia="微软雅黑" w:cs="微软雅黑"/>
                <w:sz w:val="18"/>
                <w:szCs w:val="18"/>
              </w:rPr>
              <w:t>非平衡）工业标准接线端子</w:t>
            </w:r>
          </w:p>
          <w:p w14:paraId="31E974F3">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6</w:t>
            </w:r>
            <w:r>
              <w:rPr>
                <w:rFonts w:ascii="微软雅黑" w:hAnsi="微软雅黑" w:eastAsia="微软雅黑" w:cs="微软雅黑"/>
                <w:sz w:val="18"/>
                <w:szCs w:val="18"/>
              </w:rPr>
              <w:t>. 100V</w:t>
            </w:r>
            <w:r>
              <w:rPr>
                <w:rFonts w:hint="eastAsia" w:ascii="微软雅黑" w:hAnsi="微软雅黑" w:eastAsia="微软雅黑" w:cs="微软雅黑"/>
                <w:sz w:val="18"/>
                <w:szCs w:val="18"/>
              </w:rPr>
              <w:t>定压输入备份：有</w:t>
            </w:r>
          </w:p>
          <w:p w14:paraId="54F2F0F5">
            <w:pPr>
              <w:textAlignment w:val="center"/>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rPr>
              <w:t>7</w:t>
            </w:r>
            <w:r>
              <w:rPr>
                <w:rFonts w:ascii="微软雅黑" w:hAnsi="微软雅黑" w:eastAsia="微软雅黑" w:cs="微软雅黑"/>
                <w:sz w:val="18"/>
                <w:szCs w:val="18"/>
              </w:rPr>
              <w:t xml:space="preserve">. </w:t>
            </w:r>
            <w:r>
              <w:rPr>
                <w:rFonts w:hint="eastAsia" w:ascii="微软雅黑" w:hAnsi="微软雅黑" w:eastAsia="微软雅黑" w:cs="微软雅黑"/>
                <w:sz w:val="18"/>
                <w:szCs w:val="18"/>
              </w:rPr>
              <w:t>功耗：≤</w:t>
            </w:r>
            <w:r>
              <w:rPr>
                <w:rFonts w:ascii="微软雅黑" w:hAnsi="微软雅黑" w:eastAsia="微软雅黑" w:cs="微软雅黑"/>
                <w:sz w:val="18"/>
                <w:szCs w:val="18"/>
              </w:rPr>
              <w:t>50W</w:t>
            </w:r>
          </w:p>
          <w:p w14:paraId="5EFA773D">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val="en-US" w:eastAsia="zh-CN"/>
              </w:rPr>
              <w:t>8</w:t>
            </w:r>
            <w:r>
              <w:rPr>
                <w:rFonts w:ascii="微软雅黑" w:hAnsi="微软雅黑" w:eastAsia="微软雅黑" w:cs="微软雅黑"/>
                <w:sz w:val="18"/>
                <w:szCs w:val="18"/>
              </w:rPr>
              <w:t xml:space="preserve">. </w:t>
            </w:r>
            <w:r>
              <w:rPr>
                <w:rFonts w:hint="eastAsia" w:ascii="微软雅黑" w:hAnsi="微软雅黑" w:eastAsia="微软雅黑" w:cs="微软雅黑"/>
                <w:sz w:val="18"/>
                <w:szCs w:val="18"/>
              </w:rPr>
              <w:t>输入电源：～</w:t>
            </w:r>
            <w:r>
              <w:rPr>
                <w:rFonts w:ascii="微软雅黑" w:hAnsi="微软雅黑" w:eastAsia="微软雅黑" w:cs="微软雅黑"/>
                <w:sz w:val="18"/>
                <w:szCs w:val="18"/>
              </w:rPr>
              <w:t>190V-240V 50Hz-60Hz</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CE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38</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20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09255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D6F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2</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507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控制器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E4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教室音响总后台控制器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77A6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产品特点</w:t>
            </w:r>
          </w:p>
          <w:p w14:paraId="20DCCFB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1.标准机柜式设计。</w:t>
            </w:r>
          </w:p>
          <w:p w14:paraId="1776A57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2.产品采用linux操作系统。</w:t>
            </w:r>
          </w:p>
          <w:p w14:paraId="7170068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3.丰富的网络接入方式，DHCP自动分配接入、ADSL智能拨号接入、固定IP地址接入等。</w:t>
            </w:r>
          </w:p>
          <w:p w14:paraId="6EDE0E7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4.自动实现卫星自动校时，使用地球同步卫星作为校时基准，与格林威治时间误差小于0.1秒。</w:t>
            </w:r>
          </w:p>
          <w:p w14:paraId="6E860F82">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5.支持与公共广播系统对接作为校时系统。</w:t>
            </w:r>
          </w:p>
          <w:p w14:paraId="3819A1A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6.液晶显示屏支持显示当前时间、当前时区等。</w:t>
            </w:r>
          </w:p>
          <w:p w14:paraId="1DE93F3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7.支持中英文语言显示界面切换。</w:t>
            </w:r>
          </w:p>
          <w:p w14:paraId="320C7F6A">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8.系统带北斗卫星导航系统（BDS）+GPS卫星定位系统两大定位系统，可以实现后台远程切换两个不同系统。</w:t>
            </w:r>
          </w:p>
          <w:p w14:paraId="324A853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9.可设定为自动获取IP地址功能。</w:t>
            </w:r>
          </w:p>
          <w:p w14:paraId="2D816AAA">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10.支持</w:t>
            </w:r>
            <w:r>
              <w:rPr>
                <w:rFonts w:hint="eastAsia" w:ascii="微软雅黑" w:hAnsi="微软雅黑" w:eastAsia="微软雅黑" w:cs="微软雅黑"/>
                <w:sz w:val="18"/>
                <w:szCs w:val="18"/>
                <w:lang w:val="en-US" w:eastAsia="zh-CN" w:bidi="ar"/>
              </w:rPr>
              <w:t xml:space="preserve"> </w:t>
            </w:r>
            <w:r>
              <w:rPr>
                <w:rFonts w:hint="eastAsia" w:ascii="微软雅黑" w:hAnsi="微软雅黑" w:eastAsia="微软雅黑" w:cs="微软雅黑"/>
                <w:sz w:val="18"/>
                <w:szCs w:val="18"/>
                <w:lang w:bidi="ar"/>
              </w:rPr>
              <w:t>恢复出厂功能，方便系统维护管理。</w:t>
            </w:r>
          </w:p>
          <w:p w14:paraId="56BF980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11.支持进行远程固件升级，无需到终端本地升级。</w:t>
            </w:r>
          </w:p>
          <w:p w14:paraId="0BABD708">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3123118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1.网络接口：标准RJ45输入</w:t>
            </w:r>
          </w:p>
          <w:p w14:paraId="5F1D7406">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2.传输速率：100Mbps</w:t>
            </w:r>
          </w:p>
          <w:p w14:paraId="20C898BA">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3.支持协议：TCP/IP，UDP，IGMP(组播)，IETF SIP</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74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6EED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4DC37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E73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3</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D83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纯后级功放</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6F5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总后台功放，用于调节功率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0276">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082E7773">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1.采用2U黑色氧化铝拉丝面板。</w:t>
            </w:r>
          </w:p>
          <w:p w14:paraId="0D8F2C9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2.第三代D类数字功放技术，高效功率放大电路设计。</w:t>
            </w:r>
          </w:p>
          <w:p w14:paraId="6D1F6AE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3.具有良好的管道式散热结构，内置自动温度控制风扇冷却系统。</w:t>
            </w:r>
          </w:p>
          <w:p w14:paraId="478DAC2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w:t>
            </w:r>
            <w:r>
              <w:rPr>
                <w:rFonts w:hint="eastAsia" w:ascii="微软雅黑" w:hAnsi="微软雅黑" w:eastAsia="微软雅黑" w:cs="微软雅黑"/>
                <w:sz w:val="18"/>
                <w:szCs w:val="18"/>
                <w:lang w:val="en-US" w:eastAsia="zh-CN" w:bidi="ar"/>
              </w:rPr>
              <w:t>具备</w:t>
            </w:r>
            <w:r>
              <w:rPr>
                <w:rFonts w:hint="eastAsia" w:ascii="微软雅黑" w:hAnsi="微软雅黑" w:eastAsia="微软雅黑" w:cs="微软雅黑"/>
                <w:sz w:val="18"/>
                <w:szCs w:val="18"/>
                <w:lang w:bidi="ar"/>
              </w:rPr>
              <w:t>通道LINE不平衡TRS/XLR高品质多功能输入接口，</w:t>
            </w:r>
            <w:r>
              <w:rPr>
                <w:rFonts w:hint="eastAsia" w:ascii="微软雅黑" w:hAnsi="微软雅黑" w:eastAsia="微软雅黑" w:cs="微软雅黑"/>
                <w:sz w:val="18"/>
                <w:szCs w:val="18"/>
                <w:lang w:val="en-US" w:eastAsia="zh-CN" w:bidi="ar"/>
              </w:rPr>
              <w:t>具备</w:t>
            </w:r>
            <w:r>
              <w:rPr>
                <w:rFonts w:hint="eastAsia" w:ascii="微软雅黑" w:hAnsi="微软雅黑" w:eastAsia="微软雅黑" w:cs="微软雅黑"/>
                <w:sz w:val="18"/>
                <w:szCs w:val="18"/>
                <w:lang w:bidi="ar"/>
              </w:rPr>
              <w:t>通道LINE平衡XLR级联输出。</w:t>
            </w:r>
          </w:p>
          <w:p w14:paraId="05BB63F8">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5.内置PFC电路和软开关电源技术，开关机自动软启动控制，达到92%的超高系统效率。</w:t>
            </w:r>
          </w:p>
          <w:p w14:paraId="10A5C2D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6.新型功放电路，零交越失真，保证信号在放大过程中的质量无损。</w:t>
            </w:r>
          </w:p>
          <w:p w14:paraId="760F85C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7.内置智能削顶失真和过流压限系统，能有效保护扬声器单元。</w:t>
            </w:r>
          </w:p>
          <w:p w14:paraId="4E62D06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8.具有过温、过压、欠压、过流、短路多重智能检测保护系统。</w:t>
            </w:r>
          </w:p>
          <w:p w14:paraId="1B298D8D">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49A7ABDA">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1.额定输出功率：1500W</w:t>
            </w:r>
          </w:p>
          <w:p w14:paraId="42223D0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2.扬声器输出：4-16Ω,100V </w:t>
            </w:r>
          </w:p>
          <w:p w14:paraId="4D0CCDB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3.输入灵敏度 &amp; 输入阻抗：775mV/10KΩ, 平衡 XLR/TRS接口</w:t>
            </w:r>
          </w:p>
          <w:p w14:paraId="522A2D2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4.输出灵敏度 &amp; 输出源阻抗：775mV/470Ω, 平衡 XLR 接口</w:t>
            </w:r>
          </w:p>
          <w:p w14:paraId="701E820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5.频率响应：80Hz~16KHz(+1dB, -3dB )</w:t>
            </w:r>
          </w:p>
          <w:p w14:paraId="1306B6C4">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6.信噪比：&gt;90dB</w:t>
            </w:r>
          </w:p>
          <w:p w14:paraId="5B920A4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7.总谐波失真：1KHz时0.5%, 1/3 输出功率</w:t>
            </w:r>
          </w:p>
          <w:p w14:paraId="2F546ABD">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8.散热：由前往后强制风冷，散热器温度45度时启动内置风扇</w:t>
            </w:r>
          </w:p>
          <w:p w14:paraId="0C61284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9.保护：过热, 过载&amp;短路</w:t>
            </w:r>
          </w:p>
          <w:p w14:paraId="4348629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10.电源：~220V/50Hz</w:t>
            </w:r>
          </w:p>
          <w:p w14:paraId="1BD512DB">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11.电源功耗 ：1800W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152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8B9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11DE4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E046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4</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F45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42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总控连接线</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A063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1.8米音频连接线：莲花（RCA）-莲花（RCA）</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BF7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B1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324C4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D61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5</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CE4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0C7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总控连接线</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1ED2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1.8米音频连接线：莲花（RCA）-6.35话筒插头</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6E5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F5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1D94F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87A2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6</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9787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460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总控连接线</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08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1.8米音频连接线：3.5（耳机插头）-双莲花（RCA）</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F83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CE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3BF6D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12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85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会议系统</w:t>
            </w:r>
          </w:p>
        </w:tc>
      </w:tr>
      <w:tr w14:paraId="22A56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023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223D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专业音箱</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E1A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会议室前厅大音响</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FC43">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261A2E4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1</w:t>
            </w:r>
            <w:r>
              <w:rPr>
                <w:rFonts w:hint="eastAsia" w:ascii="微软雅黑" w:hAnsi="微软雅黑" w:eastAsia="微软雅黑" w:cs="微软雅黑"/>
                <w:sz w:val="18"/>
                <w:szCs w:val="18"/>
                <w:lang w:bidi="ar"/>
              </w:rPr>
              <w:t>.箱体采用夹板制作，耐磨喷漆处理，外贴防尘网棉。</w:t>
            </w:r>
          </w:p>
          <w:p w14:paraId="48055CB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2</w:t>
            </w:r>
            <w:r>
              <w:rPr>
                <w:rFonts w:hint="eastAsia" w:ascii="微软雅黑" w:hAnsi="微软雅黑" w:eastAsia="微软雅黑" w:cs="微软雅黑"/>
                <w:sz w:val="18"/>
                <w:szCs w:val="18"/>
                <w:lang w:bidi="ar"/>
              </w:rPr>
              <w:t>.分频器优化人声部分的中频表现力。</w:t>
            </w:r>
          </w:p>
          <w:p w14:paraId="2D4DB05B">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6520ECD2">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1.阻抗：8Ω</w:t>
            </w:r>
          </w:p>
          <w:p w14:paraId="6740CBE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2.频响：50Hz~20KHz</w:t>
            </w:r>
          </w:p>
          <w:p w14:paraId="39F5788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3.额定功率：350W</w:t>
            </w:r>
          </w:p>
          <w:p w14:paraId="00F25FF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4.峰值功率：1400W</w:t>
            </w:r>
          </w:p>
          <w:p w14:paraId="48418C2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5.灵敏度：99dB/W/M</w:t>
            </w:r>
          </w:p>
          <w:p w14:paraId="50B4021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6.最大声压级（额定/峰值）：124dB/131dB</w:t>
            </w:r>
          </w:p>
          <w:p w14:paraId="066E5457">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7.覆盖角度：(H)80°(V)60°</w:t>
            </w:r>
          </w:p>
          <w:p w14:paraId="03BCA87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8.高音：1.7"压缩高音单元×1</w:t>
            </w:r>
          </w:p>
          <w:p w14:paraId="29D37F11">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9.低音：12"低音×1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BD8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2B9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只</w:t>
            </w:r>
          </w:p>
        </w:tc>
      </w:tr>
      <w:tr w14:paraId="11DF4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316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CF14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专业功放</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324E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会议室前厅功放</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AAA2C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55B2FF4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1.1U机箱设计。</w:t>
            </w:r>
          </w:p>
          <w:p w14:paraId="23D7E9B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2.采用最新D类数字功放设计方案。</w:t>
            </w:r>
          </w:p>
          <w:p w14:paraId="2CF6E8E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3</w:t>
            </w:r>
            <w:r>
              <w:rPr>
                <w:rFonts w:hint="eastAsia" w:ascii="微软雅黑" w:hAnsi="微软雅黑" w:eastAsia="微软雅黑" w:cs="微软雅黑"/>
                <w:sz w:val="18"/>
                <w:szCs w:val="18"/>
                <w:lang w:bidi="ar"/>
              </w:rPr>
              <w:t xml:space="preserve">.智能削峰限幅器，控制功率模块及扬声器系统在安全范围内工作。 </w:t>
            </w:r>
          </w:p>
          <w:p w14:paraId="12ED31E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4</w:t>
            </w:r>
            <w:r>
              <w:rPr>
                <w:rFonts w:hint="eastAsia" w:ascii="微软雅黑" w:hAnsi="微软雅黑" w:eastAsia="微软雅黑" w:cs="微软雅黑"/>
                <w:sz w:val="18"/>
                <w:szCs w:val="18"/>
                <w:lang w:bidi="ar"/>
              </w:rPr>
              <w:t>.标准XLR输入接口，和LINK输出口，简洁的接口更加方便不同用户需求。</w:t>
            </w:r>
          </w:p>
          <w:p w14:paraId="07AA2FD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5</w:t>
            </w:r>
            <w:r>
              <w:rPr>
                <w:rFonts w:hint="eastAsia" w:ascii="微软雅黑" w:hAnsi="微软雅黑" w:eastAsia="微软雅黑" w:cs="微软雅黑"/>
                <w:sz w:val="18"/>
                <w:szCs w:val="18"/>
                <w:lang w:bidi="ar"/>
              </w:rPr>
              <w:t>.开机软启动，防止开机时向电网吸收大电流，干扰其它用电设备。</w:t>
            </w:r>
          </w:p>
          <w:p w14:paraId="6ED4028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6</w:t>
            </w:r>
            <w:r>
              <w:rPr>
                <w:rFonts w:hint="eastAsia" w:ascii="微软雅黑" w:hAnsi="微软雅黑" w:eastAsia="微软雅黑" w:cs="微软雅黑"/>
                <w:sz w:val="18"/>
                <w:szCs w:val="18"/>
                <w:lang w:bidi="ar"/>
              </w:rPr>
              <w:t xml:space="preserve">.智能控制强制散热设计，风机噪音小，散热效率高等特点。 </w:t>
            </w:r>
          </w:p>
          <w:p w14:paraId="2869D48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7</w:t>
            </w:r>
            <w:r>
              <w:rPr>
                <w:rFonts w:hint="eastAsia" w:ascii="微软雅黑" w:hAnsi="微软雅黑" w:eastAsia="微软雅黑" w:cs="微软雅黑"/>
                <w:sz w:val="18"/>
                <w:szCs w:val="18"/>
                <w:lang w:bidi="ar"/>
              </w:rPr>
              <w:t>.具有单声道、立体声、桥接三种模式可选择切换。</w:t>
            </w:r>
          </w:p>
          <w:p w14:paraId="3BA829F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8</w:t>
            </w:r>
            <w:r>
              <w:rPr>
                <w:rFonts w:hint="eastAsia" w:ascii="微软雅黑" w:hAnsi="微软雅黑" w:eastAsia="微软雅黑" w:cs="微软雅黑"/>
                <w:sz w:val="18"/>
                <w:szCs w:val="18"/>
                <w:lang w:bidi="ar"/>
              </w:rPr>
              <w:t>.具有：过压保护，欠压保护，过流保护，直流保护，输出短路保护，温控风扇等功能。</w:t>
            </w:r>
          </w:p>
          <w:p w14:paraId="1BA522D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2AEAEC6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1.输出功率：立体声@8Ω：500W×2；立体声@4Ω：850W×2；桥接@8Ω：1700W</w:t>
            </w:r>
          </w:p>
          <w:p w14:paraId="28CB016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2.输入灵敏度：2.2dBu(1V)/8.2dBu(2V)</w:t>
            </w:r>
          </w:p>
          <w:p w14:paraId="498A6DE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3.输入阻抗：10KΩ </w:t>
            </w:r>
          </w:p>
          <w:p w14:paraId="6808685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4.频率响应(@1W功率下)：20Hz-20KHz/±1dB @8Ω</w:t>
            </w:r>
          </w:p>
          <w:p w14:paraId="6EF99F4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5.THD+N(@1/8功率下) ：≤0.01%</w:t>
            </w:r>
          </w:p>
          <w:p w14:paraId="62881CC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6.分离度(@1KHz) ：≥80dB</w:t>
            </w:r>
          </w:p>
          <w:p w14:paraId="023DC64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7.阻尼系数(@1KHz) ：≥200@ 8 ohms </w:t>
            </w:r>
          </w:p>
          <w:p w14:paraId="7664E8A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8.信噪比（A计权）：≥100dB</w:t>
            </w:r>
          </w:p>
          <w:p w14:paraId="056A7F1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9.输入电压：~220V/50Hz</w:t>
            </w:r>
          </w:p>
          <w:p w14:paraId="389EFBA1">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10.最大功耗：1200W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B2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B5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237CB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D76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C0FE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专业音箱</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1C10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会议室中厅大音响</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1F4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54F11DC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1</w:t>
            </w:r>
            <w:r>
              <w:rPr>
                <w:rFonts w:hint="eastAsia" w:ascii="微软雅黑" w:hAnsi="微软雅黑" w:eastAsia="微软雅黑" w:cs="微软雅黑"/>
                <w:sz w:val="18"/>
                <w:szCs w:val="18"/>
                <w:lang w:bidi="ar"/>
              </w:rPr>
              <w:t>.箱体采用夹板制作，耐磨喷漆处理，外贴防尘网棉。</w:t>
            </w:r>
          </w:p>
          <w:p w14:paraId="0881CFFA">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2</w:t>
            </w:r>
            <w:r>
              <w:rPr>
                <w:rFonts w:hint="eastAsia" w:ascii="微软雅黑" w:hAnsi="微软雅黑" w:eastAsia="微软雅黑" w:cs="微软雅黑"/>
                <w:sz w:val="18"/>
                <w:szCs w:val="18"/>
                <w:lang w:bidi="ar"/>
              </w:rPr>
              <w:t>.分频器优化人声部分的中频表现力。</w:t>
            </w:r>
          </w:p>
          <w:p w14:paraId="16E6873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0A90243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1.阻抗：8Ω</w:t>
            </w:r>
          </w:p>
          <w:p w14:paraId="6D9EBAB7">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2.频响：55Hz~20KHz</w:t>
            </w:r>
          </w:p>
          <w:p w14:paraId="7ABB92FB">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3.额定功率：300W</w:t>
            </w:r>
          </w:p>
          <w:p w14:paraId="00CEFE43">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4.峰值功率：1200W</w:t>
            </w:r>
          </w:p>
          <w:p w14:paraId="36C0D08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5.灵敏度：98dB/W/M</w:t>
            </w:r>
          </w:p>
          <w:p w14:paraId="376FDA2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6.最大声压级（额定/峰值）：123dB/129dB</w:t>
            </w:r>
          </w:p>
          <w:p w14:paraId="6E321C94">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7.覆盖角度：(H)80°(V)60°</w:t>
            </w:r>
          </w:p>
          <w:p w14:paraId="4FC601E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8.高音：压缩高音单元×1</w:t>
            </w:r>
          </w:p>
          <w:p w14:paraId="07DD609B">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9.低音：10"低音×1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979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1F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只</w:t>
            </w:r>
          </w:p>
        </w:tc>
      </w:tr>
      <w:tr w14:paraId="3BB1F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2BB6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349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专业功放</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89C9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会议室中厅功放</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FBB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5B42775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1.1U机箱设计。</w:t>
            </w:r>
          </w:p>
          <w:p w14:paraId="37471B2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2.采用最新D类数字功放设计方案。</w:t>
            </w:r>
          </w:p>
          <w:p w14:paraId="0E74B73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3</w:t>
            </w:r>
            <w:r>
              <w:rPr>
                <w:rFonts w:hint="eastAsia" w:ascii="微软雅黑" w:hAnsi="微软雅黑" w:eastAsia="微软雅黑" w:cs="微软雅黑"/>
                <w:sz w:val="18"/>
                <w:szCs w:val="18"/>
                <w:lang w:bidi="ar"/>
              </w:rPr>
              <w:t xml:space="preserve">.智能削峰限幅器，控制功率模块及扬声器系统在安全范围内工作。 </w:t>
            </w:r>
          </w:p>
          <w:p w14:paraId="20595973">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4</w:t>
            </w:r>
            <w:r>
              <w:rPr>
                <w:rFonts w:hint="eastAsia" w:ascii="微软雅黑" w:hAnsi="微软雅黑" w:eastAsia="微软雅黑" w:cs="微软雅黑"/>
                <w:sz w:val="18"/>
                <w:szCs w:val="18"/>
                <w:lang w:bidi="ar"/>
              </w:rPr>
              <w:t>.标准XLR输入接口，和LINK输出口，简洁的接口更加方便不同用户需求。</w:t>
            </w:r>
          </w:p>
          <w:p w14:paraId="481D048B">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5</w:t>
            </w:r>
            <w:r>
              <w:rPr>
                <w:rFonts w:hint="eastAsia" w:ascii="微软雅黑" w:hAnsi="微软雅黑" w:eastAsia="微软雅黑" w:cs="微软雅黑"/>
                <w:sz w:val="18"/>
                <w:szCs w:val="18"/>
                <w:lang w:bidi="ar"/>
              </w:rPr>
              <w:t>.开机软启动，防止开机时向电网吸收大电流，干扰其它用电设备。</w:t>
            </w:r>
          </w:p>
          <w:p w14:paraId="3601D1DD">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6</w:t>
            </w:r>
            <w:r>
              <w:rPr>
                <w:rFonts w:hint="eastAsia" w:ascii="微软雅黑" w:hAnsi="微软雅黑" w:eastAsia="微软雅黑" w:cs="微软雅黑"/>
                <w:sz w:val="18"/>
                <w:szCs w:val="18"/>
                <w:lang w:bidi="ar"/>
              </w:rPr>
              <w:t xml:space="preserve">.智能控制强制散热设计，风机噪音小，散热效率高等特点。 </w:t>
            </w:r>
          </w:p>
          <w:p w14:paraId="7800EC1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7</w:t>
            </w:r>
            <w:r>
              <w:rPr>
                <w:rFonts w:hint="eastAsia" w:ascii="微软雅黑" w:hAnsi="微软雅黑" w:eastAsia="微软雅黑" w:cs="微软雅黑"/>
                <w:sz w:val="18"/>
                <w:szCs w:val="18"/>
                <w:lang w:bidi="ar"/>
              </w:rPr>
              <w:t>.具有单声道、立体声、桥接三种模式可选择切换。</w:t>
            </w:r>
          </w:p>
          <w:p w14:paraId="6FA1106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8</w:t>
            </w:r>
            <w:r>
              <w:rPr>
                <w:rFonts w:hint="eastAsia" w:ascii="微软雅黑" w:hAnsi="微软雅黑" w:eastAsia="微软雅黑" w:cs="微软雅黑"/>
                <w:sz w:val="18"/>
                <w:szCs w:val="18"/>
                <w:lang w:bidi="ar"/>
              </w:rPr>
              <w:t>.具有：过压保护，欠压保护，过流保护，直流保护，输出短路保护，温控风扇等功能。</w:t>
            </w:r>
          </w:p>
          <w:p w14:paraId="213F6E3E">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6F01975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1.输出功率：立体声@8Ω：500W×2；立体声@4Ω：850W×2；桥接@8Ω：1700W</w:t>
            </w:r>
          </w:p>
          <w:p w14:paraId="2DDD4EA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2.输入灵敏度：2.2dBu(1V)/8.2dBu(2V)</w:t>
            </w:r>
          </w:p>
          <w:p w14:paraId="2219E393">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3.输入阻抗：10KΩ </w:t>
            </w:r>
          </w:p>
          <w:p w14:paraId="4770D1C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4.频率响应(@1W功率下)：20Hz-20KHz/±1dB @8Ω</w:t>
            </w:r>
          </w:p>
          <w:p w14:paraId="1F5ACF7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5.THD+N(@1/8功率下) ：≤0.01%</w:t>
            </w:r>
          </w:p>
          <w:p w14:paraId="100E6FFD">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6.分离度(@1KHz) ：≥80dB</w:t>
            </w:r>
          </w:p>
          <w:p w14:paraId="347607B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7.阻尼系数(@1KHz) ：≥200@ 8 ohms </w:t>
            </w:r>
          </w:p>
          <w:p w14:paraId="3B6A85F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8.信噪比（A计权）：≥100dB</w:t>
            </w:r>
          </w:p>
          <w:p w14:paraId="19AA7A2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9.输入电压：~220V/50Hz</w:t>
            </w:r>
          </w:p>
          <w:p w14:paraId="53C4115A">
            <w:pP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10.最大功耗：1200W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1A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3E9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11A8E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F6C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DECD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支架</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ACF3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音响支架</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5A57">
            <w:pPr>
              <w:keepNext w:val="0"/>
              <w:keepLines w:val="0"/>
              <w:widowControl/>
              <w:suppressLineNumbers w:val="0"/>
              <w:jc w:val="left"/>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固定面板孔位尺寸（长*宽）：适配设备</w:t>
            </w:r>
          </w:p>
          <w:p w14:paraId="1EA113AE">
            <w:pPr>
              <w:keepNext w:val="0"/>
              <w:keepLines w:val="0"/>
              <w:widowControl/>
              <w:suppressLineNumbers w:val="0"/>
              <w:jc w:val="left"/>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箱体固定面板孔位尺寸（长*宽）： 适配设备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32D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7E9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只</w:t>
            </w:r>
          </w:p>
        </w:tc>
      </w:tr>
      <w:tr w14:paraId="5901B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1384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F1A0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调音台</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65D8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中控调音设备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51577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612C57A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1、专业型紧凑式调音台,超低噪声离散式麦克风前置放大器和+48V幻象电源。</w:t>
            </w:r>
          </w:p>
          <w:p w14:paraId="4F2C8AF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2、提供8路Mic输入接口兼容6路线路输入接口，话筒输入接口带48V幻象电源。</w:t>
            </w:r>
          </w:p>
          <w:p w14:paraId="4A01BC9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3、提供2组立体声输入，4路RCA输入，可连接立体设备。</w:t>
            </w:r>
          </w:p>
          <w:p w14:paraId="1E9854C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4、提供2组立体主输出、4路编组输出、4路辅助输出、1组立体声监听输出、1个耳机监听输出、2个效果输出。</w:t>
            </w:r>
          </w:p>
          <w:p w14:paraId="260DCDF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5、提供1组主混音断点插入、6个断点插入，可连接额外的处理器（压缩器、均衡器。限幅器等）。</w:t>
            </w:r>
          </w:p>
          <w:p w14:paraId="5ADCB32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6、具有13个60mm行程的高精密碳膜推子。</w:t>
            </w:r>
          </w:p>
          <w:p w14:paraId="55C76ED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7、内置MP3播放器，支持1路USB接口，外接U盘播放音乐。</w:t>
            </w:r>
          </w:p>
          <w:p w14:paraId="1C431AC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8、内置USB声卡，连接电脑进行音乐播放和声音录音。</w:t>
            </w:r>
          </w:p>
          <w:p w14:paraId="2731DE3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9、内置24位DSP效果器，提供100种预设效果。</w:t>
            </w:r>
          </w:p>
          <w:p w14:paraId="1AFC7D2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10、提供1个USB供电接口，可连接USB照明灯。</w:t>
            </w:r>
          </w:p>
          <w:p w14:paraId="5520F57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11.支持7段图示均衡推子调节。</w:t>
            </w:r>
          </w:p>
          <w:p w14:paraId="5D5B6CD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6EDF965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1.麦克风输入：8路（8个XLR接口）</w:t>
            </w:r>
          </w:p>
          <w:p w14:paraId="1BD0BE4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2.线路输入：6路单插单声道/立体声自动切换混合接口</w:t>
            </w:r>
          </w:p>
          <w:p w14:paraId="297D8CE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3.立体声输入通道：2组（4路单声道）、4路RCA输入</w:t>
            </w:r>
          </w:p>
          <w:p w14:paraId="6287FCE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4.输出通道：2组立体主输出、4路编组输出、4路辅助输出、1组立体声监听输出、1个耳机监听输出、2个效果输出</w:t>
            </w:r>
          </w:p>
          <w:p w14:paraId="6377D73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5.INSERT：1组主混音断点插入、6个断点插入</w:t>
            </w:r>
          </w:p>
          <w:p w14:paraId="69E5FF0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6.USB接口：外接U盘播放音乐</w:t>
            </w:r>
          </w:p>
          <w:p w14:paraId="0E86535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7.效果器：24位DSP效果器（包括人声、小房子、大厅、回声、回声+回响、盘子、声乐板、合唱GTR，旋转GTR、颤音GTR类型），100种预设效果</w:t>
            </w:r>
          </w:p>
          <w:p w14:paraId="17A350D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8.USB声卡端口：支持电脑播放/录音，通过CH11/12通道回放</w:t>
            </w:r>
          </w:p>
          <w:p w14:paraId="1243FF4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9.幻象电源：+48V带开关</w:t>
            </w:r>
          </w:p>
          <w:p w14:paraId="6F03659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10.频率响应：20Hz-20kHz，±2dB</w:t>
            </w:r>
          </w:p>
          <w:p w14:paraId="0DFDD86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11.失真度：&lt;0.03% at+0dB,22Hz-22KHz A-weighted</w:t>
            </w:r>
          </w:p>
          <w:p w14:paraId="1326AFF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12.灵敏度：+21dB~-30dB</w:t>
            </w:r>
          </w:p>
          <w:p w14:paraId="772E193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13.信噪比：&lt;-100dBr A-weighted</w:t>
            </w:r>
          </w:p>
          <w:p w14:paraId="63BEA0E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14.单声道均衡：高频：+/-15dB @12KHz；中频：+/-15dB @100Hz-8KHz；低频：+/-15dB @80Hz</w:t>
            </w:r>
          </w:p>
          <w:p w14:paraId="10B595D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15.立体声均衡：高频：+/-15dB @12KHz；中频：+/-15dB @3KHz or +/-15dB @500Hz；低频：+/-15dB @80Hz</w:t>
            </w:r>
          </w:p>
          <w:p w14:paraId="684EF23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16.主混音串音：&lt;-80dB @0dB 20Hz-22KHz A-weighted，主输出：0dB,其他通道：最小</w:t>
            </w:r>
          </w:p>
          <w:p w14:paraId="032C729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17.电平表：2x12-点距LED电平指示表</w:t>
            </w:r>
          </w:p>
          <w:p w14:paraId="2C8FFF7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18.供电电压：AC 100-240V 50/60Hz</w:t>
            </w:r>
          </w:p>
          <w:p w14:paraId="74C3582A">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19.额定功率：30W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2C1B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4A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7A709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601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A069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抑制器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215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音频信号控制器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3CE8F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7120325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1.高性能DSP处理，40-bit DPS处理器,高精度32-bit/48kHz AD/DA。</w:t>
            </w:r>
          </w:p>
          <w:p w14:paraId="40C1F49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2.采用“陷波”+“移频”双方式进行反馈抑制。陷波器提供12固定点+12动态点。高精度移频，范围为-10Hz到10Hz。</w:t>
            </w:r>
          </w:p>
          <w:p w14:paraId="663DDA4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3.具有噪声门功能，用于消除噪声。提供同时提供多种参数设置，方便现场灵活应用。</w:t>
            </w:r>
          </w:p>
          <w:p w14:paraId="711A39D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4.具有噪声门功能，用于限制输出大小。提供同时提供多种参数设置，方便现场灵活应用。</w:t>
            </w:r>
          </w:p>
          <w:p w14:paraId="1AA181E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5.具有均衡器功能，提供图示均衡器和参量均衡器类型，提供8段参量均衡器和31段图示均衡器可选。图示均衡器支持高架、底架、参量滤波器多种类型。图示均衡器支持单点带宽模式配置。</w:t>
            </w:r>
          </w:p>
          <w:p w14:paraId="3369E0D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6.具有分频器功能，具有贝塞尔、林克威治-瑞利、巴特沃斯三种滤波器类型及6/12/18/24/32/48db/oct多种可选，滤波器全频段可调。.</w:t>
            </w:r>
          </w:p>
          <w:p w14:paraId="126834D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7.具有自动增益功能，声音达到一定峰值自动衰减变小，声音较小则自动增益放大；使音量保持在一定范围。</w:t>
            </w:r>
          </w:p>
          <w:p w14:paraId="08F398A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8.具有320*240 2英寸IPS真彩显示屏，方便快速操作，采用单键飞梭快捷操作，快速实现模式、直通、锁定及中英文选择功能。</w:t>
            </w:r>
          </w:p>
          <w:p w14:paraId="6BD98AE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9.具有48个陷波器状态LED指示灯，实时显示陷波器状态。</w:t>
            </w:r>
          </w:p>
          <w:p w14:paraId="237BAB2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10.支持4个场景切换，灵活导入和导出场景数据。</w:t>
            </w:r>
          </w:p>
          <w:p w14:paraId="2435206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11.支持恢复出厂设置、设备定位、断电自动保护记忆。</w:t>
            </w:r>
          </w:p>
          <w:p w14:paraId="25871CF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12.支持通过后台管理软件对多台设备进行批量升级。</w:t>
            </w:r>
          </w:p>
          <w:p w14:paraId="16D7839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13.以太网Enternet接口，可通过网络实时在线同时管控多台设备。</w:t>
            </w:r>
          </w:p>
          <w:p w14:paraId="48F0214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14.PC软件界面美观，操作人性化，可工作在XP/Windows7、 8、10 等系统环境下。</w:t>
            </w:r>
          </w:p>
          <w:p w14:paraId="35F7E98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4B4DD61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1.输入通道及插座：2路XLR与TRS多功能座模拟输入</w:t>
            </w:r>
          </w:p>
          <w:p w14:paraId="6924020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2.输出通道及插座：2路XLR公座+2路TRS公座 模拟输出</w:t>
            </w:r>
          </w:p>
          <w:p w14:paraId="01912E5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3.输入阻抗：平衡：20KΩ</w:t>
            </w:r>
          </w:p>
          <w:p w14:paraId="2273E31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4.输出阻抗：平衡：100Ω</w:t>
            </w:r>
          </w:p>
          <w:p w14:paraId="78D95E3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5.输入范围：≤+20dBu</w:t>
            </w:r>
          </w:p>
          <w:p w14:paraId="6947C54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6.频率响应：20Hz-20kHz（±0.5dB）</w:t>
            </w:r>
          </w:p>
          <w:p w14:paraId="7BFEDAD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7.信噪比：≥103dB@1kHz 20dBu（A计权）</w:t>
            </w:r>
          </w:p>
          <w:p w14:paraId="201DEF3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8.失真度：&lt;0.012% OUTPUT=0dBu/1kHz</w:t>
            </w:r>
          </w:p>
          <w:p w14:paraId="6E09600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9.通道分离度：&gt;82dB(1kHz)</w:t>
            </w:r>
          </w:p>
          <w:p w14:paraId="46D0327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10.啸叫寻找与抑制方式：全自动式陷波</w:t>
            </w:r>
          </w:p>
          <w:p w14:paraId="46353E2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11.滤波器：24个每通道</w:t>
            </w:r>
          </w:p>
          <w:p w14:paraId="676A635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12.Q值范围：10-50</w:t>
            </w:r>
          </w:p>
          <w:p w14:paraId="76E29C3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13.频率分辨率：1Hz</w:t>
            </w:r>
          </w:p>
          <w:p w14:paraId="592A920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14.啸叫寻找时间：0.1—0.5S</w:t>
            </w:r>
          </w:p>
          <w:p w14:paraId="2B42258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15.FFT长度：1024</w:t>
            </w:r>
          </w:p>
          <w:p w14:paraId="1B35C70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16.传声增益：4—10dB</w:t>
            </w:r>
          </w:p>
          <w:p w14:paraId="71F2FE8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17.系统增益：0dB</w:t>
            </w:r>
          </w:p>
          <w:p w14:paraId="1E77A10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18.陷波器：双通道各12个静态点+12个动态点</w:t>
            </w:r>
          </w:p>
          <w:p w14:paraId="0A70F88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19.分频器：具有巴特沃斯，贝塞尔，林克威治-瑞利三种高低通滤波器</w:t>
            </w:r>
          </w:p>
          <w:p w14:paraId="3FAEE08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20.均衡器：31段图示均衡器+8段参量均衡器</w:t>
            </w:r>
          </w:p>
          <w:p w14:paraId="4C983D1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21.显示：2英寸IPS真彩显示屏，分辨率320*240；48个陷波器状态LED指示灯</w:t>
            </w:r>
          </w:p>
          <w:p w14:paraId="14549F6A">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22.处理器：48kHz采样频率，40-bit DSP处理器；32-bit A/D及D/A转换</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A1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C70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374F4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C748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A3A4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音频处理器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CD5F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数字音频矩阵处理器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4B2FF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3CFCD98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1.输入：4路平衡式线路输入，采用标准卡侬接口，平衡接法。 </w:t>
            </w:r>
          </w:p>
          <w:p w14:paraId="584F5AC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2.输出：8路平衡式线路输出，采用标准卡侬接口，平衡接法。</w:t>
            </w:r>
          </w:p>
          <w:p w14:paraId="12223CF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3.提供24bit/48KHz卓越的高品质声音。</w:t>
            </w:r>
          </w:p>
          <w:p w14:paraId="276D65F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4.全功能矩阵混音，提供用户灵活、简单的信号路由操作，路由路径和电平大小可在一个按钮上完成。</w:t>
            </w:r>
          </w:p>
          <w:p w14:paraId="61E13BE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5.支持FIR滤波器</w:t>
            </w:r>
          </w:p>
          <w:p w14:paraId="443EF11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6.内置数字音频处理算法：增益、延迟、EQ、混音矩阵、压缩器、分配和限幅器。</w:t>
            </w:r>
          </w:p>
          <w:p w14:paraId="3BF4EB6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7.支持断电自动保护记忆功能。</w:t>
            </w:r>
          </w:p>
          <w:p w14:paraId="57DA8AF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8.支持通道联控功能。</w:t>
            </w:r>
          </w:p>
          <w:p w14:paraId="22019B9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9.支持USB和RJ45两种连接方式，实现PC软件控制，支持RS232控制，提供第三方控制协议，用于对接中控系统</w:t>
            </w:r>
          </w:p>
          <w:p w14:paraId="4F4899B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10.配备管理控制软件；软件界面直观、图形化，可工作在XP/Windows7、8、10等系统环境下。</w:t>
            </w:r>
          </w:p>
          <w:p w14:paraId="0A4C200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67E3317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1.输入：前级放大、延时器、扩展器、压缩器、31段图示均衡</w:t>
            </w:r>
          </w:p>
          <w:p w14:paraId="2B78B7E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2.输出：15段参量均衡器、延时器、分频器、FIR滤波器、高低通滤波器、限幅器</w:t>
            </w:r>
          </w:p>
          <w:p w14:paraId="7340F15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3.采样率：48K</w:t>
            </w:r>
          </w:p>
          <w:p w14:paraId="6ACE582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4.频率响应：20Hz-20kHz ±0.5dB</w:t>
            </w:r>
          </w:p>
          <w:p w14:paraId="0CB20D4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5.总谐波失真+噪声：＜0.002% @1kHz ,4dBu</w:t>
            </w:r>
          </w:p>
          <w:p w14:paraId="7BF9037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6.数/模动态范围(A-计权)：120dB</w:t>
            </w:r>
          </w:p>
          <w:p w14:paraId="72C574D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7.模/数动态范围(A-计权)：120dB</w:t>
            </w:r>
          </w:p>
          <w:p w14:paraId="40C5842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8.输入阻抗(平衡式)：20KΩ；</w:t>
            </w:r>
          </w:p>
          <w:p w14:paraId="04CB7AC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9.最大输出阻抗（平衡式)：100Ω；</w:t>
            </w:r>
          </w:p>
          <w:p w14:paraId="27E20E1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10.通道隔离度：1kHz，100dB</w:t>
            </w:r>
          </w:p>
          <w:p w14:paraId="6AA0A37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11.输入共模抑制：60Hz，80dB</w:t>
            </w:r>
          </w:p>
          <w:p w14:paraId="2D3CA7B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12.最大输出电平：+20dBu，平衡</w:t>
            </w:r>
          </w:p>
          <w:p w14:paraId="64AADAA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13.最大输入电平：+20dBu，平衡</w:t>
            </w:r>
          </w:p>
          <w:p w14:paraId="2357FD1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14.工作温度：0℃-40℃</w:t>
            </w:r>
          </w:p>
          <w:p w14:paraId="58FD3E8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15.工作电源：AC110V-220V,50Hz/60Hz</w:t>
            </w:r>
          </w:p>
          <w:p w14:paraId="171C7B7C">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16.电源功耗：&lt;40W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A2A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9AB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53C6F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34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F4E0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网络中控主机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3486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BCAD5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1.采用SMT全贴片式生产工艺，高度集成处理芯片，系统运行稳定、流畅。内置32位Cortex-A8 ARM架构内嵌式处理器，处理速度高达720MHz。</w:t>
            </w:r>
          </w:p>
          <w:p w14:paraId="281413D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2.支持红外控制、RS-232、RS-422、RS-485、UDP、TCP、telnet、http、MQTT以及SNMP等多种协议，兼容性强，可对接第三方设备。</w:t>
            </w:r>
          </w:p>
          <w:p w14:paraId="6222D96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3.主机具备不少于4.3英寸触摸彩屏、≥8路独立可编程串口、≥8路独立可编程IR红外发射口、≥8路数字I/0控制口、≥8路弱电继电器控制接口、≥1个NET网络控制接口、≥1路TF卡接口。</w:t>
            </w:r>
          </w:p>
          <w:p w14:paraId="15346DF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4.支持状态反馈。操作人员可在控制端查看所有设备开关状态，设备受控情况一目了然。</w:t>
            </w:r>
          </w:p>
          <w:p w14:paraId="06EA70A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5.支持信号预览。用户可通过控制端查看会议摄像机画面并根据会议画面对设备进行调整，同时可查看多路画面。</w:t>
            </w:r>
          </w:p>
          <w:p w14:paraId="30C76F6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6.支持双机热备份。当中控主机出现故障时，备用中控主机自动承担服务，切换时间小于1.2s，从而保证系统在不需要人工干预的情况下能正常运行。</w:t>
            </w:r>
          </w:p>
          <w:p w14:paraId="58F94F5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7.支持触发联动。中控主机可根据传感器采集数据和预设数据进行比对，从而自动控制空调或加湿器等设备，使环境维持在舒适的温湿度范围内。</w:t>
            </w:r>
          </w:p>
          <w:p w14:paraId="462AF46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8.支持互联网控制。中控主机在连接互联网的情况下，用户可操作手机或平板等移动端通过互联网实现对中控主机远程控制。</w:t>
            </w:r>
          </w:p>
          <w:p w14:paraId="04188A2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9.支持语音控制。中控主机可搭配语音控制软件或支持对接主机的第三方语音音箱，通过将语音转换成中控指令，实现对周边设备控制或场景调用。</w:t>
            </w:r>
          </w:p>
          <w:p w14:paraId="331077F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10.支持定时控制。用户可预先设置定时控制任务，到达指定时间后，中控主机自动执行控制任务。</w:t>
            </w:r>
          </w:p>
          <w:p w14:paraId="23F1CA6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11.支持视频矩阵可视化控制。用户可通过控制端实时预览、拖动并切换矩阵视频信号，支持设置触碰和投放触发切换方式。</w:t>
            </w:r>
          </w:p>
          <w:p w14:paraId="6FDD130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12.支持拼接矩阵可视化控制。用户可通过控制端实时预览、放大、缩小、拖动并切换拼接矩阵视频信号，可对输入信号源进行置底、置顶以及一键清屏等操作，支持设置触碰和投放触发切换方式。</w:t>
            </w:r>
          </w:p>
          <w:p w14:paraId="3F3C811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14.支持电脑远程控制。当中控主机和电脑在同一局域网情况下，用户可通过控制端APP实时对电脑远程桌面控制并查看电脑工作状态。</w:t>
            </w:r>
          </w:p>
          <w:p w14:paraId="5BBBF3A7">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15.对接云会务系统。用户通过手机APP或WEB端预约会议室时，可设置情景类型以及开始/结束时间。会议开始前，系统会自动调用场景，场景内所有设备联动启动或切换；会议结束后设备自动关闭。</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3F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8D6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0FC0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62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966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触摸屏</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8037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音响总控配套中屏</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A7479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064D81E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1．CPU：四核64位,Cortex-A55,2.0G</w:t>
            </w:r>
          </w:p>
          <w:p w14:paraId="2A40C42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2．RAM：LPDDR-2G</w:t>
            </w:r>
          </w:p>
          <w:p w14:paraId="5DE2EA0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3．内存：EMMC-16G内置（可扩展TF卡）</w:t>
            </w:r>
          </w:p>
          <w:p w14:paraId="7E639FA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4．操作系统：Android 11.0</w:t>
            </w:r>
          </w:p>
          <w:p w14:paraId="45DAA10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5．显示屏：LED背光  液晶屏  A规</w:t>
            </w:r>
          </w:p>
          <w:p w14:paraId="161351D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6．分辨率：</w:t>
            </w:r>
            <w:r>
              <w:rPr>
                <w:rFonts w:hint="eastAsia" w:ascii="微软雅黑" w:hAnsi="微软雅黑" w:eastAsia="微软雅黑" w:cs="微软雅黑"/>
                <w:sz w:val="18"/>
                <w:szCs w:val="18"/>
                <w:lang w:eastAsia="zh-CN" w:bidi="ar"/>
              </w:rPr>
              <w:t>≥</w:t>
            </w:r>
            <w:r>
              <w:rPr>
                <w:rFonts w:hint="eastAsia" w:ascii="微软雅黑" w:hAnsi="微软雅黑" w:eastAsia="微软雅黑" w:cs="微软雅黑"/>
                <w:sz w:val="18"/>
                <w:szCs w:val="18"/>
                <w:lang w:bidi="ar"/>
              </w:rPr>
              <w:t>1280*800</w:t>
            </w:r>
          </w:p>
          <w:p w14:paraId="76664FD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7．可视区：</w:t>
            </w:r>
            <w:r>
              <w:rPr>
                <w:rFonts w:hint="eastAsia" w:ascii="微软雅黑" w:hAnsi="微软雅黑" w:eastAsia="微软雅黑" w:cs="微软雅黑"/>
                <w:sz w:val="18"/>
                <w:szCs w:val="18"/>
                <w:lang w:eastAsia="zh-CN" w:bidi="ar"/>
              </w:rPr>
              <w:t>≥</w:t>
            </w:r>
            <w:r>
              <w:rPr>
                <w:rFonts w:hint="eastAsia" w:ascii="微软雅黑" w:hAnsi="微软雅黑" w:eastAsia="微软雅黑" w:cs="微软雅黑"/>
                <w:sz w:val="18"/>
                <w:szCs w:val="18"/>
                <w:lang w:bidi="ar"/>
              </w:rPr>
              <w:t>216.5*135 mm</w:t>
            </w:r>
          </w:p>
          <w:p w14:paraId="680854A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8．对比度：2000:1</w:t>
            </w:r>
          </w:p>
          <w:p w14:paraId="0250505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9．亮度：300cd/m2</w:t>
            </w:r>
          </w:p>
          <w:p w14:paraId="6900066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10．屏幕比例：16：10</w:t>
            </w:r>
          </w:p>
          <w:p w14:paraId="5F6C6D7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11．触摸屏：</w:t>
            </w:r>
            <w:r>
              <w:rPr>
                <w:rFonts w:hint="eastAsia" w:ascii="微软雅黑" w:hAnsi="微软雅黑" w:eastAsia="微软雅黑" w:cs="微软雅黑"/>
                <w:sz w:val="18"/>
                <w:szCs w:val="18"/>
                <w:lang w:eastAsia="zh-CN" w:bidi="ar"/>
              </w:rPr>
              <w:t>≥</w:t>
            </w:r>
            <w:r>
              <w:rPr>
                <w:rFonts w:hint="eastAsia" w:ascii="微软雅黑" w:hAnsi="微软雅黑" w:eastAsia="微软雅黑" w:cs="微软雅黑"/>
                <w:sz w:val="18"/>
                <w:szCs w:val="18"/>
                <w:lang w:bidi="ar"/>
              </w:rPr>
              <w:t>10.1英寸电容式触摸屏</w:t>
            </w:r>
          </w:p>
          <w:p w14:paraId="3CF9F55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12．灯条：IO口协议，内置七色LED灯条</w:t>
            </w:r>
          </w:p>
          <w:p w14:paraId="612F512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13．媒体播放：视频格式：MPEG-1,MPEG-2,MPEG-4,H.263,H.264,VC1,RV</w:t>
            </w:r>
          </w:p>
          <w:p w14:paraId="50901AF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14．音频格式：MP3/WMA/AAC</w:t>
            </w:r>
          </w:p>
          <w:p w14:paraId="11DDED8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15．图片格式：jpeg</w:t>
            </w:r>
          </w:p>
          <w:p w14:paraId="190FF28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16．喇叭：8Ω 1W×2</w:t>
            </w:r>
          </w:p>
          <w:p w14:paraId="53C77BD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17．摄像头：前置200W</w:t>
            </w:r>
          </w:p>
          <w:p w14:paraId="01E6D99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18．通信接口：1个，10M/100M/1000M自适应以太网</w:t>
            </w:r>
          </w:p>
          <w:p w14:paraId="03512D9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19．背出接口：支持网口与485串口背出，适用于嵌入式安装</w:t>
            </w:r>
          </w:p>
          <w:p w14:paraId="745F75B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20．侧面控制接口：干接点NO/NC/COM接口</w:t>
            </w:r>
          </w:p>
          <w:p w14:paraId="3C48572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21．其他接口：2个外置USB 3.0接口(1路为USB_OTG)</w:t>
            </w:r>
          </w:p>
          <w:p w14:paraId="02C82AB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22．WiFi/3G/4G/蓝牙：支持WIFI-2.4G、BT-4.1</w:t>
            </w:r>
          </w:p>
          <w:p w14:paraId="107FA57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23．POE：支持，IEEE802.3at/af</w:t>
            </w:r>
          </w:p>
          <w:p w14:paraId="7E2631F8">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sz w:val="18"/>
                <w:szCs w:val="18"/>
                <w:lang w:bidi="ar"/>
              </w:rPr>
              <w:t>24．供电：支持POE/DC12V供电</w:t>
            </w:r>
            <w:r>
              <w:rPr>
                <w:rFonts w:hint="eastAsia" w:ascii="微软雅黑" w:hAnsi="微软雅黑" w:eastAsia="微软雅黑" w:cs="微软雅黑"/>
                <w:i w:val="0"/>
                <w:iCs w:val="0"/>
                <w:color w:val="000000"/>
                <w:kern w:val="0"/>
                <w:sz w:val="18"/>
                <w:szCs w:val="18"/>
                <w:u w:val="none"/>
                <w:lang w:val="en-US" w:eastAsia="zh-CN" w:bidi="ar"/>
              </w:rPr>
              <w:t>29．操作湿度：30%～85%</w:t>
            </w:r>
          </w:p>
          <w:p w14:paraId="722125DD">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30．存储温度：-10℃～50℃</w:t>
            </w:r>
          </w:p>
          <w:p w14:paraId="1C83E596">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31．存储湿度：10%～90%</w:t>
            </w:r>
          </w:p>
          <w:p w14:paraId="72B92759">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32．海拔高度：2000米以下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944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240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7C39A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2DD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550B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电源管理器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3478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用于控制设备进出通道</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35DA">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功能特点</w:t>
            </w:r>
          </w:p>
          <w:p w14:paraId="35C45F79">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1.设备采用标准1U机箱设计。</w:t>
            </w:r>
          </w:p>
          <w:p w14:paraId="5CBD6D9B">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2.8通道电源时序打开/关闭。</w:t>
            </w:r>
          </w:p>
          <w:p w14:paraId="75150818">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3.远程控制（上电+24V直流信号）8通道电源时序打开/关闭—当船型开关处于off位置时有效。支持配置CH1和CH2通道为受控或不受控状态。</w:t>
            </w:r>
          </w:p>
          <w:p w14:paraId="0D6C256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4.当远程控制有效时同时控制后板ALARM（报警）端口导通以起到级联控制ALARM（报警）功能。</w:t>
            </w:r>
          </w:p>
          <w:p w14:paraId="02F3B1F8">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5.单个通道最大负载功率2200W，所有通道负载总功率达6000W。</w:t>
            </w:r>
          </w:p>
          <w:p w14:paraId="648CE4C5">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6.输入连接器：大功率线码式电源连接器。</w:t>
            </w:r>
          </w:p>
          <w:p w14:paraId="07AE5F47">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7.输出连接器：多用途电源插座。</w:t>
            </w:r>
          </w:p>
          <w:p w14:paraId="4089CCBF">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8.USB输出接口，可以接LED灯。</w:t>
            </w:r>
          </w:p>
          <w:p w14:paraId="674620C1">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24B57EC0">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1.额定输出电压：AC~220V50Hz</w:t>
            </w:r>
          </w:p>
          <w:p w14:paraId="421088D7">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2.额定输出电流：30A</w:t>
            </w:r>
          </w:p>
          <w:p w14:paraId="318DBA8D">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3.可控制电源：8路</w:t>
            </w:r>
          </w:p>
          <w:p w14:paraId="7FD320A7">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4.每路动作延时时间：1秒</w:t>
            </w:r>
          </w:p>
          <w:p w14:paraId="4F9FFA3C">
            <w:pPr>
              <w:textAlignment w:val="center"/>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5.供电电源：VAC，220V50/60Hz，30A</w:t>
            </w:r>
          </w:p>
          <w:p w14:paraId="46F854C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6.单路额定输出电源：10A</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CEB2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BD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6C08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FEB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BF1C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无线话筒</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D85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2个主机+8个专业无线麦克风</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3BCDA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产品特点</w:t>
            </w:r>
          </w:p>
          <w:p w14:paraId="66C3910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1.采用先进PLL频率合成锁相环技术，微电脑集成中央处理器CPU总线控制系统。</w:t>
            </w:r>
          </w:p>
          <w:p w14:paraId="0C5C8DC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2.兼容手动选频和红外自动对频锁定频道， 杂讯锁定静噪控制及音码锁定静噪控制，信号更稳定。</w:t>
            </w:r>
          </w:p>
          <w:p w14:paraId="6A8EF45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3.V/A显示屏在任何角度观察字体清晰同时显示信道号与工作频率。带8级射频电平显示，8级音频电平显示，频道菜单显示，静音显示。</w:t>
            </w:r>
          </w:p>
          <w:p w14:paraId="619B386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4.先进的滤波及抗干扰功能能够有效阻隔外界不良信号及手机信号的干扰。</w:t>
            </w:r>
          </w:p>
          <w:p w14:paraId="67E138A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5.采用传统按键操控，内置高性能的语音压扩技术，支持平衡和非平衡两种选择输出端口，适应不同的设备连接需求。</w:t>
            </w:r>
          </w:p>
          <w:p w14:paraId="09D2E2B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val="en-US" w:eastAsia="zh-CN" w:bidi="ar"/>
              </w:rPr>
              <w:t>6</w:t>
            </w:r>
            <w:r>
              <w:rPr>
                <w:rFonts w:hint="eastAsia" w:ascii="微软雅黑" w:hAnsi="微软雅黑" w:eastAsia="微软雅黑" w:cs="微软雅黑"/>
                <w:sz w:val="18"/>
                <w:szCs w:val="18"/>
                <w:lang w:bidi="ar"/>
              </w:rPr>
              <w:t>.系统包括有一台主机+四台桌面式无线麦克风</w:t>
            </w:r>
          </w:p>
          <w:p w14:paraId="010ABDB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技术参数</w:t>
            </w:r>
          </w:p>
          <w:p w14:paraId="315A725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系统指标</w:t>
            </w:r>
          </w:p>
          <w:p w14:paraId="202A289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1．频率范围：640-690MHZ    807-830MHz  </w:t>
            </w:r>
          </w:p>
          <w:p w14:paraId="12A88B2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2．频道数目：300个</w:t>
            </w:r>
          </w:p>
          <w:p w14:paraId="351A87B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3．频道间隔：50MHZ</w:t>
            </w:r>
          </w:p>
          <w:p w14:paraId="4740E8D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4．载波稳定度：±0.005%以内</w:t>
            </w:r>
          </w:p>
          <w:p w14:paraId="4B8A2D8D">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5．动态范围：100dB</w:t>
            </w:r>
          </w:p>
          <w:p w14:paraId="7CFF265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6．最大频偏：±45KHZ</w:t>
            </w:r>
          </w:p>
          <w:p w14:paraId="71E8DA9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7．音频响应：80HZ-18KHZ(±2dB)</w:t>
            </w:r>
          </w:p>
          <w:p w14:paraId="4932A497">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8．信噪比：&gt;105dB</w:t>
            </w:r>
          </w:p>
          <w:p w14:paraId="7FA1FE7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9．灵敏度：-105 dBm for 12 dB SINAD, typical</w:t>
            </w:r>
          </w:p>
          <w:p w14:paraId="3D79E1BC">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10．总谐波失真：≤0.5%</w:t>
            </w:r>
          </w:p>
          <w:p w14:paraId="47731368">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11．最大输出强度：+10 dBV</w:t>
            </w:r>
          </w:p>
          <w:p w14:paraId="5112476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12．有效使用距离：空旷50米</w:t>
            </w:r>
          </w:p>
          <w:p w14:paraId="301E2DF0">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麦克风指标</w:t>
            </w:r>
          </w:p>
          <w:p w14:paraId="5B72D9C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1.天线程式：内置螺旋天线</w:t>
            </w:r>
          </w:p>
          <w:p w14:paraId="79B936E4">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2.输出功率：高功率30mW；低功率3mW</w:t>
            </w:r>
          </w:p>
          <w:p w14:paraId="129BBA29">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3.离散抑制：-60dB</w:t>
            </w:r>
          </w:p>
          <w:p w14:paraId="61656EBF">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4.供电方式：3节AA 5号电池或3节镍氢充电电池或直接使用接收机开关电源插入会议底座上的充电口替代电池</w:t>
            </w:r>
          </w:p>
          <w:p w14:paraId="2E0EC9B5">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5.使用时间：30mW时大于10个小时</w:t>
            </w:r>
          </w:p>
          <w:p w14:paraId="06E2A30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6.重量：0.85Kg（鹅颈麦）；不含电池重量</w:t>
            </w:r>
          </w:p>
          <w:p w14:paraId="2EC54B9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7.尺寸：鹅颈麦：杆长：409.7mm，底座：长185mm×高50mm×宽117mm</w:t>
            </w:r>
          </w:p>
          <w:p w14:paraId="7F87B7D1">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接收器指标</w:t>
            </w:r>
          </w:p>
          <w:p w14:paraId="2A55B4BE">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1.功能显示方式：LCD V/A 显示屏</w:t>
            </w:r>
          </w:p>
          <w:p w14:paraId="7203852B">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2.天线接口：BNC/50欧姆</w:t>
            </w:r>
          </w:p>
          <w:p w14:paraId="00D26452">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3.音频输出水平：平衡200Ω 负载-13dBV，非平衡600Ω \负载-2dBV（±40KHz频偏在1K信号时，负载）</w:t>
            </w:r>
          </w:p>
          <w:p w14:paraId="3D4B71F6">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4.音频输出阻抗：平衡200Ω；1路合并非平衡600Ω</w:t>
            </w:r>
          </w:p>
          <w:p w14:paraId="3178B4EA">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5.平衡输出：1脚地线（输出线屏壁层），2脚音频，3脚音频</w:t>
            </w:r>
          </w:p>
          <w:p w14:paraId="59A37F63">
            <w:pPr>
              <w:textAlignment w:val="bottom"/>
              <w:rPr>
                <w:rFonts w:ascii="微软雅黑" w:hAnsi="微软雅黑" w:eastAsia="微软雅黑" w:cs="微软雅黑"/>
                <w:sz w:val="18"/>
                <w:szCs w:val="18"/>
                <w:lang w:bidi="ar"/>
              </w:rPr>
            </w:pPr>
            <w:r>
              <w:rPr>
                <w:rFonts w:hint="eastAsia" w:ascii="微软雅黑" w:hAnsi="微软雅黑" w:eastAsia="微软雅黑" w:cs="微软雅黑"/>
                <w:sz w:val="18"/>
                <w:szCs w:val="18"/>
                <w:lang w:bidi="ar"/>
              </w:rPr>
              <w:t xml:space="preserve">6.电源 ：DC12V---1A </w:t>
            </w:r>
          </w:p>
          <w:p w14:paraId="07FB473B">
            <w:pP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sz w:val="18"/>
                <w:szCs w:val="18"/>
                <w:lang w:bidi="ar"/>
              </w:rPr>
              <w:t>7.工作温度：-10℃~+40℃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A0B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73C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563B7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D7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9B52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机柜</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581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设备机柜</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061492">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防护等级:IP20</w:t>
            </w:r>
          </w:p>
          <w:p w14:paraId="332A52BA">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主要材料：方孔条与安装梁r耐指纹敷设锌板;</w:t>
            </w:r>
          </w:p>
          <w:p w14:paraId="004534F1">
            <w:pPr>
              <w:keepNext w:val="0"/>
              <w:keepLines w:val="0"/>
              <w:widowControl/>
              <w:suppressLineNumbers w:val="0"/>
              <w:jc w:val="left"/>
              <w:textAlignment w:val="bottom"/>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其余:优质冷轧板;</w:t>
            </w:r>
          </w:p>
          <w:p w14:paraId="2FBBF2EE">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表面处理:脱后、酸洗、陶化、静电喷塑.</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7C45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715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3F88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9E2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3A7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线材配件</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A35A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线材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34C46B">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音箱线材，音箱吊挂，音频线等</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51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691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项</w:t>
            </w:r>
          </w:p>
        </w:tc>
      </w:tr>
      <w:tr w14:paraId="16985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533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6BD8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62D9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音响总控配套线材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A51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1.8米音频连接线：6.35话筒插头-6.35话筒插头</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31D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B7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47582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B4F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6923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B062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音响总控配套线材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E269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1.8米音频连接线：卡侬头（母）-卡侬头（公）</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936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A673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585AD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E5A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77CF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2AA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音响总控配套线材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8528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1.8米音频连接线：6.35话筒插头-卡侬头（公）</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2D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7BC6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1ACC9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8D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BD2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音频连接线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059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音响总控配套线材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08C2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1.8米音频连接线：3.5（耳机插头）-双6.35话筒插头</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1C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089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6186F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DB2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A9A0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室内LED屏幕（两套）</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D66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室内P2全彩led显示屏</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61D5">
            <w:pPr>
              <w:numPr>
                <w:ilvl w:val="0"/>
                <w:numId w:val="0"/>
              </w:numPr>
              <w:spacing w:line="240" w:lineRule="auto"/>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highlight w:val="none"/>
                <w:lang w:val="en-US" w:eastAsia="zh-CN" w:bidi="ar"/>
              </w:rPr>
              <w:t>1、像素点间距≤2mm；点密度≥</w:t>
            </w:r>
            <w:r>
              <w:rPr>
                <w:rFonts w:hint="eastAsia" w:ascii="微软雅黑" w:hAnsi="微软雅黑" w:eastAsia="微软雅黑" w:cs="微软雅黑"/>
                <w:color w:val="auto"/>
                <w:sz w:val="18"/>
                <w:szCs w:val="18"/>
                <w:lang w:val="en-US" w:eastAsia="zh-CN"/>
              </w:rPr>
              <w:t>250000</w:t>
            </w:r>
            <w:r>
              <w:rPr>
                <w:rFonts w:hint="eastAsia" w:ascii="微软雅黑" w:hAnsi="微软雅黑" w:eastAsia="微软雅黑" w:cs="微软雅黑"/>
                <w:color w:val="auto"/>
                <w:kern w:val="0"/>
                <w:sz w:val="18"/>
                <w:szCs w:val="18"/>
                <w:lang w:val="en-US" w:eastAsia="zh-CN" w:bidi="ar"/>
              </w:rPr>
              <w:t>点/㎡</w:t>
            </w:r>
          </w:p>
          <w:p w14:paraId="07F02731">
            <w:pPr>
              <w:numPr>
                <w:ilvl w:val="0"/>
                <w:numId w:val="0"/>
              </w:numPr>
              <w:spacing w:line="240" w:lineRule="auto"/>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2、单元板尺寸：320mm×160mm；单元板分辨率：</w:t>
            </w:r>
            <w:r>
              <w:rPr>
                <w:rFonts w:hint="eastAsia" w:ascii="微软雅黑" w:hAnsi="微软雅黑" w:eastAsia="微软雅黑" w:cs="微软雅黑"/>
                <w:color w:val="auto"/>
                <w:sz w:val="18"/>
                <w:szCs w:val="18"/>
                <w:lang w:val="en-US" w:eastAsia="zh-CN"/>
              </w:rPr>
              <w:t>160</w:t>
            </w:r>
            <w:r>
              <w:rPr>
                <w:rFonts w:hint="eastAsia" w:ascii="微软雅黑" w:hAnsi="微软雅黑" w:eastAsia="微软雅黑" w:cs="微软雅黑"/>
                <w:color w:val="auto"/>
                <w:kern w:val="0"/>
                <w:sz w:val="18"/>
                <w:szCs w:val="18"/>
                <w:lang w:val="en-US" w:eastAsia="zh-CN" w:bidi="ar"/>
              </w:rPr>
              <w:t>×</w:t>
            </w:r>
            <w:r>
              <w:rPr>
                <w:rFonts w:hint="eastAsia" w:ascii="微软雅黑" w:hAnsi="微软雅黑" w:eastAsia="微软雅黑" w:cs="微软雅黑"/>
                <w:color w:val="auto"/>
                <w:sz w:val="18"/>
                <w:szCs w:val="18"/>
                <w:lang w:val="en-US" w:eastAsia="zh-CN"/>
              </w:rPr>
              <w:t>80</w:t>
            </w:r>
          </w:p>
          <w:p w14:paraId="6A7FA9AE">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3、防护等级IP68；平整度≤0.03 mm</w:t>
            </w:r>
          </w:p>
          <w:p w14:paraId="4C3B5F97">
            <w:pPr>
              <w:keepNext w:val="0"/>
              <w:keepLines w:val="0"/>
              <w:widowControl/>
              <w:suppressLineNumbers w:val="0"/>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 xml:space="preserve">4、模组间的相对错位值≤0.1mm </w:t>
            </w:r>
          </w:p>
          <w:p w14:paraId="55FBE9E8">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5、模组间的拼缝与间隙≤0.05mm</w:t>
            </w:r>
          </w:p>
          <w:p w14:paraId="104C717C">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6、水平视角≥178°；垂直视角≥178°</w:t>
            </w:r>
          </w:p>
          <w:p w14:paraId="11B3BA4D">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7、亮度均匀性(校正后) ≥99%；漏电流试验≤0.4mA(AC 峰值)</w:t>
            </w:r>
          </w:p>
          <w:p w14:paraId="0FB99F4D">
            <w:pPr>
              <w:keepNext w:val="0"/>
              <w:keepLines w:val="0"/>
              <w:widowControl/>
              <w:suppressLineNumbers w:val="0"/>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 xml:space="preserve">8、像素点失控(坏点或盲点)率≤1/2000000 无连续失控点 </w:t>
            </w:r>
          </w:p>
          <w:p w14:paraId="2AAF6FE5">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 xml:space="preserve">8、对比度：环境照度 10±5% ≥20000：1 </w:t>
            </w:r>
          </w:p>
          <w:p w14:paraId="049FCD04">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9、发光点中心距偏≤0.7%；色度均匀性(校正后) ±0.0005 Cx,Cy 之内</w:t>
            </w:r>
          </w:p>
          <w:p w14:paraId="765D3009">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10、像素组成与排列方式：1R1G1B，SMD 表贴三合一，竖向线性排列</w:t>
            </w:r>
          </w:p>
          <w:p w14:paraId="06C5B8BA">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 xml:space="preserve">11、成像原理：LED 主动式发光 </w:t>
            </w:r>
          </w:p>
          <w:p w14:paraId="5DF6EA9B">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 xml:space="preserve">12、响应时间：纳秒级，急速响应不拖尾、无鬼影 </w:t>
            </w:r>
          </w:p>
          <w:p w14:paraId="596CFE7F">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13、可视距离：最佳可视距离 1m-50m</w:t>
            </w:r>
          </w:p>
          <w:p w14:paraId="2892C5B0">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14、亮度与可视角度关系：中央法线上亮度=100cd/m</w:t>
            </w:r>
            <w:r>
              <w:rPr>
                <w:rFonts w:hint="eastAsia" w:ascii="微软雅黑" w:hAnsi="微软雅黑" w:eastAsia="微软雅黑" w:cs="微软雅黑"/>
                <w:color w:val="auto"/>
                <w:kern w:val="0"/>
                <w:sz w:val="18"/>
                <w:szCs w:val="18"/>
                <w:vertAlign w:val="superscript"/>
                <w:lang w:val="en-US" w:eastAsia="zh-CN" w:bidi="ar"/>
              </w:rPr>
              <w:t xml:space="preserve">2 </w:t>
            </w:r>
            <w:r>
              <w:rPr>
                <w:rFonts w:hint="eastAsia" w:ascii="微软雅黑" w:hAnsi="微软雅黑" w:eastAsia="微软雅黑" w:cs="微软雅黑"/>
                <w:color w:val="auto"/>
                <w:kern w:val="0"/>
                <w:sz w:val="18"/>
                <w:szCs w:val="18"/>
                <w:lang w:val="en-US" w:eastAsia="zh-CN" w:bidi="ar"/>
              </w:rPr>
              <w:t>白场时，水平视角80°时亮度衰减率≤10%,垂直视角 60°时亮度衰减率≤10%</w:t>
            </w:r>
          </w:p>
          <w:p w14:paraId="2FECA222">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15、亮度：0-2000cd/㎡可调，支持 256 级无灰度等级调节，可设置亮度定时调节，支持通过亮度传感器自动调节（手动、自动、软件调节）</w:t>
            </w:r>
          </w:p>
          <w:p w14:paraId="241B089E">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16、亮度调节：支持通过配套软件 0-100%多级调节，设置亮度定时调节，及通过亮度传感器自动调节 (手动/自动/软件任意调节) 支持 HDR 高动态范围图像技术显示</w:t>
            </w:r>
          </w:p>
          <w:p w14:paraId="0BDC9AB1">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17、支持通过配套软件调节刷新率的设置选项，刷新率≥3840Hz</w:t>
            </w:r>
          </w:p>
          <w:p w14:paraId="23BBBA6B">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18、一体化驱动设计，恒流驱动，动态扫描保护功能，同步控制，点点对应，具有非线性校正显示控制和自带驱动控制方面的先进技术</w:t>
            </w:r>
          </w:p>
          <w:p w14:paraId="6B0A0E3A">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19、带有智能（黑屏）节电功能，开启智能节电功能比没有开启节能 60％以上</w:t>
            </w:r>
          </w:p>
          <w:p w14:paraId="42D33464">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20、色温、色域：800K-30000K 可调，白平衡状态下色温在 6500K±5%;色域≥120%NTSC, YIQ及覆盖率≥170% YUV ，色温白平衡为8000K±5%</w:t>
            </w:r>
          </w:p>
          <w:p w14:paraId="45A4BCE9">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21、防反光：屏体正面为黑色哑光处理，反光率小于1%</w:t>
            </w:r>
          </w:p>
          <w:p w14:paraId="39475FD6">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22、灰度处理等级≥16bit；画面延时≤300ns；</w:t>
            </w:r>
          </w:p>
          <w:p w14:paraId="64E43DAD">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23、电流增益调节级别≥8位；显示屏拍照等级≥10bits</w:t>
            </w:r>
          </w:p>
          <w:p w14:paraId="02C593E5">
            <w:pPr>
              <w:keepNext w:val="0"/>
              <w:keepLines w:val="0"/>
              <w:widowControl/>
              <w:suppressLineNumbers w:val="0"/>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24、支持 7x24 小时工作：产品在正常工作条件下，连续工作 7 天*24H (168H)，不应出现电、机械或操作系统的故障</w:t>
            </w:r>
          </w:p>
          <w:p w14:paraId="27068597">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25、平均修复时间(MTTR)：3 次故障修好时间检测，故障处理后工作正常，产品无任何异常，报错，平均修复时间≤2 分钟</w:t>
            </w:r>
          </w:p>
          <w:p w14:paraId="1D3EDB59">
            <w:pPr>
              <w:keepNext w:val="0"/>
              <w:keepLines w:val="0"/>
              <w:widowControl/>
              <w:suppressLineNumbers w:val="0"/>
              <w:spacing w:line="240" w:lineRule="auto"/>
              <w:jc w:val="left"/>
              <w:rPr>
                <w:rFonts w:hint="eastAsia" w:ascii="微软雅黑" w:hAnsi="微软雅黑" w:eastAsia="微软雅黑" w:cs="微软雅黑"/>
                <w:color w:val="auto"/>
                <w:sz w:val="18"/>
                <w:szCs w:val="18"/>
                <w:lang w:val="en-US"/>
              </w:rPr>
            </w:pPr>
            <w:r>
              <w:rPr>
                <w:rFonts w:hint="eastAsia" w:ascii="微软雅黑" w:hAnsi="微软雅黑" w:eastAsia="微软雅黑" w:cs="微软雅黑"/>
                <w:color w:val="auto"/>
                <w:kern w:val="0"/>
                <w:sz w:val="18"/>
                <w:szCs w:val="18"/>
                <w:lang w:val="en-US" w:eastAsia="zh-CN" w:bidi="ar"/>
              </w:rPr>
              <w:t>26、显示屏具有防静电、防电磁干扰、防腐蚀、防霉菌、防虫、防潮、抗震动、抗雷击等功能，并具有电源过压、过流、断电保护、分布上电措施</w:t>
            </w:r>
          </w:p>
          <w:p w14:paraId="5977B98F">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27、PCB 板、线材、电源、连接件、面罩：V-0级</w:t>
            </w:r>
          </w:p>
          <w:p w14:paraId="44871C6B">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28、可承受≥5000N 拉力；可承受≥45000N 压力</w:t>
            </w:r>
          </w:p>
          <w:p w14:paraId="1E3E5A4A">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29、防潮工作运行检测：在 5%-95%RH的湿度环境下检测，工作正常</w:t>
            </w:r>
          </w:p>
          <w:p w14:paraId="6A108D55">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30、平均无故障测试 平均无故障使用时间不低于 200000h；使用寿命≥200000h</w:t>
            </w:r>
          </w:p>
          <w:p w14:paraId="2FDDCE25">
            <w:pPr>
              <w:keepNext w:val="0"/>
              <w:keepLines w:val="0"/>
              <w:widowControl/>
              <w:suppressLineNumbers w:val="0"/>
              <w:spacing w:line="240" w:lineRule="auto"/>
              <w:jc w:val="left"/>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31、支持电源均流DC4.2V～DC5V；画面信噪比≥60dB</w:t>
            </w:r>
          </w:p>
          <w:p w14:paraId="3607073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color w:val="auto"/>
                <w:kern w:val="0"/>
                <w:sz w:val="18"/>
                <w:szCs w:val="18"/>
                <w:lang w:val="en-US" w:eastAsia="zh-CN" w:bidi="ar"/>
              </w:rPr>
              <w:t>32、显示单元漏光度 ≤0.005cd/㎡；显示屏高亮效率 ≥99.5%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435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27.6</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372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平方</w:t>
            </w:r>
          </w:p>
        </w:tc>
      </w:tr>
      <w:tr w14:paraId="51EB1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E8D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897B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开关电源</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55D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led显示屏配套电源器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FAC6">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显示屏开关电源 工作温度 -40℃-+70℃</w:t>
            </w:r>
          </w:p>
          <w:p w14:paraId="00764749">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低温启动特性  -40℃，220Vac 输入,热机 5 分钟，带载 40A，</w:t>
            </w:r>
          </w:p>
          <w:p w14:paraId="0543C6E1">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储存温度  -40℃-85℃</w:t>
            </w:r>
          </w:p>
          <w:p w14:paraId="24D5C86C">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工作湿度 20%RH-90%RH</w:t>
            </w:r>
          </w:p>
          <w:p w14:paraId="6CF2FE64">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储存湿度 10%RH-95%RH</w:t>
            </w:r>
          </w:p>
          <w:p w14:paraId="0242A5CE">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散热方式  自然对流散热，需紧贴客户金属机箱外壳散热</w:t>
            </w:r>
          </w:p>
          <w:p w14:paraId="02EDC8F2">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大气压  70-106KPa</w:t>
            </w:r>
          </w:p>
          <w:p w14:paraId="56AD2514">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可用最高海拔高度 3000m</w:t>
            </w:r>
          </w:p>
          <w:p w14:paraId="2312EC34">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物理尺寸 长192.5±1mm*宽 82±1mm*高 30±1mm</w:t>
            </w:r>
          </w:p>
          <w:p w14:paraId="1BBDF9FD">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重量 0.36kg</w:t>
            </w:r>
          </w:p>
          <w:p w14:paraId="56DF16B3">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输入端子 9.5mm-5P pitch terminal, L N FG</w:t>
            </w:r>
          </w:p>
          <w:p w14:paraId="0B443DED">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输出端子 9.5mm-6P pitch terminal, V+ V+ V+ V- V- V</w:t>
            </w:r>
          </w:p>
          <w:p w14:paraId="3AAE52D6">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短路保护  可长期短路，消除短路后自动恢复工作</w:t>
            </w:r>
          </w:p>
          <w:p w14:paraId="23411990">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过流保护  48~76A 故障消除后自动恢复</w:t>
            </w:r>
          </w:p>
          <w:p w14:paraId="5384B33A">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工作额定输出电压 V1:+4.5Vdc</w:t>
            </w:r>
          </w:p>
          <w:p w14:paraId="02F9F1E6">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额定输出电流范围 0～40.0A</w:t>
            </w:r>
          </w:p>
          <w:p w14:paraId="34FC3F21">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稳压精度  ±2%</w:t>
            </w:r>
          </w:p>
          <w:p w14:paraId="12073522">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负载调整率  ±2%</w:t>
            </w:r>
          </w:p>
          <w:p w14:paraId="76803D00">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电压过冲 &lt;5.0%</w:t>
            </w:r>
          </w:p>
          <w:p w14:paraId="0E627098">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启动时间  3Sec.</w:t>
            </w:r>
          </w:p>
          <w:p w14:paraId="1D4C6E2C">
            <w:pPr>
              <w:keepNext w:val="0"/>
              <w:keepLines w:val="0"/>
              <w:widowControl/>
              <w:numPr>
                <w:ilvl w:val="0"/>
                <w:numId w:val="3"/>
              </w:numPr>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纹波噪声 &lt;200mV</w:t>
            </w:r>
          </w:p>
          <w:p w14:paraId="7A8A1F2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22.容性负载至少 5000uF   </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B0E5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D5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3CBB4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57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5A99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接收卡</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56A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led显示屏配套视频接收卡</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5C1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1.单卡最大带载 512×384像素，最多支持 24 组RGB 并行数据；</w:t>
            </w:r>
          </w:p>
          <w:p w14:paraId="759DEBF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2.支持色彩管理，将显示色域在多个色域之间自由切换，使显示屏色彩更精准。</w:t>
            </w:r>
          </w:p>
          <w:p w14:paraId="611C9FF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3.支持18Bit+,使LED显示屏灰阶提升4倍，有效处理低亮时灰度丢失问题，使图像显示更细腻。</w:t>
            </w:r>
          </w:p>
          <w:p w14:paraId="595B85D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4.采用 12 个标准HUB75接口，具有高稳定性和高可靠性，适用于多种环境的搭建；</w:t>
            </w:r>
          </w:p>
          <w:p w14:paraId="4BB206E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5.支持逐点亮色度校正，可以对每个灯点的亮度和色度进行校正，有效消除色差，使整屏的亮度和色度达到高度均匀一致，提高显示屏的画质</w:t>
            </w:r>
          </w:p>
          <w:p w14:paraId="4ECA503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6.快速亮暗线调节在调试软件上进行快速亮暗线调节，快速解决因箱体及模组拼接造成的显示屏亮暗线，调节过程中即时生效，简单易用。</w:t>
            </w:r>
          </w:p>
          <w:p w14:paraId="799FB04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7.配合支持 3D 功能的独立主控，在软件或独立主控的操作面板上开启 3D 功能，并设置 3D 参数，使画面显示 3D 效果。</w:t>
            </w:r>
          </w:p>
          <w:p w14:paraId="026DEE1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8.Mapping功能开启，每个箱体上会显示数字，清楚告诉您当前箱体是哪个网口下的哪张接收卡，直观的看到显示屏连接状况。</w:t>
            </w:r>
          </w:p>
          <w:p w14:paraId="48C5904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9.支持预存画面设置，可以将指定图片设置为显示屏的开机、网线断开或无视频源信号时的画面或者最后一帧画面</w:t>
            </w:r>
          </w:p>
          <w:p w14:paraId="418968F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10.可以监测自身的温度和电压，无需其他外设，在软件上可以查看接收卡的温度和电压，检测发送设备与接收卡间或接收卡与接收卡间的网络通讯质量，记录错误包数，协助排除网络通讯隐患，</w:t>
            </w:r>
          </w:p>
          <w:p w14:paraId="5D4292D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11.支持误码率监测接收卡间通讯时传输链路上的数据丢包情况；</w:t>
            </w:r>
          </w:p>
          <w:p w14:paraId="50132B0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12.支持可以回读接收卡的固件程序并保存到本地，软件可以回读接收卡配置参数并保存到本地</w:t>
            </w:r>
          </w:p>
          <w:p w14:paraId="57AB16F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13.通过主备冗余机制增加接收卡间网线级联的可靠性。主备级联线路中，当其中一条线路出现故障时，另一条线路会即时工作，保证显示屏正常工作</w:t>
            </w:r>
          </w:p>
          <w:p w14:paraId="20113CB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14.通过软件在接收卡上保存两份接收卡配置参数，其中一份作为备份参数，</w:t>
            </w:r>
          </w:p>
          <w:p w14:paraId="4A3F59B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通过电源指示灯和状态指示灯不同闪烁状态可以判断，屏体工作状态，无需软件</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EDA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99F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1CBC0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9EB9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580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视频处理器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385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0"/>
                <w:rFonts w:hint="eastAsia" w:ascii="微软雅黑" w:hAnsi="微软雅黑" w:eastAsia="微软雅黑" w:cs="微软雅黑"/>
                <w:b w:val="0"/>
                <w:bCs w:val="0"/>
                <w:sz w:val="18"/>
                <w:szCs w:val="18"/>
                <w:lang w:val="en-US" w:eastAsia="zh-CN" w:bidi="ar"/>
              </w:rPr>
              <w:t>led显示屏配套视频处理器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96F3">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1.支持常见的视频接口，包括2 路 HDMI1.3，1 路 DVI，</w:t>
            </w:r>
          </w:p>
          <w:p w14:paraId="35A78F08">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2.支持3.5mm音频输入和3.5mm音频输出。 </w:t>
            </w:r>
          </w:p>
          <w:p w14:paraId="615749B6">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3.支持 3 个窗口和 1 路 OSD。  </w:t>
            </w:r>
          </w:p>
          <w:p w14:paraId="1EFB22C8">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4.支持快捷配屏和高级配屏功能。  </w:t>
            </w:r>
          </w:p>
          <w:p w14:paraId="6594EED4">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5.支持 HDMI、DVI 输入分辨率自定义调节。  </w:t>
            </w:r>
          </w:p>
          <w:p w14:paraId="6447F374">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6.支持设备间备份设置。  </w:t>
            </w:r>
          </w:p>
          <w:p w14:paraId="206E912A">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7.视频输出最大带载高达 390 万像素，最大宽度10240，最大高度8192.</w:t>
            </w:r>
          </w:p>
          <w:p w14:paraId="4F15B091">
            <w:pPr>
              <w:numPr>
                <w:ilvl w:val="0"/>
                <w:numId w:val="0"/>
              </w:numPr>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 xml:space="preserve">8.支持一键将优先级最低的窗口全屏自动缩放。 </w:t>
            </w:r>
          </w:p>
          <w:p w14:paraId="5A456E5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color w:val="auto"/>
                <w:sz w:val="18"/>
                <w:szCs w:val="18"/>
                <w:lang w:val="en-US" w:eastAsia="zh-CN"/>
              </w:rPr>
              <w:t>9.</w:t>
            </w:r>
            <w:r>
              <w:rPr>
                <w:rFonts w:hint="eastAsia" w:ascii="微软雅黑" w:hAnsi="微软雅黑" w:eastAsia="微软雅黑" w:cs="微软雅黑"/>
                <w:color w:val="auto"/>
                <w:sz w:val="18"/>
                <w:szCs w:val="18"/>
              </w:rPr>
              <w:t xml:space="preserve">支持创建 10 个用户场景作为模板保存，方便使用。 </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E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312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39DEA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723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A49D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播放软件</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5972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led显示屏配套</w:t>
            </w:r>
            <w:r>
              <w:rPr>
                <w:rFonts w:hint="eastAsia" w:ascii="微软雅黑" w:hAnsi="微软雅黑" w:eastAsia="微软雅黑" w:cs="微软雅黑"/>
                <w:i w:val="0"/>
                <w:iCs w:val="0"/>
                <w:color w:val="auto"/>
                <w:kern w:val="0"/>
                <w:sz w:val="18"/>
                <w:szCs w:val="18"/>
                <w:u w:val="none"/>
                <w:lang w:val="en-US" w:eastAsia="zh-CN" w:bidi="ar"/>
              </w:rPr>
              <w:t>多媒体播放软件</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F0A6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1.支持制作节目并在LED显示屏或LCD显示屏进行播放。异步播放模式时，还用于对多媒体播放器进行控制。</w:t>
            </w:r>
          </w:p>
          <w:p w14:paraId="0042703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2.支持本机播放和异步播放两种方式；</w:t>
            </w:r>
          </w:p>
          <w:p w14:paraId="1A9D540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3.支持多画面播放；</w:t>
            </w:r>
          </w:p>
          <w:p w14:paraId="29D1B86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4.支持页面灵活布局；</w:t>
            </w:r>
          </w:p>
          <w:p w14:paraId="7C5BDD7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5.支持多种媒体播放（office文件、图片、视频、GIF、文本、炫彩字，数字时钟、天气、RSS、流媒体和网页）；</w:t>
            </w:r>
          </w:p>
          <w:p w14:paraId="21FA0DD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6.支持播放页面任意排期，可设置播放时间段和周期；</w:t>
            </w:r>
          </w:p>
          <w:p w14:paraId="596DC05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7.支持快速预览当前页面以及切换到其他页面时预览窗口会及时刷新；</w:t>
            </w:r>
          </w:p>
          <w:p w14:paraId="5D7A563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8.当软件为异步播放模式时，用户可对多媒体播放器进行全面的控制，例如亮度调节、对时管理、字体管理、终端升级、视频源切换、屏幕状态控制、播放日志查询、网络配置、射频管理等；</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F7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1CC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5553A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94C6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3F68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配电柜</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6BE1">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led显示屏配套电箱</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399D">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sz w:val="18"/>
                <w:szCs w:val="18"/>
                <w:u w:val="none"/>
              </w:rPr>
            </w:pPr>
            <w:r>
              <w:rPr>
                <w:rStyle w:val="30"/>
                <w:rFonts w:hint="eastAsia" w:ascii="微软雅黑" w:hAnsi="微软雅黑" w:eastAsia="微软雅黑" w:cs="微软雅黑"/>
                <w:b w:val="0"/>
                <w:bCs w:val="0"/>
                <w:sz w:val="18"/>
                <w:szCs w:val="18"/>
                <w:lang w:val="en-US" w:eastAsia="zh-CN" w:bidi="ar"/>
              </w:rPr>
              <w:t>超薄款15KW</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E5D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F4B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748BF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EBB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E476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钢结构</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EFD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led显示屏配套钢结构挂架</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668A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定制</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108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29.2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7E08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平方</w:t>
            </w:r>
          </w:p>
        </w:tc>
      </w:tr>
      <w:tr w14:paraId="33B51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B8FF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FED9">
            <w:pPr>
              <w:keepNext w:val="0"/>
              <w:keepLines w:val="0"/>
              <w:widowControl/>
              <w:suppressLineNumbers w:val="0"/>
              <w:jc w:val="left"/>
              <w:textAlignment w:val="center"/>
              <w:rPr>
                <w:rFonts w:hint="default" w:ascii="微软雅黑" w:hAnsi="微软雅黑" w:eastAsia="微软雅黑" w:cs="微软雅黑"/>
                <w:i w:val="0"/>
                <w:iCs w:val="0"/>
                <w:color w:val="000000"/>
                <w:sz w:val="18"/>
                <w:szCs w:val="18"/>
                <w:u w:val="none"/>
                <w:lang w:val="en-US"/>
              </w:rPr>
            </w:pPr>
            <w:r>
              <w:rPr>
                <w:rStyle w:val="31"/>
                <w:rFonts w:hint="eastAsia" w:ascii="微软雅黑" w:hAnsi="微软雅黑" w:eastAsia="微软雅黑" w:cs="微软雅黑"/>
                <w:sz w:val="18"/>
                <w:szCs w:val="18"/>
                <w:lang w:val="en-US" w:eastAsia="zh-CN" w:bidi="ar"/>
              </w:rPr>
              <w:t>LED显示屏线路改造</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D956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LED显示屏线路改造</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68C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LED显示屏线路改造</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0770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C96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项</w:t>
            </w:r>
          </w:p>
        </w:tc>
      </w:tr>
      <w:tr w14:paraId="51DC0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23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D692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监控部分</w:t>
            </w:r>
          </w:p>
        </w:tc>
      </w:tr>
      <w:tr w14:paraId="6650F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FF6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C7E7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名称</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507A">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功能描述</w:t>
            </w:r>
          </w:p>
        </w:tc>
        <w:tc>
          <w:tcPr>
            <w:tcW w:w="6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726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Style w:val="30"/>
                <w:rFonts w:hint="eastAsia" w:ascii="微软雅黑" w:hAnsi="微软雅黑" w:eastAsia="微软雅黑" w:cs="微软雅黑"/>
                <w:sz w:val="18"/>
                <w:szCs w:val="18"/>
                <w:lang w:val="en-US" w:eastAsia="zh-CN" w:bidi="ar"/>
              </w:rPr>
              <w:t>产品规格</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C2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数量</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BE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单位</w:t>
            </w:r>
          </w:p>
        </w:tc>
      </w:tr>
      <w:tr w14:paraId="058D6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B70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7C62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室外400万高清网络</w:t>
            </w:r>
          </w:p>
          <w:p w14:paraId="77CC5FF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红外枪机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0EF5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固定机位摄像头</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638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最高分辨率可达2560 × 1440 @25 fps</w:t>
            </w:r>
          </w:p>
          <w:p w14:paraId="0B768D0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支持用户登录锁定机制，及密码复杂度提示</w:t>
            </w:r>
          </w:p>
          <w:p w14:paraId="3286BF4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支持SmartIR，防止夜间红外过曝</w:t>
            </w:r>
          </w:p>
          <w:p w14:paraId="39E1447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支持背光补偿，强光抑制，3D数字降噪，数字宽动态，适应不同环境</w:t>
            </w:r>
          </w:p>
          <w:p w14:paraId="2132D08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支持ROI感兴趣区域增强编码</w:t>
            </w:r>
          </w:p>
          <w:p w14:paraId="7584B80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支持开放型网络视频接口，ISAPI，SDK，GB28181协议，支持萤石平台接入</w:t>
            </w:r>
          </w:p>
          <w:p w14:paraId="2DA8D9A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1个内置麦克风</w:t>
            </w:r>
          </w:p>
          <w:p w14:paraId="706EAB5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采用高效阵列红外灯，使用寿命长，红外照射最远可达50 m</w:t>
            </w:r>
          </w:p>
          <w:p w14:paraId="140F683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符合IP66防尘防水设计，可靠性高</w:t>
            </w:r>
          </w:p>
          <w:p w14:paraId="4C47D15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传感器类型：1/2.7" Progressive Scan CMOS</w:t>
            </w:r>
          </w:p>
          <w:p w14:paraId="1701428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最低照度：彩色：0.005 Lux @（F1.2，AGC ON），0 Lux with IR</w:t>
            </w:r>
          </w:p>
          <w:p w14:paraId="61CCB86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最大图像尺寸：≥2560 × 1440</w:t>
            </w:r>
          </w:p>
          <w:p w14:paraId="3383F35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宽动态：数字宽动态</w:t>
            </w:r>
          </w:p>
          <w:p w14:paraId="149BD37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焦距&amp;视场角：4 mm，水平视场角：70°，垂直视场角：35°</w:t>
            </w:r>
          </w:p>
          <w:p w14:paraId="738687D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 mm，水平视场角：46°，垂直视场角：24°</w:t>
            </w:r>
          </w:p>
          <w:p w14:paraId="3753C9C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 mm，水平视场角：43°，垂直视场角：24°</w:t>
            </w:r>
          </w:p>
          <w:p w14:paraId="776C2A7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 mm，水平视场角：27°，垂直视场角：15°</w:t>
            </w:r>
          </w:p>
          <w:p w14:paraId="7980FE9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防补光过曝：支持</w:t>
            </w:r>
          </w:p>
          <w:p w14:paraId="1EE8407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补光灯类型：红外灯</w:t>
            </w:r>
          </w:p>
          <w:p w14:paraId="2CFD084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补光距离：最远可达50 m</w:t>
            </w:r>
          </w:p>
          <w:p w14:paraId="108F4AF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视频压缩标准：主码流：H.265/H.264</w:t>
            </w:r>
          </w:p>
          <w:p w14:paraId="10311B0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子码流：H.265/H.264/MJPEG</w:t>
            </w:r>
          </w:p>
          <w:p w14:paraId="5A96991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音频：具备麦克风</w:t>
            </w:r>
          </w:p>
          <w:p w14:paraId="2898620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网络：1个RJ45 10 M/100 M自适应以太网口</w:t>
            </w:r>
          </w:p>
          <w:p w14:paraId="06A03C5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启动及工作温湿度：-30 ℃~60 ℃，湿度小于95%（无凝结）</w:t>
            </w:r>
          </w:p>
          <w:p w14:paraId="383BE24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存储温湿度：-30 ℃~60 ℃，湿度小于95%（无凝结）</w:t>
            </w:r>
          </w:p>
          <w:p w14:paraId="6A2CE96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恢复出厂设置：支持客户端或浏览器恢复</w:t>
            </w:r>
          </w:p>
          <w:p w14:paraId="190B5B7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供电方式：DC：12 V ± 25%，支持防反接保护</w:t>
            </w:r>
          </w:p>
          <w:p w14:paraId="58F3759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PoE：IEEE 802.3af，Class 3</w:t>
            </w:r>
          </w:p>
          <w:p w14:paraId="0A94471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电流及功耗：DC：12 V，0.42 A，最大功耗：5 W</w:t>
            </w:r>
          </w:p>
          <w:p w14:paraId="2EEF518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PoE：IEEE 802.3af，CLASS 3，最大功耗：6.5 W</w:t>
            </w:r>
          </w:p>
          <w:p w14:paraId="085BF99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电源接口类型：Ø5.5 mm圆口</w:t>
            </w:r>
          </w:p>
          <w:p w14:paraId="0ECB4A5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防护：IP66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A476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82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0D915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99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FD2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400万高清摄像球机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54C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公共区域的可变焦摄像头</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0C7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支持区域入侵侦测、越界侦测、进入区域侦测和离开区域侦等智能侦测</w:t>
            </w:r>
          </w:p>
          <w:p w14:paraId="5AD715D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支持1/2.8" 400万23倍光学变焦镜头，采用高效补光阵列，低功耗，红外补光150 m，白光补光30 m</w:t>
            </w:r>
          </w:p>
          <w:p w14:paraId="49BDB14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支持最大2560 × 1440 @30 fps高清画面输出</w:t>
            </w:r>
          </w:p>
          <w:p w14:paraId="71CEA4B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支持切换为人脸抓拍模式，最大同时抓拍5张人脸</w:t>
            </w:r>
          </w:p>
          <w:p w14:paraId="0D6442B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支持H.265高效压缩算法，可较大节省存储空间</w:t>
            </w:r>
          </w:p>
          <w:p w14:paraId="4FDCDB1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支持超低照度，0.005 Lux @F1.5（彩色），0.001 Lux @F1.5（黑白），0 Lux with IR</w:t>
            </w:r>
          </w:p>
          <w:p w14:paraId="29C1A44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支持23倍光学变倍，16倍数字变倍</w:t>
            </w:r>
          </w:p>
          <w:p w14:paraId="227F363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支持玻璃加热除雾</w:t>
            </w:r>
          </w:p>
          <w:p w14:paraId="6A4A90B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支持三码流技术，每路码流可独立配置分辨率及帧率</w:t>
            </w:r>
          </w:p>
          <w:p w14:paraId="51A4955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支持宽动态范围达120 dB</w:t>
            </w:r>
          </w:p>
          <w:p w14:paraId="263F48A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支持3D数字降噪、强光抑制、SmartIR</w:t>
            </w:r>
          </w:p>
          <w:p w14:paraId="33D323A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支持360°水平旋转，垂直方向-15°~90°（自动翻转）</w:t>
            </w:r>
          </w:p>
          <w:p w14:paraId="01B6041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支持3D定位</w:t>
            </w:r>
          </w:p>
          <w:p w14:paraId="50400D2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支持定时任务、一键守望、一键巡航功能</w:t>
            </w:r>
          </w:p>
          <w:p w14:paraId="1D65714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支持最大256 GB的 MicroSD/MicroSDHC/MicroSDXC卡存储</w:t>
            </w:r>
          </w:p>
          <w:p w14:paraId="4A21BFF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支持开放型网络视频接口、ISAPI、GB/T28181、ISUP、平台接入</w:t>
            </w:r>
          </w:p>
          <w:p w14:paraId="637BB6A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防雷、防浪涌、防突波，IP66防护等级</w:t>
            </w:r>
          </w:p>
          <w:p w14:paraId="399688F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支持定时抓图与事件抓图功能</w:t>
            </w:r>
          </w:p>
          <w:p w14:paraId="6DE8AB4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传感器类型：1/2.8＂ progressive scan CMOS</w:t>
            </w:r>
          </w:p>
          <w:p w14:paraId="62031D0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最低照度：彩色：0.005Lux @ (F1.5，AGC ON)；黑白：0.001Lux @(F1.5，AGC ON)；0 Lux with IR</w:t>
            </w:r>
          </w:p>
          <w:p w14:paraId="4453F3F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宽动态：120dB超宽动态</w:t>
            </w:r>
          </w:p>
          <w:p w14:paraId="3EB8D34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焦距：5.9-135.7 mm,23倍光学变倍</w:t>
            </w:r>
          </w:p>
          <w:p w14:paraId="7A7AE5C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视场角：60.2°~3.4°（广角~望远）   </w:t>
            </w:r>
          </w:p>
          <w:p w14:paraId="21434F8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补光灯类型：混合补光</w:t>
            </w:r>
          </w:p>
          <w:p w14:paraId="339826A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补光灯距离：【白光】30m</w:t>
            </w:r>
          </w:p>
          <w:p w14:paraId="7946E65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【红外】150m</w:t>
            </w:r>
          </w:p>
          <w:p w14:paraId="7E76806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防补光过曝：支持</w:t>
            </w:r>
          </w:p>
          <w:p w14:paraId="38848BC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水平范围：水平360°</w:t>
            </w:r>
          </w:p>
          <w:p w14:paraId="6502E68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垂直范围：-15°-90°(自动翻转)</w:t>
            </w:r>
          </w:p>
          <w:p w14:paraId="4146944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水平速度：水平键控速度：0.1°-160°/s,速度可设;水平预置点速度：240°/s</w:t>
            </w:r>
          </w:p>
          <w:p w14:paraId="2F4BE00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垂直速度：垂直键控速度：0.1°-120°/s,速度可设;垂直预置点速度：200°/s</w:t>
            </w:r>
          </w:p>
          <w:p w14:paraId="4F027F9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主码流帧率分辨率：50 Hz：25 fps（2560 × 1440，1920 × 1080，1280 × 960，1280 × 720）</w:t>
            </w:r>
          </w:p>
          <w:p w14:paraId="531454A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60 Hz：30 fps（2560 × 1440，1920 × 1080，1280 × 960，1280 × 720）</w:t>
            </w:r>
          </w:p>
          <w:p w14:paraId="72968D3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视频压缩标准：H.265;H.264;MJPEG</w:t>
            </w:r>
          </w:p>
          <w:p w14:paraId="7539D39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网络接口：RJ45网口;自适应10M/100M网络数据</w:t>
            </w:r>
          </w:p>
          <w:p w14:paraId="3576A16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SD卡扩展：内置Micro SD卡插槽;支持Micro SD/Micro SDHC/Micro SDXC卡;最大支持256G</w:t>
            </w:r>
          </w:p>
          <w:p w14:paraId="6C3C5F3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报警输入：2路报警输入</w:t>
            </w:r>
          </w:p>
          <w:p w14:paraId="60DB1AA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报警输出：1路报警输出</w:t>
            </w:r>
          </w:p>
          <w:p w14:paraId="720AB71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音频输入：1路音频输入，音频峰值：2-2.4V[p-p]，输入阻抗：1 kΩ±10%</w:t>
            </w:r>
          </w:p>
          <w:p w14:paraId="60A0361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音频输出：1路音频输出，线性电平，阻抗:600Ω</w:t>
            </w:r>
          </w:p>
          <w:p w14:paraId="1D8BE49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供电方式：AC24V</w:t>
            </w:r>
          </w:p>
          <w:p w14:paraId="43435BD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电流及功耗：最大功耗：42 W（其中红外灯最大功耗：16W）</w:t>
            </w:r>
          </w:p>
          <w:p w14:paraId="16D4C3A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工作温湿度：-30℃-65℃;湿度小于90%</w:t>
            </w:r>
          </w:p>
          <w:p w14:paraId="5CB69C0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恢复出厂设置：支持</w:t>
            </w:r>
          </w:p>
          <w:p w14:paraId="493B5DE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除雾：加热玻璃除雾</w:t>
            </w:r>
          </w:p>
          <w:p w14:paraId="56F8D99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尺寸：≥Φ220×353.4mm</w:t>
            </w:r>
          </w:p>
          <w:p w14:paraId="666C24B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防护：IP66;抗干扰能力强，适用于严酷的电磁环境，符合GB/T17626.2/3/4/5/6四级标准</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9F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F4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0051E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42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9411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摄像头支架</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42E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摄像头的底座</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7DDE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监控专用支架</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56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5C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5A996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E2A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3CE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球型机支架</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C02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摄像头的底座</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874E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监控专用支架</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A77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911C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6A8BB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E44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E4AE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摄像头电源</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D50C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摄像头的电源</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3D49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监控专用电源</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B27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69</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DC9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6450D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81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0C55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室外球机立杆</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6D90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道路旁的摄像头电线杆子</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23BA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4.5米含地脚笼</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C6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0C0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23132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43E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AD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室外立杆</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9F0D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道路旁的摄像头电线杆子</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67B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3.5米含地脚笼</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E2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14B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11646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9F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4BF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防雷器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AAEB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机箱电源防雷器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C90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网络/电源网络二合一防雷器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CB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4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套</w:t>
            </w:r>
          </w:p>
        </w:tc>
      </w:tr>
      <w:tr w14:paraId="762C9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65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69C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室外配电箱</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6FA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室外摄像头的电闸箱</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32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全不锈钢制400*350MM</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56DC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B6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5A8F3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1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882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网络数字硬盘录像机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7B3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监控录像的储存设备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CEC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2U准机架式9盘位超脑NVR</w:t>
            </w:r>
          </w:p>
          <w:p w14:paraId="42F29DD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支持满配12TB硬盘（总容量可达108TB)</w:t>
            </w:r>
          </w:p>
          <w:p w14:paraId="2DAC493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2个或以上HDMI接口、2个或以上VGA接口，双异源输出，可支持8K+1080P或双4K输出</w:t>
            </w:r>
          </w:p>
          <w:p w14:paraId="1DB138E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2个或以上10M/100M/1000Mbps网口</w:t>
            </w:r>
          </w:p>
          <w:p w14:paraId="7554234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2个或以上USB2.0接口、2个或以上USB3.0接口</w:t>
            </w:r>
          </w:p>
          <w:p w14:paraId="760C0B8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1个或以上eSATA接口</w:t>
            </w:r>
          </w:p>
          <w:p w14:paraId="500099D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报警IO接口：16路报警输入，4路报警输出</w:t>
            </w:r>
          </w:p>
          <w:p w14:paraId="110A581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反向供电接口：1路（DC12V 1A）</w:t>
            </w:r>
          </w:p>
          <w:p w14:paraId="12C0EE4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串行接口：1路全双工485接口 ，1路标准RS-232接口</w:t>
            </w:r>
          </w:p>
          <w:p w14:paraId="5D3E287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【产品性能】</w:t>
            </w:r>
          </w:p>
          <w:p w14:paraId="252B7AC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输入带宽：≥320Mbps</w:t>
            </w:r>
          </w:p>
          <w:p w14:paraId="0DF7B49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输出带宽：≥256Mbps</w:t>
            </w:r>
          </w:p>
          <w:p w14:paraId="0291FED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接入能力：≥32路H.264、H.265格式高清码流接入</w:t>
            </w:r>
          </w:p>
          <w:p w14:paraId="65CAA2F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解码能力：≥32×1080P</w:t>
            </w:r>
          </w:p>
          <w:p w14:paraId="40BF22B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RAID模式：RAID0、RAID1、RAID5、RAID6、RAID10，支持全局热备盘（仅支持监控级AI盘或企业级硬盘启用RAID）</w:t>
            </w:r>
          </w:p>
          <w:p w14:paraId="5760CF1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【智能应用】</w:t>
            </w:r>
          </w:p>
          <w:p w14:paraId="14C19BC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一、目标识别应用：</w:t>
            </w:r>
          </w:p>
          <w:p w14:paraId="2A9126F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目标名单库：支持16个或以上目标库，名单库10万张或以上，路人库1万张或以上</w:t>
            </w:r>
          </w:p>
          <w:p w14:paraId="5FEBA35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目标抓拍：最大支持4路或以上（4MP）实时视频流本地目标抓拍</w:t>
            </w:r>
          </w:p>
          <w:p w14:paraId="3F13A42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目标比对：最大支持24路或以上图片流目标比对报警</w:t>
            </w:r>
          </w:p>
          <w:p w14:paraId="578A5C5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支持陌生人报警、人员频次报警、目标1V1比对</w:t>
            </w:r>
          </w:p>
          <w:p w14:paraId="4C2EC4E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支持以图搜图、按姓名检索、按属性检索</w:t>
            </w:r>
          </w:p>
          <w:p w14:paraId="40685CC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支持接入抓拍机分析精准客流：</w:t>
            </w:r>
          </w:p>
          <w:p w14:paraId="03C9808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1）支持客流分组统计、组内去重，可过滤特定人员库</w:t>
            </w:r>
          </w:p>
          <w:p w14:paraId="373E60C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2）支持客群分析，按性别、年龄段统计</w:t>
            </w:r>
          </w:p>
          <w:p w14:paraId="20B268B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3）支持对接客流引擎</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E0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7C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7B633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A5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5C9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监控显示屏</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2ED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监控录像的实时显示器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559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24英寸安防显示器FHD塑胶</w:t>
            </w:r>
          </w:p>
          <w:p w14:paraId="21A96BF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三边超窄边框，纤薄机身</w:t>
            </w:r>
          </w:p>
          <w:p w14:paraId="3D49E03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支持8bit/10bit 双路LVDS(1920×1080)高清显示</w:t>
            </w:r>
          </w:p>
          <w:p w14:paraId="4347208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采用3D数字梳状滤波器、3D降噪技术</w:t>
            </w:r>
          </w:p>
          <w:p w14:paraId="46CFC03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采用可编程12-bit RGB gamma校正技术</w:t>
            </w:r>
          </w:p>
          <w:p w14:paraId="3AAB66C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采用Mstar ACE-5自动彩色及图像增强引擎，改善图像的对比度，细节，边缘等</w:t>
            </w:r>
          </w:p>
          <w:p w14:paraId="3F5A8E7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内置喇叭，支持音频输入</w:t>
            </w:r>
          </w:p>
          <w:p w14:paraId="6F870AE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标准BNC接口，支持一路BNC视频输入</w:t>
            </w:r>
          </w:p>
          <w:p w14:paraId="2B04A40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支持文本、图片、音频、视频等多种格式多媒体播放</w:t>
            </w:r>
          </w:p>
          <w:p w14:paraId="508A333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显示尺寸：≥23.8 inch</w:t>
            </w:r>
          </w:p>
          <w:p w14:paraId="749EEE3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屏幕可视区域：527.04 (H) mm × 296.46 (V) mm</w:t>
            </w:r>
          </w:p>
          <w:p w14:paraId="1ACF9BF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物理分辨率：≥1920 × 1080</w:t>
            </w:r>
          </w:p>
          <w:p w14:paraId="6F41503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背光源类型：E-LED</w:t>
            </w:r>
          </w:p>
          <w:p w14:paraId="18E0B5B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像素间距：0.2745 (H) mm × 0.2745 (V) mm</w:t>
            </w:r>
          </w:p>
          <w:p w14:paraId="69A8896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亮度：250 cd/m²</w:t>
            </w:r>
          </w:p>
          <w:p w14:paraId="0D19643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可视角：178° (H) / 178° (V)</w:t>
            </w:r>
          </w:p>
          <w:p w14:paraId="5227823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色深度：8 bit, 16.7 M</w:t>
            </w:r>
          </w:p>
          <w:p w14:paraId="08EEB5B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色域：72% NTSC</w:t>
            </w:r>
          </w:p>
          <w:p w14:paraId="5A73493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对比度：3000 : 1</w:t>
            </w:r>
          </w:p>
          <w:p w14:paraId="64BB193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响应时间：16 ms</w:t>
            </w:r>
          </w:p>
          <w:p w14:paraId="21DFDA1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刷新率：60 Hz</w:t>
            </w:r>
          </w:p>
          <w:p w14:paraId="2EB519C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连续使用时间：7 × 24 H</w:t>
            </w:r>
          </w:p>
          <w:p w14:paraId="6138BBE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表面处理：Anti-Glare, 3H</w:t>
            </w:r>
          </w:p>
          <w:p w14:paraId="6D101C5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音视频输入接口：HDMI 1.4 × 1, VGA × 1，CVBS × 1，AUDIO IN × 1</w:t>
            </w:r>
          </w:p>
          <w:p w14:paraId="7A7CFF1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音视频输出接口：Speaker (2W 8Ω) × 2</w:t>
            </w:r>
          </w:p>
          <w:p w14:paraId="4A50613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数据传输接口：USB2.0 (支持程序升级和USB在线播放) × 1</w:t>
            </w:r>
          </w:p>
          <w:p w14:paraId="554C216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电源：100~240 VAC , 50/60 Hz</w:t>
            </w:r>
          </w:p>
          <w:p w14:paraId="643DB0D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功耗：≤ 25 W</w:t>
            </w:r>
          </w:p>
          <w:p w14:paraId="24A8BA2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待机功耗：≤ 0.5 W</w:t>
            </w:r>
          </w:p>
          <w:p w14:paraId="13785B6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工作温度：0 °C ~ 40 °C</w:t>
            </w:r>
          </w:p>
          <w:p w14:paraId="1806E914">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工作湿度：10% ~ 80% RH (无冷凝)</w:t>
            </w:r>
          </w:p>
          <w:p w14:paraId="42729AE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存储温度：-20 °C ~ 60 °C</w:t>
            </w:r>
          </w:p>
          <w:p w14:paraId="2FCE417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 存储湿度：5% ~ 90% RH (无冷凝)</w:t>
            </w:r>
          </w:p>
          <w:p w14:paraId="374ACAF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外壳材料：塑料</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5D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C4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232E4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5C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FE3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交换机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AEF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摄像头后台连通器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A0D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提供24个千兆电口和2个千兆光口</w:t>
            </w:r>
          </w:p>
          <w:p w14:paraId="6A1C6FAA">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交换容量：56 Gbps</w:t>
            </w:r>
          </w:p>
          <w:p w14:paraId="148273F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包转发率：41.67 Mpps</w:t>
            </w:r>
          </w:p>
          <w:p w14:paraId="63BF9A2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支持IEEE 802.3、IEEE 802.3u、IEEE 802.3x、IEEE 802.3ab标准</w:t>
            </w:r>
          </w:p>
          <w:p w14:paraId="21CF697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支持管理平台管理</w:t>
            </w:r>
          </w:p>
          <w:p w14:paraId="1FF0868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支持手机APP管理</w:t>
            </w:r>
          </w:p>
          <w:p w14:paraId="278F768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支持安防网络拓扑管理、端口管理，支持远程升级</w:t>
            </w:r>
          </w:p>
          <w:p w14:paraId="28B8BEC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支持VLAN</w:t>
            </w:r>
          </w:p>
          <w:p w14:paraId="5BF6DBD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支持SNMPv1/v2c协议</w:t>
            </w:r>
          </w:p>
          <w:p w14:paraId="7D3EDD8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支持DHCP Snooping</w:t>
            </w:r>
          </w:p>
          <w:p w14:paraId="75AD84C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支持静态链路聚合</w:t>
            </w:r>
          </w:p>
          <w:p w14:paraId="0E51D2E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坚固式高强度金属外壳</w:t>
            </w:r>
          </w:p>
          <w:p w14:paraId="5F74FA7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无风扇设计，高可靠性</w:t>
            </w:r>
          </w:p>
          <w:p w14:paraId="6D162B7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安装方式：机架式</w:t>
            </w:r>
          </w:p>
          <w:p w14:paraId="1F5B16B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供电方式：110-240 VAC, 50/60 Hz, 0.7 A</w:t>
            </w:r>
          </w:p>
          <w:p w14:paraId="3285C33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浪涌防护：网口6 KV</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4D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47C0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6DB1A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71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FC7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交换机</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F4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摄像头后台连通器</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24D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24口千兆全网管二层交换机</w:t>
            </w:r>
          </w:p>
          <w:p w14:paraId="0E36F662">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机架式</w:t>
            </w:r>
          </w:p>
          <w:p w14:paraId="1401DE7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24个千兆电口</w:t>
            </w:r>
          </w:p>
          <w:p w14:paraId="5ADF157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4个千兆光口</w:t>
            </w:r>
          </w:p>
          <w:p w14:paraId="73F1472C">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支持通过console口管理。交换容量：336Gbps/3.36Tbps</w:t>
            </w:r>
          </w:p>
          <w:p w14:paraId="3BC17B9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包转发率：42Mpps/96Mpps</w:t>
            </w:r>
          </w:p>
          <w:p w14:paraId="1C648E01">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1U高度</w:t>
            </w:r>
          </w:p>
          <w:p w14:paraId="47580FB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19英寸宽</w:t>
            </w:r>
          </w:p>
          <w:p w14:paraId="10FCCB90">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工作温度：0℃～40℃</w:t>
            </w:r>
          </w:p>
          <w:p w14:paraId="3F8A9A88">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支持220v交流</w:t>
            </w:r>
          </w:p>
          <w:p w14:paraId="17081F29">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满负荷功耗23W；支持VLAN</w:t>
            </w:r>
          </w:p>
          <w:p w14:paraId="39E743E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流量控制</w:t>
            </w:r>
          </w:p>
          <w:p w14:paraId="1550D4BB">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ACL</w:t>
            </w:r>
          </w:p>
          <w:p w14:paraId="0F3824E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QOS支持SNMP V1/V2c/V3网管。</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D6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CB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台</w:t>
            </w:r>
          </w:p>
        </w:tc>
      </w:tr>
      <w:tr w14:paraId="6D547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9DE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87C7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光纤收发器</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E12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监控内网构建设备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3A8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1口千兆光纤收发器工业导轨式接收机</w:t>
            </w:r>
          </w:p>
          <w:p w14:paraId="7487A873">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光口：1个千兆光口</w:t>
            </w:r>
          </w:p>
          <w:p w14:paraId="1040A7D7">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距离20公里</w:t>
            </w:r>
          </w:p>
          <w:p w14:paraId="16CE841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FC口</w:t>
            </w:r>
          </w:p>
          <w:p w14:paraId="1C07E55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单模单纤；电口：1个千兆网口；安装方式：工业导轨式；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EA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36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对</w:t>
            </w:r>
          </w:p>
        </w:tc>
      </w:tr>
      <w:tr w14:paraId="448B2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B8B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9D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硬盘</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65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监控录像的储存设备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561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≥4TB容量，3.5英寸 SATA 3.0接口，5400RPM</w:t>
            </w:r>
          </w:p>
          <w:p w14:paraId="33288AA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单硬盘支持≥32个摄像头的高清流</w:t>
            </w:r>
          </w:p>
          <w:p w14:paraId="0CF7B3E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高达128MiB缓冲区，流畅存储视频有效防止丢帧</w:t>
            </w:r>
          </w:p>
          <w:p w14:paraId="45F24656">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24×7全天候高效稳定运行</w:t>
            </w:r>
          </w:p>
          <w:p w14:paraId="14010C9E">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年度工作负载等级为≥180TB/年</w:t>
            </w:r>
          </w:p>
          <w:p w14:paraId="464E471F">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MTBF可达1,000,000小时</w:t>
            </w:r>
          </w:p>
          <w:p w14:paraId="411B9CE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高级格式（AF）512e扇区技术，保障硬盘扇区4K对齐</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CB1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E65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块</w:t>
            </w:r>
          </w:p>
        </w:tc>
      </w:tr>
      <w:tr w14:paraId="03F5F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47B3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CC1C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机柜</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5AC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机柜</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A4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宽*高*深:≥600*2000*1000服务器机柜</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CA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19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30F0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78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A7F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光端盒</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3D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监控内网构建设备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1E5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4口</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22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9F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个</w:t>
            </w:r>
          </w:p>
        </w:tc>
      </w:tr>
      <w:tr w14:paraId="496B4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039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A78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光纤跳线</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9C3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监控内网构建设备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8AAE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2.5米</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E5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804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13440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21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253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光纤尾纤</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B7AC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监控内网构建设备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0F25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2.5米</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12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146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根</w:t>
            </w:r>
          </w:p>
        </w:tc>
      </w:tr>
      <w:tr w14:paraId="469B5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43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772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光纤培接</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63D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监控内网构建设备</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4EE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单模芯对接</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7D9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58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芯</w:t>
            </w:r>
          </w:p>
        </w:tc>
      </w:tr>
      <w:tr w14:paraId="5D40B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39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52E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辅材</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EC3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辅材</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2FF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lang w:eastAsia="zh-CN"/>
              </w:rPr>
            </w:pPr>
            <w:r>
              <w:rPr>
                <w:rFonts w:hint="eastAsia" w:ascii="微软雅黑" w:hAnsi="微软雅黑" w:eastAsia="微软雅黑" w:cs="微软雅黑"/>
                <w:i w:val="0"/>
                <w:iCs w:val="0"/>
                <w:color w:val="000000"/>
                <w:sz w:val="18"/>
                <w:szCs w:val="18"/>
                <w:u w:val="none"/>
                <w:lang w:eastAsia="zh-CN"/>
              </w:rPr>
              <w:t>设备安装用到的辅材，包括插座等。</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BA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6F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批</w:t>
            </w:r>
          </w:p>
        </w:tc>
      </w:tr>
      <w:tr w14:paraId="69E4F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2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16D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Style w:val="31"/>
                <w:rFonts w:hint="eastAsia" w:ascii="微软雅黑" w:hAnsi="微软雅黑" w:eastAsia="微软雅黑" w:cs="微软雅黑"/>
                <w:sz w:val="18"/>
                <w:szCs w:val="18"/>
                <w:lang w:val="en-US" w:eastAsia="zh-CN" w:bidi="ar"/>
              </w:rPr>
              <w:t>教师电脑</w:t>
            </w:r>
          </w:p>
        </w:tc>
      </w:tr>
      <w:tr w14:paraId="2BF4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4F6EB">
            <w:pPr>
              <w:keepNext w:val="0"/>
              <w:keepLines w:val="0"/>
              <w:widowControl/>
              <w:suppressLineNumbers w:val="0"/>
              <w:jc w:val="left"/>
              <w:textAlignment w:val="center"/>
              <w:rPr>
                <w:rStyle w:val="31"/>
                <w:rFonts w:hint="eastAsia" w:ascii="微软雅黑" w:hAnsi="微软雅黑" w:eastAsia="微软雅黑" w:cs="微软雅黑"/>
                <w:sz w:val="18"/>
                <w:szCs w:val="18"/>
                <w:lang w:val="en-US" w:eastAsia="zh-CN" w:bidi="ar"/>
              </w:rPr>
            </w:pPr>
            <w:r>
              <w:rPr>
                <w:rStyle w:val="31"/>
                <w:rFonts w:hint="eastAsia" w:ascii="微软雅黑" w:hAnsi="微软雅黑" w:eastAsia="微软雅黑" w:cs="微软雅黑"/>
                <w:sz w:val="18"/>
                <w:szCs w:val="18"/>
                <w:lang w:val="en-US" w:eastAsia="zh-CN" w:bidi="ar"/>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936E">
            <w:pPr>
              <w:keepNext w:val="0"/>
              <w:keepLines w:val="0"/>
              <w:widowControl/>
              <w:suppressLineNumbers w:val="0"/>
              <w:jc w:val="left"/>
              <w:textAlignment w:val="center"/>
              <w:rPr>
                <w:rStyle w:val="31"/>
                <w:rFonts w:hint="eastAsia" w:ascii="微软雅黑" w:hAnsi="微软雅黑" w:eastAsia="微软雅黑" w:cs="微软雅黑"/>
                <w:sz w:val="18"/>
                <w:szCs w:val="18"/>
                <w:lang w:val="en-US" w:eastAsia="zh-CN" w:bidi="ar"/>
              </w:rPr>
            </w:pPr>
            <w:r>
              <w:rPr>
                <w:rStyle w:val="31"/>
                <w:rFonts w:hint="eastAsia" w:ascii="微软雅黑" w:hAnsi="微软雅黑" w:eastAsia="微软雅黑" w:cs="微软雅黑"/>
                <w:sz w:val="18"/>
                <w:szCs w:val="18"/>
                <w:lang w:val="en-US" w:eastAsia="zh-CN" w:bidi="ar"/>
              </w:rPr>
              <w:t>台式电脑</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5352">
            <w:pPr>
              <w:keepNext w:val="0"/>
              <w:keepLines w:val="0"/>
              <w:widowControl/>
              <w:suppressLineNumbers w:val="0"/>
              <w:jc w:val="left"/>
              <w:textAlignment w:val="center"/>
              <w:rPr>
                <w:rStyle w:val="31"/>
                <w:rFonts w:hint="eastAsia" w:ascii="微软雅黑" w:hAnsi="微软雅黑" w:eastAsia="微软雅黑" w:cs="微软雅黑"/>
                <w:sz w:val="18"/>
                <w:szCs w:val="18"/>
                <w:lang w:val="en-US" w:eastAsia="zh-CN" w:bidi="ar"/>
              </w:rPr>
            </w:pPr>
            <w:r>
              <w:rPr>
                <w:rStyle w:val="31"/>
                <w:rFonts w:hint="eastAsia" w:ascii="微软雅黑" w:hAnsi="微软雅黑" w:eastAsia="微软雅黑" w:cs="微软雅黑"/>
                <w:sz w:val="18"/>
                <w:szCs w:val="18"/>
                <w:lang w:val="en-US" w:eastAsia="zh-CN" w:bidi="ar"/>
              </w:rPr>
              <w:t>教室用的台式电脑</w:t>
            </w:r>
          </w:p>
        </w:tc>
        <w:tc>
          <w:tcPr>
            <w:tcW w:w="6927" w:type="dxa"/>
            <w:tcBorders>
              <w:top w:val="single" w:color="000000" w:sz="4" w:space="0"/>
              <w:left w:val="single" w:color="000000" w:sz="4" w:space="0"/>
              <w:bottom w:val="single" w:color="000000" w:sz="4" w:space="0"/>
              <w:right w:val="single" w:color="000000" w:sz="4" w:space="0"/>
            </w:tcBorders>
            <w:shd w:val="clear" w:color="auto" w:fill="auto"/>
            <w:vAlign w:val="top"/>
          </w:tcPr>
          <w:p w14:paraId="250B4C21">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机型：商用台式电脑</w:t>
            </w:r>
          </w:p>
          <w:p w14:paraId="38D66ACF">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CPU：≥Intel酷睿i5十代及以上处理器（主频≥3.0GHz，最高睿频≥3.8GHz）</w:t>
            </w:r>
          </w:p>
          <w:p w14:paraId="75974D04">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主板：Intel H470或以上主板芯片组</w:t>
            </w:r>
          </w:p>
          <w:p w14:paraId="52BE33A3">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 xml:space="preserve">内存：≥8GB DDR4-2666MHz内存，双内存槽位 </w:t>
            </w:r>
          </w:p>
          <w:p w14:paraId="7F57B9CB">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硬盘：≥512G M.2固态硬盘</w:t>
            </w:r>
          </w:p>
          <w:p w14:paraId="450141D6">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显卡：集成高性能显卡</w:t>
            </w:r>
          </w:p>
          <w:p w14:paraId="056B21BA">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声卡：集成声卡，前置1个音频接口，内置音箱</w:t>
            </w:r>
          </w:p>
          <w:p w14:paraId="1E3526B8">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网卡：集成千兆网卡及无线网卡，蓝牙5.0</w:t>
            </w:r>
          </w:p>
          <w:p w14:paraId="5DF02857">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电源：≥外置65W 89%高能效电源。</w:t>
            </w:r>
          </w:p>
          <w:p w14:paraId="5220FC65">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接口：不少于6个USB3.2 接口、1个DP接口、1个HDMI接口。</w:t>
            </w:r>
          </w:p>
          <w:p w14:paraId="4A242CB3">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操作系统：原厂预装正版Windows 11操作系统，微软正版可查。</w:t>
            </w:r>
          </w:p>
          <w:p w14:paraId="7FEEC615">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显示器：≥21.45寸液晶显示器，内置低蓝光功能，支持物理切换，与主机同一品牌或主机品牌旗下品牌显示器。</w:t>
            </w:r>
          </w:p>
          <w:p w14:paraId="34EE85ED">
            <w:pPr>
              <w:pStyle w:val="27"/>
              <w:widowControl/>
              <w:numPr>
                <w:ilvl w:val="0"/>
                <w:numId w:val="4"/>
              </w:numPr>
              <w:ind w:left="0" w:leftChars="0" w:firstLine="0" w:firstLineChars="0"/>
              <w:jc w:val="left"/>
              <w:rPr>
                <w:rFonts w:hint="eastAsia" w:ascii="微软雅黑" w:hAnsi="微软雅黑" w:eastAsia="微软雅黑" w:cs="微软雅黑"/>
                <w:i w:val="0"/>
                <w:iCs w:val="0"/>
                <w:snapToGrid w:val="0"/>
                <w:color w:val="000000"/>
                <w:sz w:val="18"/>
                <w:szCs w:val="18"/>
                <w:u w:val="none"/>
                <w:lang w:val="en-US" w:eastAsia="zh-CN" w:bidi="ar-SA"/>
              </w:rPr>
            </w:pPr>
            <w:r>
              <w:rPr>
                <w:rFonts w:hint="eastAsia" w:ascii="微软雅黑" w:hAnsi="微软雅黑" w:eastAsia="微软雅黑" w:cs="微软雅黑"/>
                <w:i w:val="0"/>
                <w:iCs w:val="0"/>
                <w:snapToGrid w:val="0"/>
                <w:color w:val="000000"/>
                <w:sz w:val="18"/>
                <w:szCs w:val="18"/>
                <w:u w:val="none"/>
                <w:lang w:val="en-US" w:eastAsia="zh-CN" w:bidi="ar-SA"/>
              </w:rPr>
              <w:t>机箱：小型机箱体积≤1L。</w:t>
            </w:r>
          </w:p>
          <w:p w14:paraId="68AD9ACC">
            <w:pPr>
              <w:keepNext w:val="0"/>
              <w:keepLines w:val="0"/>
              <w:widowControl/>
              <w:suppressLineNumbers w:val="0"/>
              <w:ind w:left="0" w:leftChars="0" w:firstLine="0" w:firstLineChars="0"/>
              <w:jc w:val="left"/>
              <w:textAlignment w:val="center"/>
              <w:rPr>
                <w:rStyle w:val="31"/>
                <w:rFonts w:hint="eastAsia" w:ascii="微软雅黑" w:hAnsi="微软雅黑" w:eastAsia="微软雅黑" w:cs="微软雅黑"/>
                <w:sz w:val="18"/>
                <w:szCs w:val="18"/>
                <w:lang w:val="en-US" w:eastAsia="zh-CN" w:bidi="ar"/>
              </w:rPr>
            </w:pPr>
            <w:r>
              <w:rPr>
                <w:rFonts w:hint="eastAsia" w:ascii="微软雅黑" w:hAnsi="微软雅黑" w:eastAsia="微软雅黑" w:cs="微软雅黑"/>
                <w:i w:val="0"/>
                <w:iCs w:val="0"/>
                <w:snapToGrid w:val="0"/>
                <w:color w:val="000000"/>
                <w:sz w:val="18"/>
                <w:szCs w:val="18"/>
                <w:u w:val="none"/>
                <w:lang w:val="en-US" w:eastAsia="zh-CN" w:bidi="ar-SA"/>
              </w:rPr>
              <w:t>售后服务：原厂商承诺主要部件三年保修及上门，原厂400或800售后电话服务，原厂到现场安装验机服务。</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04280">
            <w:pPr>
              <w:keepNext w:val="0"/>
              <w:keepLines w:val="0"/>
              <w:widowControl/>
              <w:suppressLineNumbers w:val="0"/>
              <w:jc w:val="left"/>
              <w:textAlignment w:val="center"/>
              <w:rPr>
                <w:rStyle w:val="31"/>
                <w:rFonts w:hint="eastAsia" w:ascii="微软雅黑" w:hAnsi="微软雅黑" w:eastAsia="微软雅黑" w:cs="微软雅黑"/>
                <w:sz w:val="18"/>
                <w:szCs w:val="18"/>
                <w:lang w:val="en-US" w:eastAsia="zh-CN" w:bidi="ar"/>
              </w:rPr>
            </w:pPr>
            <w:r>
              <w:rPr>
                <w:rStyle w:val="31"/>
                <w:rFonts w:hint="eastAsia" w:ascii="微软雅黑" w:hAnsi="微软雅黑" w:eastAsia="微软雅黑" w:cs="微软雅黑"/>
                <w:sz w:val="18"/>
                <w:szCs w:val="18"/>
                <w:lang w:val="en-US" w:eastAsia="zh-CN" w:bidi="ar"/>
              </w:rPr>
              <w:t>98</w:t>
            </w:r>
          </w:p>
        </w:tc>
        <w:tc>
          <w:tcPr>
            <w:tcW w:w="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38264">
            <w:pPr>
              <w:keepNext w:val="0"/>
              <w:keepLines w:val="0"/>
              <w:widowControl/>
              <w:suppressLineNumbers w:val="0"/>
              <w:jc w:val="left"/>
              <w:textAlignment w:val="center"/>
              <w:rPr>
                <w:rStyle w:val="31"/>
                <w:rFonts w:hint="eastAsia" w:ascii="微软雅黑" w:hAnsi="微软雅黑" w:eastAsia="微软雅黑" w:cs="微软雅黑"/>
                <w:sz w:val="18"/>
                <w:szCs w:val="18"/>
                <w:lang w:val="en-US" w:eastAsia="zh-CN" w:bidi="ar"/>
              </w:rPr>
            </w:pPr>
            <w:r>
              <w:rPr>
                <w:rStyle w:val="31"/>
                <w:rFonts w:hint="eastAsia" w:ascii="微软雅黑" w:hAnsi="微软雅黑" w:eastAsia="微软雅黑" w:cs="微软雅黑"/>
                <w:sz w:val="18"/>
                <w:szCs w:val="18"/>
                <w:lang w:val="en-US" w:eastAsia="zh-CN" w:bidi="ar"/>
              </w:rPr>
              <w:t>台</w:t>
            </w:r>
          </w:p>
        </w:tc>
      </w:tr>
    </w:tbl>
    <w:p w14:paraId="45090183">
      <w:pPr>
        <w:bidi w:val="0"/>
        <w:rPr>
          <w:rFonts w:hint="eastAsia" w:ascii="Arial" w:hAnsi="Arial" w:eastAsia="Arial" w:cs="Arial"/>
          <w:snapToGrid w:val="0"/>
          <w:color w:val="000000"/>
          <w:sz w:val="21"/>
          <w:szCs w:val="21"/>
          <w:lang w:val="en-US" w:eastAsia="zh-CN" w:bidi="ar-SA"/>
        </w:rPr>
      </w:pPr>
    </w:p>
    <w:p w14:paraId="39850961">
      <w:pPr>
        <w:bidi w:val="0"/>
        <w:rPr>
          <w:rFonts w:hint="eastAsia"/>
          <w:b/>
          <w:bCs/>
          <w:sz w:val="22"/>
          <w:szCs w:val="22"/>
          <w:lang w:val="en-US" w:eastAsia="zh-CN"/>
        </w:rPr>
      </w:pPr>
    </w:p>
    <w:p w14:paraId="10A8B7C1">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b/>
          <w:bCs/>
          <w:color w:val="auto"/>
          <w:sz w:val="24"/>
          <w:szCs w:val="24"/>
          <w:highlight w:val="none"/>
        </w:rPr>
      </w:pPr>
      <w:r>
        <w:rPr>
          <w:rFonts w:hint="eastAsia"/>
          <w:b/>
          <w:bCs/>
          <w:sz w:val="22"/>
          <w:szCs w:val="22"/>
          <w:lang w:val="en-US" w:eastAsia="zh-CN"/>
        </w:rPr>
        <w:tab/>
      </w:r>
      <w:r>
        <w:rPr>
          <w:rFonts w:hint="eastAsia"/>
          <w:b/>
          <w:bCs/>
          <w:sz w:val="22"/>
          <w:szCs w:val="22"/>
          <w:lang w:val="en-US" w:eastAsia="zh-CN"/>
        </w:rPr>
        <w:t xml:space="preserve">  </w:t>
      </w:r>
      <w:r>
        <w:rPr>
          <w:rFonts w:hint="eastAsia"/>
          <w:b/>
          <w:bCs/>
          <w:sz w:val="24"/>
          <w:szCs w:val="24"/>
          <w:lang w:val="en-US" w:eastAsia="zh-CN"/>
        </w:rPr>
        <w:t xml:space="preserve">  </w:t>
      </w:r>
      <w:r>
        <w:rPr>
          <w:rFonts w:hint="eastAsia"/>
          <w:b/>
          <w:bCs/>
          <w:color w:val="auto"/>
          <w:sz w:val="24"/>
          <w:szCs w:val="24"/>
          <w:highlight w:val="none"/>
        </w:rPr>
        <w:t>1、本项目核心产品是室内全彩屏幕、室外400万高清网络红外枪机、</w:t>
      </w:r>
      <w:r>
        <w:rPr>
          <w:rFonts w:hint="eastAsia"/>
          <w:b/>
          <w:bCs/>
          <w:color w:val="auto"/>
          <w:sz w:val="24"/>
          <w:szCs w:val="24"/>
          <w:highlight w:val="none"/>
          <w:lang w:val="en-US" w:eastAsia="zh-CN"/>
        </w:rPr>
        <w:t>台式电脑</w:t>
      </w:r>
      <w:r>
        <w:rPr>
          <w:rFonts w:hint="eastAsia"/>
          <w:b/>
          <w:bCs/>
          <w:color w:val="auto"/>
          <w:sz w:val="24"/>
          <w:szCs w:val="24"/>
          <w:highlight w:val="none"/>
        </w:rPr>
        <w:t>、</w:t>
      </w:r>
      <w:r>
        <w:rPr>
          <w:rFonts w:hint="eastAsia"/>
          <w:b/>
          <w:bCs/>
          <w:color w:val="auto"/>
          <w:sz w:val="24"/>
          <w:szCs w:val="24"/>
          <w:highlight w:val="none"/>
          <w:lang w:val="en-US" w:eastAsia="zh-CN"/>
        </w:rPr>
        <w:t>IP网络音箱</w:t>
      </w:r>
      <w:r>
        <w:rPr>
          <w:rFonts w:hint="eastAsia"/>
          <w:b/>
          <w:bCs/>
          <w:color w:val="auto"/>
          <w:sz w:val="24"/>
          <w:szCs w:val="24"/>
          <w:highlight w:val="none"/>
        </w:rPr>
        <w:t>。</w:t>
      </w:r>
    </w:p>
    <w:p w14:paraId="01EB2FBA">
      <w:pPr>
        <w:keepNext w:val="0"/>
        <w:keepLines w:val="0"/>
        <w:pageBreakBefore w:val="0"/>
        <w:widowControl/>
        <w:kinsoku w:val="0"/>
        <w:wordWrap/>
        <w:overflowPunct/>
        <w:topLinePunct w:val="0"/>
        <w:autoSpaceDE w:val="0"/>
        <w:autoSpaceDN w:val="0"/>
        <w:bidi w:val="0"/>
        <w:adjustRightInd w:val="0"/>
        <w:snapToGrid w:val="0"/>
        <w:spacing w:line="318" w:lineRule="auto"/>
        <w:ind w:firstLine="720" w:firstLineChars="300"/>
        <w:textAlignment w:val="baseline"/>
        <w:rPr>
          <w:b/>
          <w:bCs/>
          <w:color w:val="auto"/>
          <w:sz w:val="24"/>
          <w:szCs w:val="24"/>
          <w:highlight w:val="none"/>
        </w:rPr>
      </w:pPr>
      <w:r>
        <w:rPr>
          <w:rFonts w:hint="eastAsia"/>
          <w:b/>
          <w:bCs/>
          <w:color w:val="auto"/>
          <w:sz w:val="24"/>
          <w:szCs w:val="24"/>
          <w:highlight w:val="none"/>
        </w:rPr>
        <w:t>2、投标人所投产品（室内全彩屏幕、室外400万高清网络红外</w:t>
      </w:r>
      <w:r>
        <w:rPr>
          <w:rFonts w:hint="eastAsia" w:eastAsia="宋体"/>
          <w:b/>
          <w:bCs/>
          <w:color w:val="auto"/>
          <w:sz w:val="24"/>
          <w:szCs w:val="24"/>
          <w:highlight w:val="none"/>
          <w:lang w:val="en-US" w:eastAsia="zh-CN"/>
        </w:rPr>
        <w:t xml:space="preserve"> </w:t>
      </w:r>
      <w:r>
        <w:rPr>
          <w:rFonts w:hint="eastAsia"/>
          <w:b/>
          <w:bCs/>
          <w:color w:val="auto"/>
          <w:sz w:val="24"/>
          <w:szCs w:val="24"/>
          <w:highlight w:val="none"/>
        </w:rPr>
        <w:t>枪机、</w:t>
      </w:r>
      <w:r>
        <w:rPr>
          <w:rFonts w:hint="eastAsia"/>
          <w:b/>
          <w:bCs/>
          <w:color w:val="auto"/>
          <w:sz w:val="24"/>
          <w:szCs w:val="24"/>
          <w:highlight w:val="none"/>
          <w:lang w:val="en-US" w:eastAsia="zh-CN"/>
        </w:rPr>
        <w:t>台式电脑</w:t>
      </w:r>
      <w:r>
        <w:rPr>
          <w:rFonts w:hint="eastAsia"/>
          <w:b/>
          <w:bCs/>
          <w:color w:val="auto"/>
          <w:sz w:val="24"/>
          <w:szCs w:val="24"/>
          <w:highlight w:val="none"/>
        </w:rPr>
        <w:t>、</w:t>
      </w:r>
      <w:r>
        <w:rPr>
          <w:rFonts w:hint="eastAsia"/>
          <w:b/>
          <w:bCs/>
          <w:color w:val="auto"/>
          <w:sz w:val="24"/>
          <w:szCs w:val="24"/>
          <w:highlight w:val="none"/>
          <w:lang w:val="en-US" w:eastAsia="zh-CN"/>
        </w:rPr>
        <w:t>IP网络音箱</w:t>
      </w:r>
      <w:r>
        <w:rPr>
          <w:rFonts w:hint="eastAsia"/>
          <w:b/>
          <w:bCs/>
          <w:color w:val="auto"/>
          <w:sz w:val="24"/>
          <w:szCs w:val="24"/>
          <w:highlight w:val="none"/>
        </w:rPr>
        <w:t>）必须满足或优于以上参数。</w:t>
      </w:r>
    </w:p>
    <w:p w14:paraId="58649071">
      <w:pPr>
        <w:keepNext w:val="0"/>
        <w:keepLines w:val="0"/>
        <w:pageBreakBefore w:val="0"/>
        <w:widowControl/>
        <w:tabs>
          <w:tab w:val="left" w:pos="1706"/>
        </w:tabs>
        <w:kinsoku w:val="0"/>
        <w:wordWrap/>
        <w:overflowPunct/>
        <w:topLinePunct w:val="0"/>
        <w:autoSpaceDE w:val="0"/>
        <w:autoSpaceDN w:val="0"/>
        <w:bidi w:val="0"/>
        <w:adjustRightInd w:val="0"/>
        <w:snapToGrid w:val="0"/>
        <w:jc w:val="left"/>
        <w:textAlignment w:val="baseline"/>
        <w:rPr>
          <w:rFonts w:hint="eastAsia"/>
          <w:b/>
          <w:bCs/>
          <w:sz w:val="24"/>
          <w:szCs w:val="24"/>
          <w:lang w:val="en-US" w:eastAsia="zh-CN"/>
        </w:rPr>
        <w:sectPr>
          <w:pgSz w:w="16840" w:h="11907" w:orient="landscape"/>
          <w:pgMar w:top="1701" w:right="1313" w:bottom="380" w:left="1139" w:header="851" w:footer="964" w:gutter="0"/>
          <w:cols w:space="0" w:num="1"/>
          <w:rtlGutter w:val="0"/>
          <w:docGrid w:linePitch="0" w:charSpace="0"/>
        </w:sectPr>
      </w:pPr>
    </w:p>
    <w:p w14:paraId="2BA9CD34">
      <w:pPr>
        <w:spacing w:before="140" w:line="577" w:lineRule="exact"/>
        <w:ind w:left="24"/>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2CC0295">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342CA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51C5982">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7118DD69">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33A8FCA7">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7B711D94">
            <w:pPr>
              <w:spacing w:line="360" w:lineRule="auto"/>
              <w:jc w:val="center"/>
              <w:rPr>
                <w:rFonts w:ascii="宋体" w:cs="宋体"/>
                <w:b/>
                <w:sz w:val="23"/>
                <w:szCs w:val="23"/>
              </w:rPr>
            </w:pPr>
            <w:r>
              <w:rPr>
                <w:rFonts w:hint="eastAsia" w:ascii="宋体" w:hAnsi="宋体" w:cs="宋体"/>
                <w:b/>
                <w:sz w:val="23"/>
                <w:szCs w:val="23"/>
              </w:rPr>
              <w:t>备注</w:t>
            </w:r>
          </w:p>
        </w:tc>
      </w:tr>
      <w:tr w14:paraId="003C4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62700347">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4E629FD1">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458F62B5">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14:paraId="2164BF9D">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2D02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29D8DB55">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44186036">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2B159078">
            <w:pPr>
              <w:spacing w:line="360" w:lineRule="auto"/>
              <w:ind w:right="-86" w:rightChars="-41"/>
              <w:rPr>
                <w:rFonts w:ascii="宋体" w:eastAsia="宋体" w:cs="宋体"/>
                <w:sz w:val="23"/>
                <w:szCs w:val="23"/>
                <w:lang w:val="zh-CN"/>
              </w:rPr>
            </w:pPr>
            <w:r>
              <w:rPr>
                <w:rFonts w:hint="eastAsia" w:ascii="宋体" w:eastAsia="宋体" w:cs="宋体"/>
                <w:sz w:val="23"/>
                <w:szCs w:val="23"/>
                <w:lang w:val="zh-CN" w:eastAsia="zh-CN"/>
              </w:rPr>
              <w:t>签订合同后</w:t>
            </w:r>
            <w:r>
              <w:rPr>
                <w:rFonts w:hint="eastAsia" w:ascii="宋体" w:eastAsia="宋体" w:cs="宋体"/>
                <w:sz w:val="23"/>
                <w:szCs w:val="23"/>
                <w:lang w:val="en-US" w:eastAsia="zh-CN"/>
              </w:rPr>
              <w:t>30</w:t>
            </w:r>
            <w:r>
              <w:rPr>
                <w:rFonts w:hint="eastAsia" w:ascii="宋体" w:eastAsia="宋体" w:cs="宋体"/>
                <w:sz w:val="23"/>
                <w:szCs w:val="23"/>
                <w:lang w:val="zh-CN" w:eastAsia="zh-CN"/>
              </w:rPr>
              <w:t>日历天完成项目建设</w:t>
            </w:r>
          </w:p>
        </w:tc>
        <w:tc>
          <w:tcPr>
            <w:tcW w:w="1425" w:type="dxa"/>
            <w:vAlign w:val="center"/>
          </w:tcPr>
          <w:p w14:paraId="26BF2126">
            <w:pPr>
              <w:spacing w:line="360" w:lineRule="auto"/>
              <w:jc w:val="center"/>
              <w:rPr>
                <w:rFonts w:ascii="宋体" w:cs="宋体"/>
                <w:sz w:val="23"/>
                <w:szCs w:val="23"/>
              </w:rPr>
            </w:pPr>
            <w:r>
              <w:rPr>
                <w:rFonts w:hint="eastAsia" w:ascii="宋体" w:hAnsi="宋体" w:cs="宋体"/>
                <w:sz w:val="23"/>
                <w:szCs w:val="23"/>
              </w:rPr>
              <w:t>不可负偏离</w:t>
            </w:r>
          </w:p>
        </w:tc>
      </w:tr>
      <w:tr w14:paraId="294AB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76163297">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23E3A134">
            <w:pPr>
              <w:spacing w:line="360" w:lineRule="auto"/>
              <w:jc w:val="center"/>
              <w:rPr>
                <w:rFonts w:hint="default" w:ascii="宋体" w:hAnsi="宋体" w:cs="宋体"/>
                <w:sz w:val="23"/>
                <w:szCs w:val="23"/>
                <w:lang w:val="zh-CN" w:eastAsia="zh-CN"/>
              </w:rPr>
            </w:pPr>
            <w:r>
              <w:rPr>
                <w:rFonts w:hint="eastAsia" w:ascii="宋体" w:hAnsi="宋体" w:cs="宋体"/>
                <w:sz w:val="23"/>
                <w:szCs w:val="23"/>
                <w:lang w:val="en-US" w:eastAsia="zh-CN"/>
              </w:rPr>
              <w:t>质保期</w:t>
            </w:r>
          </w:p>
        </w:tc>
        <w:tc>
          <w:tcPr>
            <w:tcW w:w="6232" w:type="dxa"/>
            <w:vAlign w:val="center"/>
          </w:tcPr>
          <w:p w14:paraId="20E20AC1">
            <w:pPr>
              <w:spacing w:line="360" w:lineRule="auto"/>
              <w:jc w:val="left"/>
              <w:rPr>
                <w:rFonts w:hint="default" w:ascii="宋体" w:hAnsi="宋体" w:cs="宋体"/>
                <w:sz w:val="23"/>
                <w:szCs w:val="23"/>
                <w:lang w:val="zh-CN" w:eastAsia="zh-CN"/>
              </w:rPr>
            </w:pPr>
            <w:r>
              <w:rPr>
                <w:rFonts w:hint="eastAsia" w:ascii="宋体" w:hAnsi="宋体" w:cs="宋体"/>
                <w:sz w:val="23"/>
                <w:szCs w:val="23"/>
                <w:lang w:val="en-US" w:eastAsia="zh-CN"/>
              </w:rPr>
              <w:t>自项目验收之日起质保两年</w:t>
            </w:r>
          </w:p>
        </w:tc>
        <w:tc>
          <w:tcPr>
            <w:tcW w:w="1425" w:type="dxa"/>
            <w:vAlign w:val="center"/>
          </w:tcPr>
          <w:p w14:paraId="0F49C087">
            <w:pPr>
              <w:spacing w:line="360" w:lineRule="auto"/>
              <w:jc w:val="center"/>
              <w:rPr>
                <w:rFonts w:ascii="宋体" w:cs="宋体"/>
                <w:sz w:val="23"/>
                <w:szCs w:val="23"/>
              </w:rPr>
            </w:pPr>
            <w:r>
              <w:rPr>
                <w:rFonts w:hint="eastAsia" w:ascii="宋体" w:hAnsi="宋体" w:cs="宋体"/>
                <w:sz w:val="23"/>
                <w:szCs w:val="23"/>
              </w:rPr>
              <w:t>不可负偏离</w:t>
            </w:r>
          </w:p>
        </w:tc>
      </w:tr>
      <w:tr w14:paraId="14060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35D3AC0B">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14:paraId="219FEC41">
            <w:pPr>
              <w:jc w:val="center"/>
              <w:rPr>
                <w:rFonts w:ascii="宋体" w:hAnsi="宋体" w:eastAsia="宋体" w:cs="宋体"/>
                <w:snapToGrid w:val="0"/>
                <w:color w:val="000000"/>
                <w:sz w:val="21"/>
                <w:szCs w:val="21"/>
                <w:lang w:val="zh-CN" w:eastAsia="zh-CN" w:bidi="ar-SA"/>
              </w:rPr>
            </w:pPr>
            <w:r>
              <w:rPr>
                <w:rFonts w:hint="eastAsia" w:ascii="宋体" w:hAnsi="宋体" w:eastAsia="宋体" w:cs="宋体"/>
              </w:rPr>
              <w:t>付款方式</w:t>
            </w:r>
          </w:p>
        </w:tc>
        <w:tc>
          <w:tcPr>
            <w:tcW w:w="6232" w:type="dxa"/>
            <w:vAlign w:val="center"/>
          </w:tcPr>
          <w:p w14:paraId="1CF1D88A">
            <w:pPr>
              <w:jc w:val="left"/>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项目实施完毕检测相关成果经验收合格后支付合同金额的90%，余款10%满质保期两年后七个工作日内付清（不计利息）。（备注: 政府投资项目用款报审流程完成，项目专项建设资金到账后支付合同款。）</w:t>
            </w:r>
          </w:p>
        </w:tc>
        <w:tc>
          <w:tcPr>
            <w:tcW w:w="1425" w:type="dxa"/>
            <w:vAlign w:val="center"/>
          </w:tcPr>
          <w:p w14:paraId="5B975901">
            <w:pPr>
              <w:spacing w:line="360" w:lineRule="auto"/>
              <w:jc w:val="center"/>
              <w:rPr>
                <w:rFonts w:ascii="宋体" w:hAnsi="宋体" w:eastAsia="宋体" w:cs="宋体"/>
                <w:snapToGrid w:val="0"/>
                <w:color w:val="000000"/>
                <w:sz w:val="21"/>
                <w:szCs w:val="21"/>
                <w:lang w:val="en-US" w:eastAsia="zh-CN" w:bidi="ar-SA"/>
              </w:rPr>
            </w:pPr>
            <w:r>
              <w:rPr>
                <w:rFonts w:hint="eastAsia" w:ascii="宋体" w:hAnsi="宋体" w:eastAsia="宋体" w:cs="宋体"/>
              </w:rPr>
              <w:t>不可负偏离</w:t>
            </w:r>
          </w:p>
        </w:tc>
      </w:tr>
      <w:tr w14:paraId="2E27C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3C8CAE9D">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14:paraId="29BF7A1A">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rPr>
              <w:t>报价方式</w:t>
            </w:r>
          </w:p>
        </w:tc>
        <w:tc>
          <w:tcPr>
            <w:tcW w:w="6232" w:type="dxa"/>
            <w:vAlign w:val="center"/>
          </w:tcPr>
          <w:p w14:paraId="2B2A4097">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w:t>
            </w:r>
            <w:r>
              <w:rPr>
                <w:rFonts w:hint="eastAsia" w:ascii="宋体" w:hAnsi="宋体" w:eastAsia="宋体" w:cs="宋体"/>
                <w:lang w:eastAsia="zh-CN"/>
              </w:rPr>
              <w:t>用</w:t>
            </w:r>
            <w:r>
              <w:rPr>
                <w:rFonts w:hint="eastAsia" w:ascii="宋体" w:hAnsi="宋体" w:eastAsia="宋体" w:cs="宋体"/>
              </w:rPr>
              <w:t>，以及投标人认为必要的其他货物、材料、工程、服务。</w:t>
            </w:r>
          </w:p>
          <w:p w14:paraId="0BFE2675">
            <w:pPr>
              <w:jc w:val="both"/>
              <w:rPr>
                <w:rFonts w:ascii="Arial" w:hAnsi="宋体" w:eastAsia="宋体" w:cs="Arial"/>
                <w:snapToGrid w:val="0"/>
                <w:color w:val="000000"/>
                <w:sz w:val="21"/>
                <w:szCs w:val="21"/>
                <w:lang w:val="zh-CN" w:eastAsia="zh-CN" w:bidi="ar-SA"/>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025400BC">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rPr>
              <w:t>不可负偏离</w:t>
            </w:r>
          </w:p>
        </w:tc>
      </w:tr>
      <w:tr w14:paraId="3690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228FF596">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14:paraId="586FFF79">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lang w:val="zh-CN"/>
              </w:rPr>
              <w:t>项目验收</w:t>
            </w:r>
          </w:p>
        </w:tc>
        <w:tc>
          <w:tcPr>
            <w:tcW w:w="6232" w:type="dxa"/>
            <w:vAlign w:val="center"/>
          </w:tcPr>
          <w:p w14:paraId="442803FB">
            <w:pPr>
              <w:rPr>
                <w:rFonts w:hint="eastAsia" w:ascii="宋体" w:hAnsi="宋体" w:eastAsia="宋体" w:cs="宋体"/>
                <w:lang w:val="en-US" w:eastAsia="zh-CN"/>
              </w:rPr>
            </w:pPr>
            <w:r>
              <w:rPr>
                <w:rFonts w:hint="eastAsia" w:ascii="宋体" w:hAnsi="宋体" w:eastAsia="宋体" w:cs="宋体"/>
              </w:rPr>
              <w:t>1.安装</w:t>
            </w:r>
            <w:r>
              <w:rPr>
                <w:rFonts w:hint="eastAsia" w:ascii="宋体" w:hAnsi="宋体" w:cs="宋体"/>
                <w:lang w:val="en-US" w:eastAsia="zh-CN"/>
              </w:rPr>
              <w:t>调试</w:t>
            </w:r>
            <w:r>
              <w:rPr>
                <w:rFonts w:hint="eastAsia" w:ascii="宋体" w:hAnsi="宋体" w:eastAsia="宋体" w:cs="宋体"/>
              </w:rPr>
              <w:t>完成后，由</w:t>
            </w:r>
            <w:r>
              <w:rPr>
                <w:rFonts w:hint="eastAsia" w:ascii="宋体" w:hAnsi="宋体" w:eastAsia="宋体" w:cs="宋体"/>
                <w:lang w:val="en-US" w:eastAsia="zh-CN"/>
              </w:rPr>
              <w:t>招标</w:t>
            </w:r>
            <w:r>
              <w:rPr>
                <w:rFonts w:hint="eastAsia" w:ascii="宋体" w:hAnsi="宋体" w:eastAsia="宋体" w:cs="宋体"/>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lang w:eastAsia="zh-CN"/>
              </w:rPr>
              <w:t>。</w:t>
            </w:r>
          </w:p>
          <w:p w14:paraId="79BC520D">
            <w:pPr>
              <w:rPr>
                <w:rFonts w:ascii="宋体" w:hAnsi="宋体" w:eastAsia="宋体" w:cs="宋体"/>
              </w:rPr>
            </w:pPr>
            <w:r>
              <w:rPr>
                <w:rFonts w:hint="eastAsia" w:ascii="宋体" w:hAnsi="宋体" w:eastAsia="宋体" w:cs="宋体"/>
              </w:rPr>
              <w:t>2.验收按国家有关的规定、规范进行。</w:t>
            </w:r>
          </w:p>
          <w:p w14:paraId="42D0EA18">
            <w:pPr>
              <w:rPr>
                <w:rFonts w:ascii="宋体" w:hAnsi="宋体" w:eastAsia="宋体" w:cs="宋体"/>
              </w:rPr>
            </w:pPr>
            <w:r>
              <w:rPr>
                <w:rFonts w:hint="eastAsia" w:ascii="宋体" w:hAnsi="宋体" w:eastAsia="宋体" w:cs="宋体"/>
              </w:rPr>
              <w:t>3.验收时如发现所交付的货物有短装、次品、损坏</w:t>
            </w:r>
            <w:r>
              <w:rPr>
                <w:rFonts w:hint="eastAsia" w:ascii="宋体" w:hAnsi="宋体" w:eastAsia="宋体" w:cs="宋体"/>
                <w:lang w:eastAsia="zh-CN"/>
              </w:rPr>
              <w:t>或其他</w:t>
            </w:r>
            <w:r>
              <w:rPr>
                <w:rFonts w:hint="eastAsia" w:ascii="宋体" w:hAnsi="宋体" w:eastAsia="宋体" w:cs="宋体"/>
              </w:rPr>
              <w:t>不符合招标文件规定之情形者，</w:t>
            </w:r>
            <w:r>
              <w:rPr>
                <w:rFonts w:hint="eastAsia" w:ascii="宋体" w:hAnsi="宋体" w:eastAsia="宋体" w:cs="宋体"/>
                <w:lang w:val="en-US" w:eastAsia="zh-CN"/>
              </w:rPr>
              <w:t>招标</w:t>
            </w:r>
            <w:r>
              <w:rPr>
                <w:rFonts w:hint="eastAsia" w:ascii="宋体" w:hAnsi="宋体" w:eastAsia="宋体" w:cs="宋体"/>
              </w:rPr>
              <w:t>人应做出详尽的现场记录，或由</w:t>
            </w:r>
            <w:r>
              <w:rPr>
                <w:rFonts w:hint="eastAsia" w:ascii="宋体" w:hAnsi="宋体" w:eastAsia="宋体" w:cs="宋体"/>
                <w:lang w:val="en-US" w:eastAsia="zh-CN"/>
              </w:rPr>
              <w:t>招标</w:t>
            </w:r>
            <w:r>
              <w:rPr>
                <w:rFonts w:hint="eastAsia" w:ascii="宋体" w:hAnsi="宋体" w:eastAsia="宋体" w:cs="宋体"/>
              </w:rPr>
              <w:t>人和中标供应商双方签署备忘录。此现场记录或备忘录可用作补充、缺失和更换损坏部件的有效证据。由此产生的有关费用由中标供应商承担。</w:t>
            </w:r>
          </w:p>
          <w:p w14:paraId="6849C7B1">
            <w:pPr>
              <w:rPr>
                <w:rFonts w:ascii="宋体" w:hAnsi="宋体" w:eastAsia="宋体" w:cs="宋体"/>
              </w:rPr>
            </w:pPr>
            <w:r>
              <w:rPr>
                <w:rFonts w:hint="eastAsia" w:ascii="宋体" w:hAnsi="宋体" w:eastAsia="宋体" w:cs="宋体"/>
              </w:rPr>
              <w:t>4.中标供应商须为验收提供必需的工具及其他便利条件。</w:t>
            </w:r>
          </w:p>
          <w:p w14:paraId="0B166838">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1244E25C">
            <w:pPr>
              <w:rPr>
                <w:rFonts w:ascii="宋体" w:hAnsi="宋体" w:eastAsia="宋体" w:cs="宋体"/>
                <w:snapToGrid w:val="0"/>
                <w:color w:val="000000"/>
                <w:sz w:val="21"/>
                <w:szCs w:val="21"/>
                <w:lang w:val="zh-CN" w:eastAsia="zh-CN" w:bidi="ar-SA"/>
              </w:rPr>
            </w:pPr>
            <w:r>
              <w:rPr>
                <w:rFonts w:hint="eastAsia" w:ascii="宋体" w:hAnsi="宋体" w:eastAsia="宋体" w:cs="宋体"/>
              </w:rPr>
              <w:t>6.对于不合格的货物，中标供应商必须在</w:t>
            </w:r>
            <w:r>
              <w:rPr>
                <w:rFonts w:hint="eastAsia" w:ascii="宋体" w:hAnsi="宋体" w:cs="宋体"/>
                <w:lang w:val="en-US" w:eastAsia="zh-CN"/>
              </w:rPr>
              <w:t>7</w:t>
            </w:r>
            <w:r>
              <w:rPr>
                <w:rFonts w:hint="eastAsia" w:ascii="宋体" w:hAnsi="宋体" w:eastAsia="宋体" w:cs="宋体"/>
              </w:rPr>
              <w:t>个工作日里及时完成更换，并保证验收合格。</w:t>
            </w:r>
            <w:r>
              <w:rPr>
                <w:rFonts w:hint="eastAsia" w:ascii="宋体" w:hAnsi="宋体" w:cs="宋体"/>
                <w:lang w:val="en-US" w:eastAsia="zh-CN"/>
              </w:rPr>
              <w:t>7</w:t>
            </w:r>
            <w:r>
              <w:rPr>
                <w:rFonts w:hint="eastAsia" w:ascii="宋体" w:hAnsi="宋体" w:eastAsia="宋体" w:cs="宋体"/>
              </w:rPr>
              <w:t>天内不能更换的或更换的验收不合格，按逾期交货处理。</w:t>
            </w:r>
          </w:p>
        </w:tc>
        <w:tc>
          <w:tcPr>
            <w:tcW w:w="1425" w:type="dxa"/>
            <w:vAlign w:val="center"/>
          </w:tcPr>
          <w:p w14:paraId="16DCDF6F">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rPr>
              <w:t>不可负偏离</w:t>
            </w:r>
          </w:p>
        </w:tc>
      </w:tr>
      <w:tr w14:paraId="7EA3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17E74356">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14:paraId="244A1800">
            <w:pPr>
              <w:jc w:val="center"/>
              <w:rPr>
                <w:rFonts w:ascii="Arial" w:hAnsi="宋体" w:eastAsia="宋体" w:cs="宋体"/>
                <w:snapToGrid w:val="0"/>
                <w:color w:val="000000"/>
                <w:sz w:val="21"/>
                <w:szCs w:val="21"/>
                <w:lang w:val="zh-CN" w:eastAsia="zh-CN" w:bidi="ar-SA"/>
              </w:rPr>
            </w:pPr>
            <w:r>
              <w:rPr>
                <w:rFonts w:hint="eastAsia" w:ascii="宋体" w:hAnsi="宋体" w:eastAsia="宋体" w:cs="宋体"/>
              </w:rPr>
              <w:t>货物要求</w:t>
            </w:r>
          </w:p>
        </w:tc>
        <w:tc>
          <w:tcPr>
            <w:tcW w:w="6232" w:type="dxa"/>
            <w:vAlign w:val="top"/>
          </w:tcPr>
          <w:p w14:paraId="11A70A25">
            <w:pPr>
              <w:rPr>
                <w:rFonts w:ascii="宋体" w:hAnsi="宋体" w:eastAsia="宋体" w:cs="宋体"/>
              </w:rPr>
            </w:pPr>
            <w:r>
              <w:rPr>
                <w:rFonts w:hint="eastAsia" w:ascii="宋体" w:hAnsi="宋体" w:eastAsia="宋体" w:cs="宋体"/>
              </w:rPr>
              <w:t>1.货物为</w:t>
            </w:r>
            <w:r>
              <w:rPr>
                <w:rFonts w:hint="eastAsia" w:ascii="宋体" w:hAnsi="宋体" w:cs="宋体"/>
                <w:lang w:val="en-US" w:eastAsia="zh-CN"/>
              </w:rPr>
              <w:t>符合国家标准</w:t>
            </w:r>
            <w:r>
              <w:rPr>
                <w:rFonts w:hint="eastAsia" w:ascii="宋体" w:hAnsi="宋体" w:eastAsia="宋体" w:cs="宋体"/>
              </w:rPr>
              <w:t>的全新产品，并未对其</w:t>
            </w:r>
            <w:r>
              <w:rPr>
                <w:rFonts w:hint="eastAsia" w:ascii="宋体" w:hAnsi="宋体" w:eastAsia="宋体" w:cs="宋体"/>
                <w:lang w:eastAsia="zh-CN"/>
              </w:rPr>
              <w:t>做任何的</w:t>
            </w:r>
            <w:r>
              <w:rPr>
                <w:rFonts w:hint="eastAsia" w:ascii="宋体" w:hAnsi="宋体" w:eastAsia="宋体" w:cs="宋体"/>
              </w:rPr>
              <w:t>更改和替换，无污染，无侵权行为、表面无划损、无任何缺陷隐患，在中国境内可依常规安全合法使用；</w:t>
            </w:r>
          </w:p>
          <w:p w14:paraId="4A70D47B">
            <w:pPr>
              <w:rPr>
                <w:rFonts w:ascii="Arial" w:hAnsi="宋体" w:eastAsia="宋体" w:cs="宋体"/>
                <w:snapToGrid w:val="0"/>
                <w:color w:val="000000"/>
                <w:sz w:val="21"/>
                <w:szCs w:val="21"/>
                <w:lang w:val="zh-CN" w:eastAsia="zh-CN" w:bidi="ar-SA"/>
              </w:rPr>
            </w:pPr>
            <w:r>
              <w:rPr>
                <w:rFonts w:hint="eastAsia" w:ascii="宋体" w:hAnsi="宋体" w:eastAsia="宋体" w:cs="宋体"/>
              </w:rPr>
              <w:t>2.中标供应商应保证，</w:t>
            </w:r>
            <w:r>
              <w:rPr>
                <w:rFonts w:hint="eastAsia" w:ascii="宋体" w:hAnsi="宋体" w:eastAsia="宋体" w:cs="宋体"/>
                <w:lang w:val="en-US" w:eastAsia="zh-CN"/>
              </w:rPr>
              <w:t>招标</w:t>
            </w:r>
            <w:r>
              <w:rPr>
                <w:rFonts w:hint="eastAsia" w:ascii="宋体" w:hAnsi="宋体" w:eastAsia="宋体" w:cs="宋体"/>
              </w:rPr>
              <w:t>人在中华人民共和国使用中标供应商所提供的货物或货物的任何一部分时，免受第三方提出的侵犯其专利权、商标权或工业设计权的起诉。</w:t>
            </w:r>
          </w:p>
        </w:tc>
        <w:tc>
          <w:tcPr>
            <w:tcW w:w="1425" w:type="dxa"/>
            <w:vAlign w:val="center"/>
          </w:tcPr>
          <w:p w14:paraId="0C81173F">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rPr>
              <w:t>不可负偏离</w:t>
            </w:r>
          </w:p>
        </w:tc>
      </w:tr>
      <w:tr w14:paraId="71FF8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4235DE61">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14:paraId="7D6B3F51">
            <w:pPr>
              <w:pStyle w:val="24"/>
              <w:spacing w:line="249" w:lineRule="auto"/>
              <w:ind w:right="6"/>
              <w:jc w:val="center"/>
              <w:rPr>
                <w:bCs/>
              </w:rPr>
            </w:pPr>
            <w:r>
              <w:rPr>
                <w:rFonts w:hint="eastAsia" w:ascii="宋体" w:hAnsi="宋体" w:eastAsia="宋体" w:cs="宋体"/>
                <w:bCs/>
              </w:rPr>
              <w:t>质保期及</w:t>
            </w:r>
          </w:p>
          <w:p w14:paraId="054F827A">
            <w:pPr>
              <w:pStyle w:val="24"/>
              <w:spacing w:line="249" w:lineRule="auto"/>
              <w:ind w:left="268" w:leftChars="0" w:right="6" w:rightChars="0" w:hanging="243" w:firstLineChars="0"/>
              <w:jc w:val="center"/>
              <w:rPr>
                <w:rFonts w:ascii="Arial" w:hAnsi="Arial" w:eastAsia="Arial" w:cs="Arial"/>
                <w:snapToGrid w:val="0"/>
                <w:color w:val="000000"/>
                <w:sz w:val="21"/>
                <w:szCs w:val="21"/>
                <w:lang w:val="zh-CN" w:eastAsia="zh-CN" w:bidi="ar-SA"/>
              </w:rPr>
            </w:pPr>
            <w:r>
              <w:rPr>
                <w:rFonts w:hint="eastAsia" w:ascii="宋体" w:hAnsi="宋体" w:eastAsia="宋体" w:cs="宋体"/>
                <w:bCs/>
              </w:rPr>
              <w:t>售后服务</w:t>
            </w:r>
          </w:p>
        </w:tc>
        <w:tc>
          <w:tcPr>
            <w:tcW w:w="6232" w:type="dxa"/>
            <w:vAlign w:val="top"/>
          </w:tcPr>
          <w:p w14:paraId="0DEDD50E">
            <w:r>
              <w:rPr>
                <w:rFonts w:hint="eastAsia"/>
              </w:rPr>
              <w:t>质保期及售后服务：</w:t>
            </w:r>
          </w:p>
          <w:p w14:paraId="23256D0B">
            <w:r>
              <w:rPr>
                <w:rFonts w:hint="eastAsia"/>
              </w:rPr>
              <w:t>1.自本项目验收完成之日起计算，中标供应商对</w:t>
            </w:r>
            <w:r>
              <w:rPr>
                <w:rFonts w:hint="eastAsia" w:eastAsia="宋体"/>
                <w:lang w:val="en-US" w:eastAsia="zh-CN"/>
              </w:rPr>
              <w:t>招标人</w:t>
            </w:r>
            <w:r>
              <w:rPr>
                <w:rFonts w:hint="eastAsia"/>
              </w:rPr>
              <w:t>所采购的软硬件设备提供</w:t>
            </w:r>
            <w:r>
              <w:rPr>
                <w:rFonts w:hint="eastAsia" w:eastAsia="宋体"/>
                <w:lang w:eastAsia="zh-CN"/>
              </w:rPr>
              <w:t>两</w:t>
            </w:r>
            <w:r>
              <w:rPr>
                <w:rFonts w:hint="eastAsia"/>
              </w:rPr>
              <w:t>年质保，在质保期内设备的质量问题均由中标供应商负责免费维修，包括本项目所有软硬件设备、零配件免费更换和软件系统的升级；</w:t>
            </w:r>
          </w:p>
          <w:p w14:paraId="574E391D">
            <w:pPr>
              <w:rPr>
                <w:rFonts w:hint="eastAsia"/>
                <w:lang w:eastAsia="zh-CN"/>
              </w:rPr>
            </w:pPr>
            <w:r>
              <w:rPr>
                <w:rFonts w:hint="eastAsia"/>
              </w:rPr>
              <w:t>2.确保提供的设备是全新、优质、合格的产品，符合国家的质量标准；质保期内，售后服务所产生的一切费用由中标供应商自行承担</w:t>
            </w:r>
            <w:r>
              <w:rPr>
                <w:rFonts w:hint="eastAsia"/>
                <w:lang w:eastAsia="zh-CN"/>
              </w:rPr>
              <w:t>。</w:t>
            </w:r>
          </w:p>
          <w:p w14:paraId="5CE7FBE0">
            <w:pPr>
              <w:pStyle w:val="29"/>
              <w:rPr>
                <w:rFonts w:hint="default" w:ascii="Calibri" w:hAnsi="Calibri" w:eastAsia="Arial" w:cs="Calibri"/>
                <w:snapToGrid w:val="0"/>
                <w:color w:val="000000"/>
                <w:kern w:val="0"/>
                <w:sz w:val="21"/>
                <w:szCs w:val="21"/>
                <w:lang w:val="zh-CN" w:eastAsia="zh-CN" w:bidi="ar-SA"/>
              </w:rPr>
            </w:pPr>
            <w:r>
              <w:rPr>
                <w:rFonts w:hint="eastAsia" w:ascii="宋体" w:hAnsi="宋体" w:cs="宋体"/>
                <w:lang w:val="en-US" w:eastAsia="zh-CN"/>
              </w:rPr>
              <w:t>3.质保期内，如出现故障，中标供应商需提供7*24小时服务，2小时内响应，一般性故障48小时内恢复。</w:t>
            </w:r>
          </w:p>
        </w:tc>
        <w:tc>
          <w:tcPr>
            <w:tcW w:w="1425" w:type="dxa"/>
            <w:vAlign w:val="center"/>
          </w:tcPr>
          <w:p w14:paraId="2E01B67E">
            <w:pPr>
              <w:spacing w:line="360" w:lineRule="auto"/>
              <w:jc w:val="center"/>
              <w:rPr>
                <w:rFonts w:ascii="宋体" w:hAnsi="宋体" w:eastAsia="宋体" w:cs="宋体"/>
                <w:snapToGrid w:val="0"/>
                <w:color w:val="000000"/>
                <w:sz w:val="21"/>
                <w:szCs w:val="21"/>
                <w:lang w:val="zh-CN" w:eastAsia="zh-CN" w:bidi="ar-SA"/>
              </w:rPr>
            </w:pPr>
            <w:r>
              <w:rPr>
                <w:rFonts w:hint="eastAsia" w:ascii="宋体" w:hAnsi="宋体" w:eastAsia="宋体" w:cs="宋体"/>
              </w:rPr>
              <w:t>不可负偏离</w:t>
            </w:r>
          </w:p>
        </w:tc>
      </w:tr>
    </w:tbl>
    <w:p w14:paraId="4D300738">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457E592E">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75C6E7EA">
      <w:pPr>
        <w:tabs>
          <w:tab w:val="left" w:pos="1284"/>
        </w:tabs>
        <w:spacing w:line="360" w:lineRule="auto"/>
        <w:rPr>
          <w:rFonts w:ascii="宋体" w:hAnsi="宋体" w:eastAsia="宋体" w:cs="宋体"/>
          <w:sz w:val="23"/>
          <w:szCs w:val="23"/>
        </w:rPr>
      </w:pPr>
      <w:r>
        <w:rPr>
          <w:rFonts w:hint="eastAsia" w:ascii="宋体" w:hAnsi="宋体" w:cs="宋体"/>
          <w:b/>
          <w:sz w:val="23"/>
          <w:szCs w:val="23"/>
        </w:rPr>
        <w:t>3、除以上所述外，</w:t>
      </w:r>
      <w:r>
        <w:rPr>
          <w:rFonts w:hint="eastAsia" w:ascii="宋体" w:hAnsi="宋体" w:eastAsia="宋体" w:cs="宋体"/>
          <w:b/>
          <w:sz w:val="23"/>
          <w:szCs w:val="23"/>
          <w:lang w:eastAsia="zh-CN"/>
        </w:rPr>
        <w:t>其他服务</w:t>
      </w:r>
      <w:r>
        <w:rPr>
          <w:rFonts w:hint="eastAsia" w:ascii="宋体" w:hAnsi="宋体" w:cs="宋体"/>
          <w:b/>
          <w:sz w:val="23"/>
          <w:szCs w:val="23"/>
        </w:rPr>
        <w:t>责任细节，由</w:t>
      </w:r>
      <w:r>
        <w:rPr>
          <w:rFonts w:hint="eastAsia" w:ascii="宋体" w:hAnsi="宋体" w:eastAsia="宋体" w:cs="宋体"/>
          <w:b/>
          <w:sz w:val="23"/>
          <w:szCs w:val="23"/>
          <w:lang w:val="en-US" w:eastAsia="zh-CN"/>
        </w:rPr>
        <w:t>招标</w:t>
      </w:r>
      <w:r>
        <w:rPr>
          <w:rFonts w:hint="eastAsia" w:ascii="宋体" w:hAnsi="宋体" w:cs="宋体"/>
          <w:b/>
          <w:sz w:val="23"/>
          <w:szCs w:val="23"/>
        </w:rPr>
        <w:t>人及中标供应商双方，在签订的采购合同中约定执行。</w:t>
      </w:r>
    </w:p>
    <w:p w14:paraId="3BEED429">
      <w:pPr>
        <w:sectPr>
          <w:headerReference r:id="rId52" w:type="default"/>
          <w:footerReference r:id="rId53" w:type="default"/>
          <w:pgSz w:w="11907" w:h="16840"/>
          <w:pgMar w:top="1313" w:right="379" w:bottom="1139" w:left="1701" w:header="851" w:footer="962" w:gutter="0"/>
          <w:cols w:space="720" w:num="1"/>
        </w:sectPr>
      </w:pPr>
    </w:p>
    <w:p w14:paraId="4DBC3ABE">
      <w:pPr>
        <w:spacing w:line="449" w:lineRule="auto"/>
      </w:pPr>
    </w:p>
    <w:p w14:paraId="6BD80932">
      <w:pPr>
        <w:spacing w:line="374" w:lineRule="exact"/>
        <w:textAlignment w:val="center"/>
      </w:pPr>
    </w:p>
    <w:p w14:paraId="0A5F486A">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2FB4BD70">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5652A7D4">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z w:val="23"/>
          <w:szCs w:val="23"/>
        </w:rPr>
        <w:t xml:space="preserve"> </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28A4E724">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F39064">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66AD2A48">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79D2716F">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6"/>
          <w:sz w:val="23"/>
          <w:szCs w:val="23"/>
        </w:rPr>
        <w:t>一) 熟悉和理解招标文件；</w:t>
      </w:r>
    </w:p>
    <w:p w14:paraId="6E3D70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473FDC61">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3C03FB9A">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637CED28">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7DC1E3CE">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51F67637">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lang w:eastAsia="zh-CN"/>
        </w:rPr>
        <w:t>法律法规</w:t>
      </w:r>
      <w:r>
        <w:rPr>
          <w:rFonts w:ascii="宋体" w:hAnsi="宋体" w:eastAsia="宋体" w:cs="宋体"/>
          <w:spacing w:val="13"/>
          <w:sz w:val="23"/>
          <w:szCs w:val="23"/>
        </w:rPr>
        <w:t>和规章规定的其他职责。</w:t>
      </w:r>
    </w:p>
    <w:p w14:paraId="2033275D">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084A61EC">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44F58ACB">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7A2B1552">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53BD6BE1">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075CA56B">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1B68A9CF">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6CF0438D">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4427530">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6AEABB00">
      <w:pPr>
        <w:sectPr>
          <w:headerReference r:id="rId54" w:type="default"/>
          <w:footerReference r:id="rId55" w:type="default"/>
          <w:pgSz w:w="11907" w:h="16840"/>
          <w:pgMar w:top="400" w:right="379" w:bottom="1139" w:left="1701" w:header="0" w:footer="962" w:gutter="0"/>
          <w:cols w:space="720" w:num="1"/>
        </w:sectPr>
      </w:pPr>
    </w:p>
    <w:p w14:paraId="1DF90B17">
      <w:pPr>
        <w:spacing w:line="449" w:lineRule="auto"/>
      </w:pPr>
    </w:p>
    <w:p w14:paraId="13E1EA36">
      <w:pPr>
        <w:spacing w:line="374" w:lineRule="exact"/>
        <w:ind w:firstLine="20"/>
        <w:textAlignment w:val="center"/>
      </w:pPr>
    </w:p>
    <w:p w14:paraId="14E4AC19">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12B115B3">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641F6547">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6AD02EA">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66894C7F">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69BD19D5">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688A6CD3">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00E3C143">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B4363A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5D3B223">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5F45BD8D">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lang w:eastAsia="zh-CN"/>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70C62EE3">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5D5D253C">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0992CB99">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727AF19">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618D9690">
      <w:pPr>
        <w:sectPr>
          <w:footerReference r:id="rId56" w:type="default"/>
          <w:pgSz w:w="11907" w:h="16840"/>
          <w:pgMar w:top="400" w:right="379" w:bottom="1139" w:left="1681" w:header="0" w:footer="962" w:gutter="0"/>
          <w:cols w:space="720" w:num="1"/>
        </w:sectPr>
      </w:pPr>
    </w:p>
    <w:p w14:paraId="26993086">
      <w:pPr>
        <w:spacing w:line="449" w:lineRule="auto"/>
      </w:pPr>
    </w:p>
    <w:p w14:paraId="708D12F7">
      <w:pPr>
        <w:spacing w:line="374" w:lineRule="exact"/>
        <w:textAlignment w:val="center"/>
      </w:pPr>
    </w:p>
    <w:p w14:paraId="721FED92">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352529E1">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3F9FB87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26981905">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5F5AEBF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37E1F9CB">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2873402D">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51C3716">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4BA6FFCE">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E7150D9">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DDCF479">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19FC583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lang w:eastAsia="zh-CN"/>
        </w:rPr>
        <w:t>作出</w:t>
      </w:r>
      <w:r>
        <w:rPr>
          <w:rFonts w:ascii="宋体" w:hAnsi="宋体" w:eastAsia="宋体" w:cs="宋体"/>
          <w:spacing w:val="8"/>
          <w:sz w:val="23"/>
          <w:szCs w:val="23"/>
        </w:rPr>
        <w:t>结论，但不得违背法律法规和招标文件规定。</w:t>
      </w:r>
    </w:p>
    <w:p w14:paraId="2E45A327">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6329C188">
      <w:pPr>
        <w:sectPr>
          <w:footerReference r:id="rId57" w:type="default"/>
          <w:pgSz w:w="11907" w:h="16840"/>
          <w:pgMar w:top="400" w:right="379" w:bottom="1139" w:left="1701" w:header="0" w:footer="962" w:gutter="0"/>
          <w:cols w:space="720" w:num="1"/>
        </w:sectPr>
      </w:pPr>
    </w:p>
    <w:p w14:paraId="6C064D2E">
      <w:pPr>
        <w:spacing w:line="449" w:lineRule="auto"/>
      </w:pPr>
    </w:p>
    <w:p w14:paraId="1C8AF1DA">
      <w:pPr>
        <w:spacing w:line="374" w:lineRule="exact"/>
        <w:textAlignment w:val="center"/>
      </w:pPr>
    </w:p>
    <w:p w14:paraId="0151A7BF">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139239B6">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lang w:eastAsia="zh-CN"/>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4B8F2787">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49966E46">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69B8FECA">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1F10471D">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7FDFBD7">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558EC6D9">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5DB02229">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3834C73">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4A801FDE">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701AA23D">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41DD46D4">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lang w:eastAsia="zh-CN"/>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40854AAF">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45FAE30D">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2D104486">
      <w:pPr>
        <w:sectPr>
          <w:footerReference r:id="rId58" w:type="default"/>
          <w:pgSz w:w="11907" w:h="16840"/>
          <w:pgMar w:top="400" w:right="379" w:bottom="1139" w:left="1701" w:header="0" w:footer="962" w:gutter="0"/>
          <w:cols w:space="720" w:num="1"/>
        </w:sectPr>
      </w:pPr>
    </w:p>
    <w:p w14:paraId="39CAF78E">
      <w:pPr>
        <w:spacing w:line="449" w:lineRule="auto"/>
      </w:pPr>
    </w:p>
    <w:p w14:paraId="6803D973">
      <w:pPr>
        <w:spacing w:line="374" w:lineRule="exact"/>
        <w:textAlignment w:val="center"/>
      </w:pPr>
    </w:p>
    <w:p w14:paraId="4D709BF5">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0701CD0">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7687A4E7">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4B0B29DC">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7FBA025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2EBABA2A">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16DDF941">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5E58C41D">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33C954C3">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7155615F">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1C15EE15">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21A0CB93">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0CFD2F6">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7DFA1633">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67678858">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0131C558">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67E800D8">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6ABD96D5">
      <w:pPr>
        <w:sectPr>
          <w:footerReference r:id="rId59" w:type="default"/>
          <w:pgSz w:w="11907" w:h="16840"/>
          <w:pgMar w:top="400" w:right="379" w:bottom="1140" w:left="1701" w:header="0" w:footer="962" w:gutter="0"/>
          <w:cols w:space="720" w:num="1"/>
        </w:sectPr>
      </w:pPr>
    </w:p>
    <w:p w14:paraId="5E27FB25">
      <w:pPr>
        <w:spacing w:line="449" w:lineRule="auto"/>
      </w:pPr>
    </w:p>
    <w:p w14:paraId="79528DDB">
      <w:pPr>
        <w:spacing w:line="374" w:lineRule="exact"/>
        <w:textAlignment w:val="center"/>
      </w:pPr>
    </w:p>
    <w:p w14:paraId="7AAC399F">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.评标细则及标准</w:t>
      </w:r>
    </w:p>
    <w:p w14:paraId="4F47FC42">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3F569E81">
      <w:pPr>
        <w:spacing w:afterLines="50" w:line="440" w:lineRule="exact"/>
        <w:ind w:firstLine="115" w:firstLineChars="50"/>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color w:val="auto"/>
          <w:sz w:val="23"/>
          <w:szCs w:val="23"/>
        </w:rPr>
        <w:t>4</w:t>
      </w:r>
      <w:r>
        <w:rPr>
          <w:rFonts w:hint="eastAsia" w:ascii="宋体" w:hAnsi="宋体" w:cs="宋体"/>
          <w:b/>
          <w:bCs/>
          <w:color w:val="auto"/>
          <w:sz w:val="23"/>
          <w:szCs w:val="23"/>
        </w:rPr>
        <w:t>0</w:t>
      </w:r>
      <w:r>
        <w:rPr>
          <w:rFonts w:hint="eastAsia" w:ascii="宋体" w:hAnsi="宋体" w:cs="宋体"/>
          <w:b/>
          <w:bCs/>
          <w:sz w:val="23"/>
          <w:szCs w:val="23"/>
        </w:rPr>
        <w:t>分</w:t>
      </w:r>
    </w:p>
    <w:tbl>
      <w:tblPr>
        <w:tblStyle w:val="17"/>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6938"/>
        <w:gridCol w:w="1027"/>
      </w:tblGrid>
      <w:tr w14:paraId="7873F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7C5C98C8">
            <w:pPr>
              <w:spacing w:line="360" w:lineRule="auto"/>
              <w:jc w:val="center"/>
              <w:rPr>
                <w:rFonts w:ascii="宋体" w:hAnsi="宋体" w:cs="宋体"/>
                <w:b/>
                <w:bCs/>
                <w:sz w:val="23"/>
                <w:szCs w:val="23"/>
              </w:rPr>
            </w:pPr>
            <w:r>
              <w:rPr>
                <w:rFonts w:hint="eastAsia" w:ascii="宋体" w:hAnsi="宋体" w:cs="宋体"/>
                <w:b/>
                <w:bCs/>
                <w:sz w:val="23"/>
                <w:szCs w:val="23"/>
              </w:rPr>
              <w:t>评分内容</w:t>
            </w:r>
          </w:p>
        </w:tc>
        <w:tc>
          <w:tcPr>
            <w:tcW w:w="6938" w:type="dxa"/>
            <w:tcBorders>
              <w:top w:val="single" w:color="auto" w:sz="4" w:space="0"/>
              <w:left w:val="single" w:color="auto" w:sz="4" w:space="0"/>
              <w:bottom w:val="single" w:color="auto" w:sz="4" w:space="0"/>
              <w:right w:val="single" w:color="auto" w:sz="4" w:space="0"/>
            </w:tcBorders>
            <w:vAlign w:val="center"/>
          </w:tcPr>
          <w:p w14:paraId="3AC2DE6F">
            <w:pPr>
              <w:spacing w:line="360" w:lineRule="auto"/>
              <w:jc w:val="center"/>
              <w:rPr>
                <w:rFonts w:ascii="宋体" w:hAnsi="宋体" w:cs="宋体"/>
                <w:b/>
                <w:bCs/>
                <w:sz w:val="23"/>
                <w:szCs w:val="23"/>
              </w:rPr>
            </w:pPr>
            <w:r>
              <w:rPr>
                <w:rFonts w:hint="eastAsia" w:ascii="宋体" w:hAnsi="宋体" w:cs="宋体"/>
                <w:b/>
                <w:bCs/>
                <w:sz w:val="23"/>
                <w:szCs w:val="23"/>
              </w:rPr>
              <w:t>评分标准</w:t>
            </w:r>
          </w:p>
        </w:tc>
        <w:tc>
          <w:tcPr>
            <w:tcW w:w="1027" w:type="dxa"/>
            <w:tcBorders>
              <w:top w:val="single" w:color="auto" w:sz="4" w:space="0"/>
              <w:left w:val="single" w:color="auto" w:sz="4" w:space="0"/>
              <w:bottom w:val="single" w:color="auto" w:sz="4" w:space="0"/>
              <w:right w:val="single" w:color="auto" w:sz="4" w:space="0"/>
            </w:tcBorders>
            <w:vAlign w:val="center"/>
          </w:tcPr>
          <w:p w14:paraId="70F07402">
            <w:pPr>
              <w:spacing w:line="360" w:lineRule="auto"/>
              <w:jc w:val="center"/>
              <w:rPr>
                <w:rFonts w:ascii="宋体" w:hAnsi="宋体" w:cs="宋体"/>
                <w:b/>
                <w:bCs/>
                <w:sz w:val="23"/>
                <w:szCs w:val="23"/>
              </w:rPr>
            </w:pPr>
            <w:r>
              <w:rPr>
                <w:rFonts w:hint="eastAsia" w:ascii="宋体" w:hAnsi="宋体" w:cs="宋体"/>
                <w:b/>
                <w:bCs/>
                <w:sz w:val="23"/>
                <w:szCs w:val="23"/>
              </w:rPr>
              <w:t>分值</w:t>
            </w:r>
          </w:p>
        </w:tc>
      </w:tr>
      <w:tr w14:paraId="0B42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445C8638">
            <w:pPr>
              <w:spacing w:line="360" w:lineRule="auto"/>
              <w:jc w:val="center"/>
              <w:rPr>
                <w:rFonts w:hint="eastAsia" w:ascii="宋体" w:hAnsi="宋体" w:cs="宋体"/>
                <w:sz w:val="23"/>
                <w:szCs w:val="23"/>
              </w:rPr>
            </w:pPr>
            <w:r>
              <w:rPr>
                <w:rFonts w:hint="eastAsia" w:ascii="宋体" w:hAnsi="宋体" w:cs="宋体"/>
                <w:sz w:val="23"/>
                <w:szCs w:val="23"/>
              </w:rPr>
              <w:t>价格分</w:t>
            </w:r>
          </w:p>
          <w:p w14:paraId="67C2DFFA">
            <w:pPr>
              <w:spacing w:line="360" w:lineRule="auto"/>
              <w:jc w:val="center"/>
              <w:rPr>
                <w:rFonts w:hint="default" w:ascii="宋体" w:hAnsi="宋体" w:eastAsia="宋体" w:cs="宋体"/>
                <w:sz w:val="23"/>
                <w:szCs w:val="23"/>
                <w:lang w:val="en-US" w:eastAsia="zh-CN"/>
              </w:rPr>
            </w:pPr>
            <w:r>
              <w:rPr>
                <w:rFonts w:hint="eastAsia" w:ascii="宋体" w:hAnsi="宋体" w:eastAsia="宋体" w:cs="宋体"/>
                <w:sz w:val="23"/>
                <w:szCs w:val="23"/>
                <w:lang w:eastAsia="zh-CN"/>
              </w:rPr>
              <w:t>（</w:t>
            </w:r>
            <w:r>
              <w:rPr>
                <w:rFonts w:hint="eastAsia" w:ascii="宋体" w:hAnsi="宋体" w:eastAsia="宋体" w:cs="宋体"/>
                <w:sz w:val="23"/>
                <w:szCs w:val="23"/>
                <w:lang w:val="en-US" w:eastAsia="zh-CN"/>
              </w:rPr>
              <w:t>40分）</w:t>
            </w:r>
          </w:p>
        </w:tc>
        <w:tc>
          <w:tcPr>
            <w:tcW w:w="6938" w:type="dxa"/>
            <w:tcBorders>
              <w:top w:val="single" w:color="auto" w:sz="4" w:space="0"/>
              <w:left w:val="single" w:color="auto" w:sz="4" w:space="0"/>
              <w:bottom w:val="single" w:color="auto" w:sz="4" w:space="0"/>
              <w:right w:val="single" w:color="auto" w:sz="4" w:space="0"/>
            </w:tcBorders>
            <w:vAlign w:val="center"/>
          </w:tcPr>
          <w:p w14:paraId="5B061EFA">
            <w:pPr>
              <w:spacing w:line="360" w:lineRule="auto"/>
              <w:rPr>
                <w:rFonts w:ascii="宋体" w:hAnsi="宋体" w:cs="宋体"/>
                <w:sz w:val="23"/>
                <w:szCs w:val="23"/>
              </w:rPr>
            </w:pPr>
            <w:r>
              <w:rPr>
                <w:rFonts w:hint="eastAsia" w:ascii="宋体" w:hAnsi="宋体" w:cs="宋体"/>
                <w:sz w:val="23"/>
                <w:szCs w:val="23"/>
              </w:rPr>
              <w:tab/>
            </w:r>
            <w:r>
              <w:rPr>
                <w:rFonts w:hint="eastAsia" w:ascii="宋体" w:hAnsi="宋体" w:cs="宋体"/>
                <w:sz w:val="23"/>
                <w:szCs w:val="23"/>
              </w:rPr>
              <w:t>价格分采用低价优先法计算，即满足招标文件要求且投标价格最低的投标报价为评标基准价，其价格分为满分。其他投标人的价格分统一按下列公式计算：</w:t>
            </w:r>
          </w:p>
          <w:p w14:paraId="2A469D49">
            <w:pPr>
              <w:spacing w:line="360" w:lineRule="auto"/>
              <w:rPr>
                <w:rFonts w:ascii="宋体" w:hAnsi="宋体" w:cs="宋体"/>
                <w:sz w:val="23"/>
                <w:szCs w:val="23"/>
              </w:rPr>
            </w:pPr>
            <w:r>
              <w:rPr>
                <w:rFonts w:hint="eastAsia" w:ascii="宋体" w:hAnsi="宋体" w:cs="宋体"/>
                <w:sz w:val="23"/>
                <w:szCs w:val="23"/>
              </w:rPr>
              <w:t>投标报价得分=（评标基准价/投标报价）*</w:t>
            </w:r>
            <w:r>
              <w:rPr>
                <w:rFonts w:hint="eastAsia" w:ascii="宋体" w:hAnsi="宋体" w:eastAsia="宋体" w:cs="宋体"/>
                <w:sz w:val="23"/>
                <w:szCs w:val="23"/>
              </w:rPr>
              <w:t>4</w:t>
            </w:r>
            <w:r>
              <w:rPr>
                <w:rFonts w:hint="eastAsia" w:ascii="宋体" w:hAnsi="宋体" w:cs="宋体"/>
                <w:sz w:val="23"/>
                <w:szCs w:val="23"/>
              </w:rPr>
              <w:t>0分</w:t>
            </w:r>
          </w:p>
          <w:p w14:paraId="422062D9">
            <w:pPr>
              <w:spacing w:line="360" w:lineRule="auto"/>
              <w:rPr>
                <w:rFonts w:ascii="宋体" w:hAnsi="宋体" w:cs="宋体"/>
                <w:sz w:val="23"/>
                <w:szCs w:val="23"/>
              </w:rPr>
            </w:pPr>
            <w:r>
              <w:rPr>
                <w:rFonts w:hint="eastAsia" w:ascii="宋体" w:hAnsi="宋体" w:cs="宋体"/>
                <w:sz w:val="23"/>
                <w:szCs w:val="23"/>
              </w:rPr>
              <w:t>注：（1）对小型和微型企业产品的价格给予10%的扣除，用扣除后的价格参与评审。</w:t>
            </w:r>
          </w:p>
          <w:p w14:paraId="28834928">
            <w:pPr>
              <w:spacing w:line="360" w:lineRule="auto"/>
              <w:rPr>
                <w:rFonts w:ascii="宋体" w:hAnsi="宋体" w:cs="宋体"/>
                <w:sz w:val="23"/>
                <w:szCs w:val="23"/>
              </w:rPr>
            </w:pPr>
            <w:r>
              <w:rPr>
                <w:rFonts w:hint="eastAsia" w:ascii="宋体" w:hAnsi="宋体" w:cs="宋体"/>
                <w:sz w:val="23"/>
                <w:szCs w:val="23"/>
              </w:rPr>
              <w:t>（2）监狱企业视同小型、微型企业，享受评审中价格扣除等政府促进中小企业发展的政府采购政策。</w:t>
            </w:r>
          </w:p>
          <w:p w14:paraId="627590A0">
            <w:pPr>
              <w:spacing w:line="360" w:lineRule="auto"/>
              <w:rPr>
                <w:rFonts w:ascii="宋体" w:hAnsi="宋体" w:cs="宋体"/>
                <w:sz w:val="23"/>
                <w:szCs w:val="23"/>
              </w:rPr>
            </w:pPr>
            <w:r>
              <w:rPr>
                <w:rFonts w:hint="eastAsia" w:ascii="宋体" w:hAnsi="宋体" w:cs="宋体"/>
                <w:sz w:val="23"/>
                <w:szCs w:val="23"/>
              </w:rPr>
              <w:t>（3）残疾人福利性单位视同小型、微型企业，享受评审中价格扣除等政府促进中小企业发展的政府采购政策。福利性单位属于小型、微型企业的，不重复享受政策。</w:t>
            </w:r>
          </w:p>
        </w:tc>
        <w:tc>
          <w:tcPr>
            <w:tcW w:w="1027" w:type="dxa"/>
            <w:tcBorders>
              <w:top w:val="single" w:color="auto" w:sz="4" w:space="0"/>
              <w:left w:val="single" w:color="auto" w:sz="4" w:space="0"/>
              <w:bottom w:val="single" w:color="auto" w:sz="4" w:space="0"/>
              <w:right w:val="single" w:color="auto" w:sz="4" w:space="0"/>
            </w:tcBorders>
            <w:vAlign w:val="center"/>
          </w:tcPr>
          <w:p w14:paraId="66CC562D">
            <w:pPr>
              <w:spacing w:line="360" w:lineRule="auto"/>
              <w:jc w:val="center"/>
              <w:rPr>
                <w:rFonts w:ascii="宋体" w:hAnsi="宋体" w:cs="宋体"/>
                <w:sz w:val="23"/>
                <w:szCs w:val="23"/>
              </w:rPr>
            </w:pPr>
            <w:r>
              <w:rPr>
                <w:rFonts w:hint="eastAsia" w:ascii="宋体" w:hAnsi="宋体" w:eastAsia="宋体" w:cs="宋体"/>
                <w:color w:val="auto"/>
                <w:sz w:val="23"/>
                <w:szCs w:val="23"/>
              </w:rPr>
              <w:t>40</w:t>
            </w:r>
            <w:r>
              <w:rPr>
                <w:rFonts w:hint="eastAsia" w:ascii="宋体" w:hAnsi="宋体" w:cs="宋体"/>
                <w:sz w:val="23"/>
                <w:szCs w:val="23"/>
              </w:rPr>
              <w:t>分</w:t>
            </w:r>
          </w:p>
        </w:tc>
      </w:tr>
    </w:tbl>
    <w:p w14:paraId="24753336">
      <w:pPr>
        <w:rPr>
          <w:rFonts w:ascii="宋体" w:hAnsi="宋体" w:cs="宋体"/>
          <w:sz w:val="23"/>
          <w:szCs w:val="23"/>
        </w:rPr>
      </w:pPr>
    </w:p>
    <w:p w14:paraId="2A282E8D">
      <w:pPr>
        <w:spacing w:line="300" w:lineRule="auto"/>
        <w:rPr>
          <w:rFonts w:ascii="宋体" w:hAnsi="宋体" w:cs="宋体"/>
          <w:b/>
          <w:bCs/>
          <w:color w:val="auto"/>
          <w:sz w:val="23"/>
          <w:szCs w:val="23"/>
        </w:rPr>
      </w:pPr>
      <w:r>
        <w:rPr>
          <w:rFonts w:hint="eastAsia" w:ascii="宋体" w:hAnsi="宋体" w:cs="宋体"/>
          <w:b/>
          <w:bCs/>
          <w:sz w:val="23"/>
          <w:szCs w:val="23"/>
        </w:rPr>
        <w:t>二、技术评分</w:t>
      </w:r>
      <w:r>
        <w:rPr>
          <w:rFonts w:hint="eastAsia" w:ascii="宋体" w:hAnsi="宋体" w:eastAsia="宋体" w:cs="宋体"/>
          <w:b/>
          <w:bCs/>
          <w:color w:val="auto"/>
          <w:sz w:val="23"/>
          <w:szCs w:val="23"/>
          <w:lang w:val="en-US" w:eastAsia="zh-CN"/>
        </w:rPr>
        <w:t>50</w:t>
      </w:r>
      <w:r>
        <w:rPr>
          <w:rFonts w:hint="eastAsia" w:ascii="宋体" w:hAnsi="宋体" w:cs="宋体"/>
          <w:b/>
          <w:bCs/>
          <w:color w:val="auto"/>
          <w:sz w:val="23"/>
          <w:szCs w:val="23"/>
        </w:rPr>
        <w:t>分</w:t>
      </w:r>
    </w:p>
    <w:tbl>
      <w:tblPr>
        <w:tblStyle w:val="17"/>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191"/>
        <w:gridCol w:w="6833"/>
        <w:gridCol w:w="816"/>
      </w:tblGrid>
      <w:tr w14:paraId="48FC0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28" w:type="dxa"/>
            <w:vAlign w:val="center"/>
          </w:tcPr>
          <w:p w14:paraId="28DBC559">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序号</w:t>
            </w:r>
          </w:p>
        </w:tc>
        <w:tc>
          <w:tcPr>
            <w:tcW w:w="1191" w:type="dxa"/>
            <w:vAlign w:val="center"/>
          </w:tcPr>
          <w:p w14:paraId="44DDEB7C">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评分点</w:t>
            </w:r>
          </w:p>
        </w:tc>
        <w:tc>
          <w:tcPr>
            <w:tcW w:w="6833" w:type="dxa"/>
            <w:vAlign w:val="center"/>
          </w:tcPr>
          <w:p w14:paraId="27970111">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评审内容</w:t>
            </w:r>
          </w:p>
        </w:tc>
        <w:tc>
          <w:tcPr>
            <w:tcW w:w="816" w:type="dxa"/>
            <w:vAlign w:val="center"/>
          </w:tcPr>
          <w:p w14:paraId="77421FFA">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分值</w:t>
            </w:r>
          </w:p>
        </w:tc>
      </w:tr>
      <w:tr w14:paraId="61C9B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Align w:val="center"/>
          </w:tcPr>
          <w:p w14:paraId="6E06DC0C">
            <w:pPr>
              <w:spacing w:line="360" w:lineRule="auto"/>
              <w:jc w:val="center"/>
              <w:rPr>
                <w:rFonts w:ascii="宋体" w:hAnsi="宋体" w:cs="宋体"/>
                <w:color w:val="auto"/>
                <w:sz w:val="23"/>
                <w:szCs w:val="23"/>
              </w:rPr>
            </w:pPr>
            <w:r>
              <w:rPr>
                <w:rFonts w:hint="eastAsia" w:ascii="宋体" w:hAnsi="宋体" w:cs="宋体"/>
                <w:color w:val="auto"/>
                <w:sz w:val="23"/>
                <w:szCs w:val="23"/>
              </w:rPr>
              <w:t>1</w:t>
            </w:r>
          </w:p>
        </w:tc>
        <w:tc>
          <w:tcPr>
            <w:tcW w:w="1191" w:type="dxa"/>
            <w:vAlign w:val="center"/>
          </w:tcPr>
          <w:p w14:paraId="0E9C7704">
            <w:pPr>
              <w:spacing w:line="360" w:lineRule="auto"/>
              <w:jc w:val="center"/>
              <w:rPr>
                <w:rFonts w:hint="eastAsia" w:ascii="宋体" w:hAnsi="宋体" w:eastAsia="宋体" w:cs="宋体"/>
                <w:color w:val="auto"/>
                <w:sz w:val="23"/>
                <w:szCs w:val="23"/>
                <w:lang w:eastAsia="zh-CN"/>
              </w:rPr>
            </w:pPr>
            <w:r>
              <w:rPr>
                <w:rFonts w:hint="eastAsia" w:ascii="宋体" w:hAnsi="宋体" w:cs="宋体"/>
                <w:color w:val="auto"/>
                <w:sz w:val="23"/>
                <w:szCs w:val="23"/>
              </w:rPr>
              <w:t>技术基准</w:t>
            </w:r>
            <w:r>
              <w:rPr>
                <w:rFonts w:hint="eastAsia" w:ascii="宋体" w:hAnsi="宋体" w:eastAsia="宋体" w:cs="宋体"/>
                <w:color w:val="auto"/>
                <w:sz w:val="23"/>
                <w:szCs w:val="23"/>
                <w:lang w:eastAsia="zh-CN"/>
              </w:rPr>
              <w:t>（</w:t>
            </w:r>
            <w:r>
              <w:rPr>
                <w:rFonts w:hint="eastAsia" w:ascii="宋体" w:hAnsi="宋体" w:eastAsia="宋体" w:cs="宋体"/>
                <w:color w:val="auto"/>
                <w:sz w:val="23"/>
                <w:szCs w:val="23"/>
                <w:lang w:val="en-US" w:eastAsia="zh-CN"/>
              </w:rPr>
              <w:t>23分</w:t>
            </w:r>
            <w:r>
              <w:rPr>
                <w:rFonts w:hint="eastAsia" w:ascii="宋体" w:hAnsi="宋体" w:eastAsia="宋体" w:cs="宋体"/>
                <w:color w:val="auto"/>
                <w:sz w:val="23"/>
                <w:szCs w:val="23"/>
                <w:lang w:eastAsia="zh-CN"/>
              </w:rPr>
              <w:t>）</w:t>
            </w:r>
          </w:p>
        </w:tc>
        <w:tc>
          <w:tcPr>
            <w:tcW w:w="6833" w:type="dxa"/>
          </w:tcPr>
          <w:p w14:paraId="2179AC37">
            <w:pPr>
              <w:tabs>
                <w:tab w:val="left" w:pos="0"/>
              </w:tabs>
              <w:spacing w:beforeLines="50" w:line="360" w:lineRule="auto"/>
              <w:rPr>
                <w:rFonts w:ascii="宋体" w:hAnsi="宋体" w:eastAsia="宋体" w:cs="宋体"/>
                <w:bCs/>
                <w:color w:val="auto"/>
                <w:kern w:val="2"/>
                <w:sz w:val="23"/>
                <w:szCs w:val="23"/>
              </w:rPr>
            </w:pPr>
            <w:r>
              <w:rPr>
                <w:rFonts w:hint="eastAsia" w:ascii="宋体" w:hAnsi="宋体" w:eastAsia="宋体" w:cs="宋体"/>
                <w:bCs/>
                <w:color w:val="auto"/>
                <w:kern w:val="2"/>
                <w:sz w:val="23"/>
                <w:szCs w:val="23"/>
                <w:lang w:val="zh-CN"/>
              </w:rPr>
              <w:t>第六章中的技术参数为基础要求，投标人可提供优于以上技术参数的产品投标。核心</w:t>
            </w:r>
            <w:r>
              <w:rPr>
                <w:rFonts w:hint="eastAsia" w:ascii="宋体" w:hAnsi="宋体" w:eastAsia="宋体" w:cs="宋体"/>
                <w:bCs/>
                <w:color w:val="auto"/>
                <w:kern w:val="2"/>
                <w:sz w:val="23"/>
                <w:szCs w:val="23"/>
              </w:rPr>
              <w:t>产品</w:t>
            </w:r>
            <w:r>
              <w:rPr>
                <w:rFonts w:hint="eastAsia" w:ascii="宋体" w:hAnsi="宋体" w:eastAsia="宋体" w:cs="宋体"/>
                <w:bCs/>
                <w:color w:val="auto"/>
                <w:kern w:val="2"/>
                <w:sz w:val="23"/>
                <w:szCs w:val="23"/>
                <w:lang w:val="zh-CN"/>
              </w:rPr>
              <w:t>参数（与性能有关的参数）必须满足，非核心</w:t>
            </w:r>
            <w:r>
              <w:rPr>
                <w:rFonts w:hint="eastAsia" w:ascii="宋体" w:hAnsi="宋体" w:eastAsia="宋体" w:cs="宋体"/>
                <w:bCs/>
                <w:color w:val="auto"/>
                <w:kern w:val="2"/>
                <w:sz w:val="23"/>
                <w:szCs w:val="23"/>
              </w:rPr>
              <w:t>产品</w:t>
            </w:r>
            <w:r>
              <w:rPr>
                <w:rFonts w:hint="eastAsia" w:ascii="宋体" w:hAnsi="宋体" w:eastAsia="宋体" w:cs="宋体"/>
                <w:bCs/>
                <w:color w:val="auto"/>
                <w:kern w:val="2"/>
                <w:sz w:val="23"/>
                <w:szCs w:val="23"/>
                <w:lang w:val="zh-CN"/>
              </w:rPr>
              <w:t>参数不满足</w:t>
            </w:r>
            <w:r>
              <w:rPr>
                <w:rFonts w:hint="eastAsia" w:ascii="宋体" w:hAnsi="宋体" w:eastAsia="宋体" w:cs="宋体"/>
                <w:bCs/>
                <w:color w:val="auto"/>
                <w:kern w:val="2"/>
                <w:sz w:val="23"/>
                <w:szCs w:val="23"/>
              </w:rPr>
              <w:t>的一项</w:t>
            </w:r>
            <w:r>
              <w:rPr>
                <w:rFonts w:hint="eastAsia" w:ascii="宋体" w:hAnsi="宋体" w:eastAsia="宋体" w:cs="宋体"/>
                <w:bCs/>
                <w:color w:val="auto"/>
                <w:kern w:val="2"/>
                <w:sz w:val="23"/>
                <w:szCs w:val="23"/>
                <w:lang w:val="zh-CN"/>
              </w:rPr>
              <w:t>扣</w:t>
            </w:r>
            <w:r>
              <w:rPr>
                <w:rFonts w:hint="eastAsia" w:ascii="宋体" w:hAnsi="宋体" w:eastAsia="宋体" w:cs="宋体"/>
                <w:bCs/>
                <w:color w:val="auto"/>
                <w:kern w:val="2"/>
                <w:sz w:val="23"/>
                <w:szCs w:val="23"/>
                <w:lang w:val="en-US" w:eastAsia="zh-CN"/>
              </w:rPr>
              <w:t>0.5</w:t>
            </w:r>
            <w:r>
              <w:rPr>
                <w:rFonts w:hint="eastAsia" w:ascii="宋体" w:hAnsi="宋体" w:eastAsia="宋体" w:cs="宋体"/>
                <w:bCs/>
                <w:color w:val="auto"/>
                <w:kern w:val="2"/>
                <w:sz w:val="23"/>
                <w:szCs w:val="23"/>
                <w:lang w:val="zh-CN"/>
              </w:rPr>
              <w:t>分，</w:t>
            </w:r>
            <w:r>
              <w:rPr>
                <w:rFonts w:hint="eastAsia" w:ascii="宋体" w:hAnsi="宋体" w:eastAsia="宋体" w:cs="宋体"/>
                <w:bCs/>
                <w:color w:val="auto"/>
                <w:kern w:val="2"/>
                <w:sz w:val="23"/>
                <w:szCs w:val="23"/>
              </w:rPr>
              <w:t>扣完为止。</w:t>
            </w:r>
          </w:p>
          <w:p w14:paraId="4F370AF6">
            <w:pPr>
              <w:spacing w:line="360" w:lineRule="auto"/>
              <w:rPr>
                <w:rFonts w:ascii="宋体" w:hAnsi="宋体" w:cs="宋体"/>
                <w:bCs/>
                <w:color w:val="auto"/>
                <w:sz w:val="23"/>
                <w:szCs w:val="23"/>
              </w:rPr>
            </w:pPr>
            <w:r>
              <w:rPr>
                <w:rFonts w:hint="eastAsia" w:ascii="宋体" w:hAnsi="宋体" w:eastAsia="宋体" w:cs="宋体"/>
                <w:b/>
                <w:color w:val="auto"/>
                <w:kern w:val="2"/>
                <w:sz w:val="23"/>
                <w:szCs w:val="23"/>
                <w:lang w:val="zh-CN"/>
              </w:rPr>
              <w:t>评审依据：投标文件的技术参数响应/偏离表。</w:t>
            </w:r>
          </w:p>
        </w:tc>
        <w:tc>
          <w:tcPr>
            <w:tcW w:w="816" w:type="dxa"/>
            <w:vAlign w:val="center"/>
          </w:tcPr>
          <w:p w14:paraId="037A4F53">
            <w:pPr>
              <w:spacing w:line="360" w:lineRule="auto"/>
              <w:jc w:val="center"/>
              <w:rPr>
                <w:rFonts w:hint="default" w:ascii="宋体" w:hAnsi="宋体" w:eastAsia="宋体" w:cs="宋体"/>
                <w:b/>
                <w:bCs/>
                <w:color w:val="auto"/>
                <w:sz w:val="23"/>
                <w:szCs w:val="23"/>
                <w:lang w:val="en-US" w:eastAsia="zh-CN"/>
              </w:rPr>
            </w:pPr>
            <w:r>
              <w:rPr>
                <w:rFonts w:hint="eastAsia" w:ascii="宋体" w:hAnsi="宋体" w:eastAsia="宋体" w:cs="宋体"/>
                <w:b w:val="0"/>
                <w:bCs w:val="0"/>
                <w:color w:val="auto"/>
                <w:sz w:val="23"/>
                <w:szCs w:val="23"/>
                <w:lang w:val="en-US" w:eastAsia="zh-CN"/>
              </w:rPr>
              <w:t>23分</w:t>
            </w:r>
          </w:p>
        </w:tc>
      </w:tr>
      <w:tr w14:paraId="21077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828" w:type="dxa"/>
            <w:vMerge w:val="restart"/>
            <w:vAlign w:val="center"/>
          </w:tcPr>
          <w:p w14:paraId="34929735">
            <w:pPr>
              <w:spacing w:line="360" w:lineRule="auto"/>
              <w:jc w:val="center"/>
              <w:rPr>
                <w:rFonts w:hint="eastAsia" w:ascii="宋体" w:hAnsi="宋体" w:cs="宋体" w:eastAsiaTheme="minorEastAsia"/>
                <w:color w:val="auto"/>
                <w:sz w:val="23"/>
                <w:szCs w:val="23"/>
                <w:lang w:val="en-US" w:eastAsia="zh-CN"/>
              </w:rPr>
            </w:pPr>
            <w:r>
              <w:rPr>
                <w:rFonts w:hint="eastAsia" w:ascii="宋体" w:hAnsi="宋体" w:cs="宋体" w:eastAsiaTheme="minorEastAsia"/>
                <w:color w:val="auto"/>
                <w:sz w:val="23"/>
                <w:szCs w:val="23"/>
                <w:lang w:val="en-US" w:eastAsia="zh-CN"/>
              </w:rPr>
              <w:t>2</w:t>
            </w:r>
          </w:p>
        </w:tc>
        <w:tc>
          <w:tcPr>
            <w:tcW w:w="1191" w:type="dxa"/>
            <w:vMerge w:val="restart"/>
            <w:vAlign w:val="center"/>
          </w:tcPr>
          <w:p w14:paraId="65B5963C">
            <w:pPr>
              <w:spacing w:line="240" w:lineRule="auto"/>
              <w:jc w:val="center"/>
              <w:rPr>
                <w:rFonts w:hint="eastAsia" w:ascii="宋体" w:hAnsi="宋体" w:eastAsia="宋体" w:cs="宋体"/>
                <w:color w:val="auto"/>
                <w:sz w:val="23"/>
                <w:szCs w:val="23"/>
                <w:lang w:eastAsia="zh-CN"/>
              </w:rPr>
            </w:pPr>
            <w:r>
              <w:rPr>
                <w:rFonts w:hint="eastAsia" w:ascii="宋体" w:hAnsi="宋体" w:eastAsia="宋体" w:cs="宋体"/>
                <w:color w:val="auto"/>
                <w:sz w:val="23"/>
                <w:szCs w:val="23"/>
                <w:lang w:eastAsia="zh-CN"/>
              </w:rPr>
              <w:t>产品技术优越先进性（</w:t>
            </w:r>
            <w:r>
              <w:rPr>
                <w:rFonts w:hint="eastAsia" w:ascii="宋体" w:hAnsi="宋体" w:eastAsia="宋体" w:cs="宋体"/>
                <w:color w:val="auto"/>
                <w:sz w:val="23"/>
                <w:szCs w:val="23"/>
                <w:lang w:val="en-US" w:eastAsia="zh-CN"/>
              </w:rPr>
              <w:t>27分</w:t>
            </w:r>
            <w:r>
              <w:rPr>
                <w:rFonts w:hint="eastAsia" w:ascii="宋体" w:hAnsi="宋体" w:eastAsia="宋体" w:cs="宋体"/>
                <w:color w:val="auto"/>
                <w:sz w:val="23"/>
                <w:szCs w:val="23"/>
                <w:lang w:eastAsia="zh-CN"/>
              </w:rPr>
              <w:t>）</w:t>
            </w:r>
          </w:p>
        </w:tc>
        <w:tc>
          <w:tcPr>
            <w:tcW w:w="6833" w:type="dxa"/>
            <w:vAlign w:val="top"/>
          </w:tcPr>
          <w:p w14:paraId="11FB3DDD">
            <w:pPr>
              <w:tabs>
                <w:tab w:val="left" w:pos="0"/>
              </w:tabs>
              <w:spacing w:beforeLines="50" w:line="240" w:lineRule="auto"/>
              <w:rPr>
                <w:rFonts w:hint="eastAsia" w:ascii="宋体" w:hAnsi="宋体" w:cs="宋体" w:eastAsiaTheme="minorEastAsia"/>
                <w:bCs/>
                <w:color w:val="auto"/>
                <w:sz w:val="23"/>
                <w:szCs w:val="23"/>
              </w:rPr>
            </w:pPr>
            <w:r>
              <w:rPr>
                <w:rFonts w:hint="eastAsia" w:ascii="宋体" w:hAnsi="宋体" w:cs="宋体" w:eastAsiaTheme="minorEastAsia"/>
                <w:bCs/>
                <w:color w:val="auto"/>
                <w:sz w:val="23"/>
                <w:szCs w:val="23"/>
              </w:rPr>
              <w:t>所投</w:t>
            </w:r>
            <w:r>
              <w:rPr>
                <w:rFonts w:hint="eastAsia" w:ascii="宋体" w:hAnsi="宋体" w:eastAsia="宋体" w:cs="宋体"/>
                <w:b w:val="0"/>
                <w:bCs w:val="0"/>
                <w:color w:val="auto"/>
                <w:sz w:val="22"/>
                <w:szCs w:val="22"/>
                <w:highlight w:val="none"/>
                <w:lang w:val="en-US" w:eastAsia="zh-CN"/>
              </w:rPr>
              <w:t>投LED显示屏</w:t>
            </w:r>
            <w:r>
              <w:rPr>
                <w:rFonts w:hint="eastAsia" w:ascii="宋体" w:hAnsi="宋体" w:cs="宋体" w:eastAsiaTheme="minorEastAsia"/>
                <w:bCs/>
                <w:color w:val="auto"/>
                <w:sz w:val="23"/>
                <w:szCs w:val="23"/>
              </w:rPr>
              <w:t>产品</w:t>
            </w:r>
            <w:r>
              <w:rPr>
                <w:rFonts w:hint="eastAsia" w:ascii="宋体" w:hAnsi="宋体" w:cs="宋体" w:eastAsiaTheme="minorEastAsia"/>
                <w:bCs/>
                <w:color w:val="auto"/>
                <w:sz w:val="23"/>
                <w:szCs w:val="23"/>
                <w:lang w:val="en-US" w:eastAsia="zh-CN"/>
              </w:rPr>
              <w:t>间距等级每高一级加四分，共8分</w:t>
            </w:r>
            <w:r>
              <w:rPr>
                <w:rFonts w:hint="eastAsia" w:ascii="宋体" w:hAnsi="宋体" w:cs="宋体" w:eastAsiaTheme="minorEastAsia"/>
                <w:bCs/>
                <w:color w:val="auto"/>
                <w:sz w:val="23"/>
                <w:szCs w:val="23"/>
              </w:rPr>
              <w:t>：</w:t>
            </w:r>
          </w:p>
          <w:p w14:paraId="788CD2CE">
            <w:pPr>
              <w:tabs>
                <w:tab w:val="left" w:pos="0"/>
              </w:tabs>
              <w:spacing w:beforeLines="50" w:line="240" w:lineRule="auto"/>
              <w:rPr>
                <w:rFonts w:hint="eastAsia" w:ascii="宋体" w:hAnsi="宋体" w:cs="宋体" w:eastAsiaTheme="minorEastAsia"/>
                <w:b/>
                <w:snapToGrid w:val="0"/>
                <w:color w:val="auto"/>
                <w:sz w:val="23"/>
                <w:szCs w:val="23"/>
                <w:lang w:val="en-US" w:eastAsia="zh-CN" w:bidi="ar-SA"/>
              </w:rPr>
            </w:pPr>
            <w:r>
              <w:rPr>
                <w:rFonts w:hint="eastAsia" w:ascii="宋体" w:hAnsi="宋体" w:cs="宋体" w:eastAsiaTheme="minorEastAsia"/>
                <w:b/>
                <w:color w:val="auto"/>
                <w:sz w:val="23"/>
                <w:szCs w:val="23"/>
                <w:lang w:val="en-US" w:eastAsia="zh-CN"/>
              </w:rPr>
              <w:t>(</w:t>
            </w:r>
            <w:r>
              <w:rPr>
                <w:rFonts w:hint="eastAsia" w:ascii="宋体" w:hAnsi="宋体" w:cs="宋体" w:eastAsiaTheme="minorEastAsia"/>
                <w:b/>
                <w:color w:val="auto"/>
                <w:sz w:val="23"/>
                <w:szCs w:val="23"/>
              </w:rPr>
              <w:t>评审依据：</w:t>
            </w:r>
            <w:r>
              <w:rPr>
                <w:rFonts w:hint="default" w:ascii="宋体" w:hAnsi="宋体" w:eastAsiaTheme="minorEastAsia" w:cstheme="minorBidi"/>
                <w:b/>
                <w:bCs/>
                <w:snapToGrid w:val="0"/>
                <w:color w:val="auto"/>
                <w:kern w:val="0"/>
                <w:sz w:val="24"/>
                <w:szCs w:val="24"/>
                <w:highlight w:val="none"/>
                <w:lang w:val="en-US" w:eastAsia="zh-CN" w:bidi="ar-SA"/>
              </w:rPr>
              <w:t>需提供参数确认函并加盖制造商公章，不提供或提供不符合要求不得分</w:t>
            </w:r>
            <w:r>
              <w:rPr>
                <w:rFonts w:hint="eastAsia" w:ascii="宋体" w:hAnsi="宋体" w:cs="宋体" w:eastAsiaTheme="minorEastAsia"/>
                <w:b/>
                <w:color w:val="auto"/>
                <w:sz w:val="23"/>
                <w:szCs w:val="23"/>
                <w:lang w:val="en-US" w:eastAsia="zh-CN"/>
              </w:rPr>
              <w:t>)</w:t>
            </w:r>
          </w:p>
        </w:tc>
        <w:tc>
          <w:tcPr>
            <w:tcW w:w="816" w:type="dxa"/>
            <w:vAlign w:val="center"/>
          </w:tcPr>
          <w:p w14:paraId="1FC279FE">
            <w:pPr>
              <w:spacing w:line="360" w:lineRule="auto"/>
              <w:jc w:val="center"/>
              <w:rPr>
                <w:rFonts w:hint="eastAsia" w:ascii="宋体" w:hAnsi="宋体" w:cs="宋体" w:eastAsiaTheme="minorEastAsia"/>
                <w:color w:val="auto"/>
                <w:sz w:val="23"/>
                <w:szCs w:val="23"/>
                <w:lang w:val="en-US" w:eastAsia="zh-CN"/>
              </w:rPr>
            </w:pPr>
            <w:r>
              <w:rPr>
                <w:rFonts w:hint="eastAsia" w:ascii="宋体" w:hAnsi="宋体" w:cs="宋体" w:eastAsiaTheme="minorEastAsia"/>
                <w:color w:val="auto"/>
                <w:sz w:val="23"/>
                <w:szCs w:val="23"/>
                <w:lang w:val="en-US" w:eastAsia="zh-CN"/>
              </w:rPr>
              <w:t>8</w:t>
            </w:r>
            <w:r>
              <w:rPr>
                <w:rFonts w:hint="eastAsia" w:ascii="宋体" w:hAnsi="宋体" w:cs="宋体" w:eastAsiaTheme="minorEastAsia"/>
                <w:color w:val="auto"/>
                <w:sz w:val="23"/>
                <w:szCs w:val="23"/>
              </w:rPr>
              <w:t>分</w:t>
            </w:r>
          </w:p>
        </w:tc>
      </w:tr>
      <w:tr w14:paraId="1CC95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Merge w:val="continue"/>
            <w:vAlign w:val="center"/>
          </w:tcPr>
          <w:p w14:paraId="370B1DD1">
            <w:pPr>
              <w:spacing w:line="360" w:lineRule="auto"/>
              <w:jc w:val="center"/>
              <w:rPr>
                <w:rFonts w:hint="eastAsia" w:ascii="宋体" w:hAnsi="宋体" w:cs="宋体" w:eastAsiaTheme="minorEastAsia"/>
                <w:color w:val="auto"/>
                <w:sz w:val="23"/>
                <w:szCs w:val="23"/>
                <w:lang w:val="en-US" w:eastAsia="zh-CN"/>
              </w:rPr>
            </w:pPr>
          </w:p>
        </w:tc>
        <w:tc>
          <w:tcPr>
            <w:tcW w:w="1191" w:type="dxa"/>
            <w:vMerge w:val="continue"/>
            <w:vAlign w:val="center"/>
          </w:tcPr>
          <w:p w14:paraId="514A776B">
            <w:pPr>
              <w:spacing w:line="240" w:lineRule="auto"/>
              <w:jc w:val="center"/>
              <w:rPr>
                <w:rFonts w:hint="eastAsia" w:ascii="宋体" w:hAnsi="宋体" w:eastAsia="宋体" w:cs="宋体"/>
                <w:color w:val="auto"/>
                <w:sz w:val="23"/>
                <w:szCs w:val="23"/>
                <w:lang w:eastAsia="zh-CN"/>
              </w:rPr>
            </w:pPr>
          </w:p>
        </w:tc>
        <w:tc>
          <w:tcPr>
            <w:tcW w:w="6833" w:type="dxa"/>
            <w:vAlign w:val="top"/>
          </w:tcPr>
          <w:p w14:paraId="773DB356">
            <w:pPr>
              <w:tabs>
                <w:tab w:val="left" w:pos="0"/>
              </w:tabs>
              <w:spacing w:beforeLines="50" w:line="240" w:lineRule="auto"/>
              <w:rPr>
                <w:rFonts w:hint="eastAsia" w:ascii="宋体" w:hAnsi="宋体" w:cs="宋体" w:eastAsiaTheme="minorEastAsia"/>
                <w:b/>
                <w:color w:val="auto"/>
                <w:sz w:val="23"/>
                <w:szCs w:val="23"/>
                <w:lang w:val="en-US" w:eastAsia="zh-CN"/>
              </w:rPr>
            </w:pPr>
            <w:r>
              <w:rPr>
                <w:rFonts w:hint="eastAsia" w:ascii="宋体" w:hAnsi="宋体" w:cs="宋体" w:eastAsiaTheme="minorEastAsia"/>
                <w:b/>
                <w:color w:val="auto"/>
                <w:sz w:val="23"/>
                <w:szCs w:val="23"/>
                <w:lang w:eastAsia="zh-CN"/>
              </w:rPr>
              <w:t>所投“网络中控主机”满足以下要求的，得</w:t>
            </w:r>
            <w:r>
              <w:rPr>
                <w:rFonts w:hint="eastAsia" w:ascii="宋体" w:hAnsi="宋体" w:cs="宋体" w:eastAsiaTheme="minorEastAsia"/>
                <w:b/>
                <w:color w:val="auto"/>
                <w:sz w:val="23"/>
                <w:szCs w:val="23"/>
                <w:lang w:val="en-US" w:eastAsia="zh-CN"/>
              </w:rPr>
              <w:t>4分:</w:t>
            </w:r>
          </w:p>
          <w:p w14:paraId="2DE0DC7C">
            <w:pPr>
              <w:tabs>
                <w:tab w:val="left" w:pos="0"/>
              </w:tabs>
              <w:spacing w:beforeLines="50" w:line="240" w:lineRule="auto"/>
              <w:rPr>
                <w:rFonts w:hint="default" w:ascii="宋体" w:hAnsi="宋体" w:cs="宋体" w:eastAsiaTheme="minorEastAsia"/>
                <w:b w:val="0"/>
                <w:bCs/>
                <w:color w:val="auto"/>
                <w:sz w:val="23"/>
                <w:szCs w:val="23"/>
                <w:lang w:val="en-US" w:eastAsia="zh-CN"/>
              </w:rPr>
            </w:pPr>
            <w:r>
              <w:rPr>
                <w:rFonts w:hint="default" w:ascii="宋体" w:hAnsi="宋体" w:cs="宋体" w:eastAsiaTheme="minorEastAsia"/>
                <w:b w:val="0"/>
                <w:bCs/>
                <w:color w:val="auto"/>
                <w:sz w:val="23"/>
                <w:szCs w:val="23"/>
                <w:lang w:val="en-US" w:eastAsia="zh-CN"/>
              </w:rPr>
              <w:t>网络中控主机 内置中控控制终端软件，可以根据 IP、MAC、中控名称或在线、离线、占用、故障状态进行搜索，列表可以显示字段:区域分组、分组数量、中控名称、MAC、IP地址。</w:t>
            </w:r>
          </w:p>
          <w:p w14:paraId="01502D0F">
            <w:pPr>
              <w:tabs>
                <w:tab w:val="left" w:pos="0"/>
              </w:tabs>
              <w:spacing w:beforeLines="50" w:line="240" w:lineRule="auto"/>
              <w:rPr>
                <w:rFonts w:hint="default" w:ascii="宋体" w:hAnsi="宋体" w:cs="宋体" w:eastAsiaTheme="minorEastAsia"/>
                <w:b w:val="0"/>
                <w:bCs/>
                <w:color w:val="auto"/>
                <w:sz w:val="23"/>
                <w:szCs w:val="23"/>
                <w:lang w:val="en-US" w:eastAsia="zh-CN"/>
              </w:rPr>
            </w:pPr>
            <w:r>
              <w:rPr>
                <w:rFonts w:hint="eastAsia" w:ascii="宋体" w:hAnsi="宋体" w:cs="宋体" w:eastAsiaTheme="minorEastAsia"/>
                <w:b/>
                <w:bCs w:val="0"/>
                <w:color w:val="auto"/>
                <w:sz w:val="23"/>
                <w:szCs w:val="23"/>
                <w:lang w:val="en-US" w:eastAsia="zh-CN"/>
              </w:rPr>
              <w:t>(</w:t>
            </w:r>
            <w:r>
              <w:rPr>
                <w:rFonts w:hint="default" w:ascii="宋体" w:hAnsi="宋体" w:cs="宋体" w:eastAsiaTheme="minorEastAsia"/>
                <w:b/>
                <w:bCs w:val="0"/>
                <w:color w:val="auto"/>
                <w:sz w:val="23"/>
                <w:szCs w:val="23"/>
                <w:lang w:val="en-US" w:eastAsia="zh-CN"/>
              </w:rPr>
              <w:t>评审依据：需提供产品软件证书复印件和满足上述参数功能的软件测试报告复印件并加盖制造商公章</w:t>
            </w:r>
            <w:r>
              <w:rPr>
                <w:rFonts w:hint="eastAsia" w:ascii="宋体" w:hAnsi="宋体" w:cs="宋体" w:eastAsiaTheme="minorEastAsia"/>
                <w:b/>
                <w:bCs w:val="0"/>
                <w:color w:val="auto"/>
                <w:sz w:val="23"/>
                <w:szCs w:val="23"/>
                <w:lang w:val="en-US" w:eastAsia="zh-CN"/>
              </w:rPr>
              <w:t>)</w:t>
            </w:r>
          </w:p>
        </w:tc>
        <w:tc>
          <w:tcPr>
            <w:tcW w:w="816" w:type="dxa"/>
            <w:vAlign w:val="center"/>
          </w:tcPr>
          <w:p w14:paraId="6E5363A5">
            <w:pPr>
              <w:spacing w:line="360" w:lineRule="auto"/>
              <w:jc w:val="center"/>
              <w:rPr>
                <w:rFonts w:hint="default" w:ascii="宋体" w:hAnsi="宋体" w:cs="宋体" w:eastAsiaTheme="minorEastAsia"/>
                <w:color w:val="auto"/>
                <w:sz w:val="23"/>
                <w:szCs w:val="23"/>
                <w:lang w:val="en-US" w:eastAsia="zh-CN"/>
              </w:rPr>
            </w:pPr>
            <w:r>
              <w:rPr>
                <w:rFonts w:hint="eastAsia" w:ascii="宋体" w:hAnsi="宋体" w:cs="宋体" w:eastAsiaTheme="minorEastAsia"/>
                <w:color w:val="auto"/>
                <w:sz w:val="23"/>
                <w:szCs w:val="23"/>
                <w:lang w:val="en-US" w:eastAsia="zh-CN"/>
              </w:rPr>
              <w:t>4</w:t>
            </w:r>
          </w:p>
        </w:tc>
      </w:tr>
      <w:tr w14:paraId="6D52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Merge w:val="continue"/>
            <w:vAlign w:val="center"/>
          </w:tcPr>
          <w:p w14:paraId="6B054985">
            <w:pPr>
              <w:spacing w:line="360" w:lineRule="auto"/>
              <w:jc w:val="center"/>
              <w:rPr>
                <w:rFonts w:ascii="宋体" w:hAnsi="宋体" w:cs="宋体" w:eastAsiaTheme="minorEastAsia"/>
                <w:color w:val="auto"/>
                <w:sz w:val="23"/>
                <w:szCs w:val="23"/>
              </w:rPr>
            </w:pPr>
          </w:p>
        </w:tc>
        <w:tc>
          <w:tcPr>
            <w:tcW w:w="1191" w:type="dxa"/>
            <w:vMerge w:val="continue"/>
            <w:vAlign w:val="center"/>
          </w:tcPr>
          <w:p w14:paraId="5D6E5E74">
            <w:pPr>
              <w:spacing w:line="240" w:lineRule="auto"/>
              <w:jc w:val="center"/>
              <w:rPr>
                <w:rFonts w:ascii="宋体" w:hAnsi="宋体" w:cs="宋体"/>
                <w:color w:val="auto"/>
                <w:sz w:val="23"/>
                <w:szCs w:val="23"/>
              </w:rPr>
            </w:pPr>
          </w:p>
        </w:tc>
        <w:tc>
          <w:tcPr>
            <w:tcW w:w="6833" w:type="dxa"/>
            <w:vAlign w:val="top"/>
          </w:tcPr>
          <w:p w14:paraId="1D688AB1">
            <w:pPr>
              <w:spacing w:line="240" w:lineRule="auto"/>
              <w:rPr>
                <w:rFonts w:hint="eastAsia" w:eastAsiaTheme="minorEastAsia"/>
                <w:b/>
                <w:bCs/>
                <w:sz w:val="24"/>
                <w:szCs w:val="24"/>
              </w:rPr>
            </w:pPr>
            <w:r>
              <w:rPr>
                <w:rFonts w:hint="eastAsia"/>
                <w:b/>
                <w:bCs/>
                <w:sz w:val="24"/>
                <w:szCs w:val="24"/>
              </w:rPr>
              <w:t>所投</w:t>
            </w:r>
            <w:r>
              <w:rPr>
                <w:rFonts w:ascii="Arial-BoldMT" w:hAnsi="Arial-BoldMT"/>
                <w:b/>
                <w:sz w:val="24"/>
                <w:szCs w:val="24"/>
              </w:rPr>
              <w:t>“</w:t>
            </w:r>
            <w:r>
              <w:rPr>
                <w:rFonts w:hint="eastAsia"/>
                <w:b/>
                <w:bCs/>
                <w:sz w:val="24"/>
                <w:szCs w:val="24"/>
              </w:rPr>
              <w:t>室内</w:t>
            </w:r>
            <w:r>
              <w:rPr>
                <w:rFonts w:hint="eastAsia" w:eastAsia="宋体"/>
                <w:b/>
                <w:bCs/>
                <w:sz w:val="24"/>
                <w:szCs w:val="24"/>
                <w:lang w:val="en-US" w:eastAsia="zh-CN"/>
              </w:rPr>
              <w:t>LED</w:t>
            </w:r>
            <w:r>
              <w:rPr>
                <w:rFonts w:hint="eastAsia"/>
                <w:b/>
                <w:bCs/>
                <w:sz w:val="24"/>
                <w:szCs w:val="24"/>
              </w:rPr>
              <w:t>屏幕</w:t>
            </w:r>
            <w:r>
              <w:rPr>
                <w:rFonts w:ascii="Arial-BoldMT" w:hAnsi="Arial-BoldMT"/>
                <w:b/>
                <w:sz w:val="24"/>
                <w:szCs w:val="24"/>
              </w:rPr>
              <w:t>”</w:t>
            </w:r>
            <w:r>
              <w:rPr>
                <w:rFonts w:hint="eastAsia" w:ascii="Arial-BoldMT" w:hAnsi="Arial-BoldMT" w:eastAsia="宋体"/>
                <w:b/>
                <w:sz w:val="24"/>
                <w:szCs w:val="24"/>
                <w:lang w:eastAsia="zh-CN"/>
              </w:rPr>
              <w:t>满足以下参数的，每满足一项得</w:t>
            </w:r>
            <w:r>
              <w:rPr>
                <w:rFonts w:hint="eastAsia" w:ascii="Arial-BoldMT" w:hAnsi="Arial-BoldMT" w:eastAsia="宋体"/>
                <w:b/>
                <w:sz w:val="24"/>
                <w:szCs w:val="24"/>
                <w:lang w:val="en-US" w:eastAsia="zh-CN"/>
              </w:rPr>
              <w:t>2.5分，共10分</w:t>
            </w:r>
            <w:r>
              <w:rPr>
                <w:rFonts w:hint="eastAsia"/>
                <w:b/>
                <w:bCs/>
                <w:sz w:val="24"/>
                <w:szCs w:val="24"/>
              </w:rPr>
              <w:t>：</w:t>
            </w:r>
          </w:p>
          <w:p w14:paraId="6D925421">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snapToGrid w:val="0"/>
                <w:color w:val="auto"/>
                <w:sz w:val="24"/>
                <w:szCs w:val="24"/>
                <w:lang w:val="en-US" w:eastAsia="zh-CN" w:bidi="ar-SA"/>
              </w:rPr>
              <w:t>1、</w:t>
            </w:r>
            <w:r>
              <w:rPr>
                <w:rFonts w:hint="eastAsia" w:ascii="宋体" w:hAnsi="宋体" w:eastAsia="宋体" w:cs="宋体"/>
                <w:color w:val="auto"/>
                <w:sz w:val="24"/>
                <w:szCs w:val="24"/>
                <w:highlight w:val="none"/>
                <w:lang w:eastAsia="zh-CN"/>
              </w:rPr>
              <w:t>所投</w:t>
            </w:r>
            <w:r>
              <w:rPr>
                <w:rFonts w:hint="eastAsia" w:ascii="宋体" w:hAnsi="宋体" w:eastAsia="宋体" w:cs="宋体"/>
                <w:color w:val="auto"/>
                <w:sz w:val="24"/>
                <w:szCs w:val="24"/>
                <w:highlight w:val="none"/>
                <w:lang w:val="en-US" w:eastAsia="zh-CN"/>
              </w:rPr>
              <w:t>LED显示屏</w:t>
            </w:r>
            <w:r>
              <w:rPr>
                <w:rFonts w:hint="eastAsia" w:ascii="宋体" w:hAnsi="宋体" w:eastAsia="宋体" w:cs="宋体"/>
                <w:color w:val="auto"/>
                <w:sz w:val="24"/>
                <w:szCs w:val="24"/>
                <w:highlight w:val="none"/>
                <w:lang w:eastAsia="zh-CN"/>
              </w:rPr>
              <w:t>在正常播放视频状态下点亮5分钟后的产品表面温度升幅≤</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℃，点亮 10 分钟后其温度升幅≤5℃；在白平衡状态下点亮 5 分钟后的产品表面温度升幅≤10℃，点亮 10 分钟后其温度升幅≤20℃；在正常使用工作达到热平衡状态后，屏体结构</w:t>
            </w:r>
            <w:r>
              <w:rPr>
                <w:rFonts w:hint="eastAsia" w:ascii="宋体" w:hAnsi="宋体" w:eastAsia="宋体" w:cs="宋体"/>
                <w:color w:val="auto"/>
                <w:sz w:val="24"/>
                <w:szCs w:val="24"/>
                <w:highlight w:val="none"/>
                <w:lang w:val="en-US" w:eastAsia="zh-CN"/>
              </w:rPr>
              <w:t>金</w:t>
            </w:r>
            <w:r>
              <w:rPr>
                <w:rFonts w:hint="eastAsia" w:ascii="宋体" w:hAnsi="宋体" w:eastAsia="宋体" w:cs="宋体"/>
                <w:color w:val="auto"/>
                <w:sz w:val="24"/>
                <w:szCs w:val="24"/>
                <w:highlight w:val="none"/>
                <w:lang w:eastAsia="zh-CN"/>
              </w:rPr>
              <w:t>属部分升温≤35℃，绝缘材料温升不超过≤30℃的温升测试。</w:t>
            </w:r>
            <w:r>
              <w:rPr>
                <w:rFonts w:hint="eastAsia" w:ascii="宋体" w:hAnsi="宋体" w:eastAsia="宋体" w:cs="宋体"/>
                <w:b w:val="0"/>
                <w:bCs w:val="0"/>
                <w:color w:val="auto"/>
                <w:sz w:val="24"/>
                <w:szCs w:val="24"/>
                <w:highlight w:val="none"/>
                <w:lang w:val="en-US" w:eastAsia="zh-CN"/>
              </w:rPr>
              <w:t>全部满足得2分，否则不得分。</w:t>
            </w:r>
          </w:p>
          <w:p w14:paraId="3DF27B6A">
            <w:pPr>
              <w:numPr>
                <w:ilvl w:val="0"/>
                <w:numId w:val="0"/>
              </w:numPr>
              <w:spacing w:line="240" w:lineRule="auto"/>
              <w:rPr>
                <w:rFonts w:hint="eastAsia" w:eastAsia="宋体"/>
                <w:bCs/>
                <w:color w:val="auto"/>
                <w:sz w:val="24"/>
                <w:szCs w:val="24"/>
                <w:highlight w:val="none"/>
                <w:lang w:eastAsia="zh-CN"/>
              </w:rPr>
            </w:pPr>
            <w:r>
              <w:rPr>
                <w:rFonts w:hint="eastAsia" w:eastAsia="宋体"/>
                <w:bCs/>
                <w:color w:val="auto"/>
                <w:sz w:val="24"/>
                <w:szCs w:val="24"/>
                <w:highlight w:val="none"/>
                <w:lang w:eastAsia="zh-CN"/>
              </w:rPr>
              <w:t>（</w:t>
            </w:r>
            <w:r>
              <w:rPr>
                <w:rFonts w:hint="eastAsia" w:eastAsia="宋体"/>
                <w:b/>
                <w:bCs w:val="0"/>
                <w:color w:val="auto"/>
                <w:sz w:val="24"/>
                <w:szCs w:val="24"/>
                <w:highlight w:val="none"/>
                <w:lang w:eastAsia="zh-CN"/>
              </w:rPr>
              <w:t>评审依据：</w:t>
            </w:r>
            <w:r>
              <w:rPr>
                <w:rFonts w:hint="default" w:ascii="宋体" w:hAnsi="宋体" w:eastAsiaTheme="minorEastAsia" w:cstheme="minorBidi"/>
                <w:b/>
                <w:bCs/>
                <w:snapToGrid w:val="0"/>
                <w:color w:val="auto"/>
                <w:kern w:val="0"/>
                <w:sz w:val="24"/>
                <w:szCs w:val="24"/>
                <w:highlight w:val="none"/>
                <w:lang w:val="en-US" w:eastAsia="zh-CN" w:bidi="ar-SA"/>
              </w:rPr>
              <w:t>需提供参数确认函并加盖制造商公章，不提供或提供不符合要求不得分</w:t>
            </w:r>
            <w:r>
              <w:rPr>
                <w:rFonts w:hint="eastAsia" w:ascii="宋体" w:hAnsi="宋体" w:eastAsiaTheme="minorEastAsia" w:cstheme="minorBidi"/>
                <w:b/>
                <w:bCs/>
                <w:snapToGrid w:val="0"/>
                <w:color w:val="auto"/>
                <w:kern w:val="0"/>
                <w:sz w:val="24"/>
                <w:szCs w:val="24"/>
                <w:highlight w:val="none"/>
                <w:lang w:val="en-US" w:eastAsia="zh-CN" w:bidi="ar-SA"/>
              </w:rPr>
              <w:t>，验收时</w:t>
            </w:r>
            <w:r>
              <w:rPr>
                <w:rFonts w:hint="default" w:ascii="宋体" w:hAnsi="宋体" w:eastAsiaTheme="minorEastAsia" w:cstheme="minorBidi"/>
                <w:b/>
                <w:bCs/>
                <w:snapToGrid w:val="0"/>
                <w:color w:val="auto"/>
                <w:kern w:val="0"/>
                <w:sz w:val="24"/>
                <w:szCs w:val="24"/>
                <w:highlight w:val="none"/>
                <w:lang w:val="en-US" w:eastAsia="zh-CN" w:bidi="ar-SA"/>
              </w:rPr>
              <w:t>需提供具有 CNAS或CMA标识的检验(测) 报告复印件或扫描件加盖制造商公章</w:t>
            </w:r>
            <w:r>
              <w:rPr>
                <w:rFonts w:hint="eastAsia" w:ascii="宋体" w:hAnsi="宋体" w:eastAsiaTheme="minorEastAsia" w:cstheme="minorBidi"/>
                <w:b/>
                <w:bCs/>
                <w:snapToGrid w:val="0"/>
                <w:color w:val="auto"/>
                <w:kern w:val="0"/>
                <w:sz w:val="24"/>
                <w:szCs w:val="24"/>
                <w:highlight w:val="none"/>
                <w:lang w:val="en-US" w:eastAsia="zh-CN" w:bidi="ar-SA"/>
              </w:rPr>
              <w:t>。</w:t>
            </w:r>
            <w:r>
              <w:rPr>
                <w:rFonts w:hint="eastAsia" w:eastAsia="宋体"/>
                <w:bCs/>
                <w:color w:val="auto"/>
                <w:sz w:val="24"/>
                <w:szCs w:val="24"/>
                <w:highlight w:val="none"/>
                <w:lang w:eastAsia="zh-CN"/>
              </w:rPr>
              <w:t>）</w:t>
            </w:r>
          </w:p>
          <w:p w14:paraId="30915CAE">
            <w:pPr>
              <w:numPr>
                <w:ilvl w:val="0"/>
                <w:numId w:val="0"/>
              </w:numPr>
              <w:spacing w:line="240" w:lineRule="auto"/>
              <w:ind w:left="0" w:leftChars="0"/>
              <w:rPr>
                <w:rFonts w:hint="eastAsia"/>
                <w:bCs/>
                <w:color w:val="auto"/>
                <w:sz w:val="28"/>
                <w:szCs w:val="28"/>
                <w:highlight w:val="none"/>
              </w:rPr>
            </w:pPr>
            <w:r>
              <w:rPr>
                <w:rFonts w:hint="eastAsia" w:cs="Arial"/>
                <w:bCs/>
                <w:snapToGrid w:val="0"/>
                <w:color w:val="auto"/>
                <w:sz w:val="28"/>
                <w:szCs w:val="28"/>
                <w:highlight w:val="none"/>
                <w:lang w:val="en-US" w:eastAsia="zh-CN" w:bidi="ar-SA"/>
              </w:rPr>
              <w:t>2、</w:t>
            </w:r>
            <w:r>
              <w:rPr>
                <w:rFonts w:hint="eastAsia" w:ascii="宋体" w:hAnsi="宋体" w:eastAsia="宋体" w:cs="宋体"/>
                <w:b w:val="0"/>
                <w:bCs w:val="0"/>
                <w:color w:val="auto"/>
                <w:sz w:val="22"/>
                <w:szCs w:val="22"/>
                <w:highlight w:val="none"/>
                <w:lang w:val="en-US" w:eastAsia="zh-CN"/>
              </w:rPr>
              <w:t>投LED显示屏满足复杂电磁环境下的防护要求，符合国家标准，电磁脉冲辐射后，闪屏或黑屏时间不超过1s，通过HEMP电磁脉冲辐射敏感度试验；且满足电源线传导发射（CE102）,电源线传导敏感度（CS101），电缆束注入传导敏感度（CS114），电缆束注入脉冲激励传导敏感度（CS115），电缆和电源线阻尼正弦瞬态传导敏感度（CS116），电场辐射发射（RE102），电场辐射敏感度（RS103）的防护要求，符合国家标准。全部满足得3分，否则不得分。</w:t>
            </w:r>
          </w:p>
          <w:p w14:paraId="3778E63C">
            <w:pPr>
              <w:numPr>
                <w:ilvl w:val="0"/>
                <w:numId w:val="0"/>
              </w:numPr>
              <w:spacing w:line="240" w:lineRule="auto"/>
              <w:rPr>
                <w:rFonts w:hint="eastAsia"/>
                <w:bCs/>
                <w:color w:val="auto"/>
                <w:sz w:val="24"/>
                <w:szCs w:val="24"/>
              </w:rPr>
            </w:pPr>
            <w:r>
              <w:rPr>
                <w:rFonts w:hint="eastAsia"/>
                <w:bCs/>
                <w:sz w:val="24"/>
                <w:szCs w:val="24"/>
              </w:rPr>
              <w:t>（</w:t>
            </w:r>
            <w:r>
              <w:rPr>
                <w:rFonts w:hint="eastAsia" w:eastAsia="宋体"/>
                <w:b/>
                <w:bCs w:val="0"/>
                <w:sz w:val="24"/>
                <w:szCs w:val="24"/>
                <w:lang w:eastAsia="zh-CN"/>
              </w:rPr>
              <w:t>评审依据：</w:t>
            </w:r>
            <w:r>
              <w:rPr>
                <w:rFonts w:hint="default" w:ascii="宋体" w:hAnsi="宋体" w:eastAsiaTheme="minorEastAsia" w:cstheme="minorBidi"/>
                <w:b/>
                <w:bCs/>
                <w:snapToGrid w:val="0"/>
                <w:color w:val="auto"/>
                <w:kern w:val="0"/>
                <w:sz w:val="24"/>
                <w:szCs w:val="24"/>
                <w:lang w:val="en-US" w:eastAsia="zh-CN" w:bidi="ar-SA"/>
              </w:rPr>
              <w:t>需提供参数确认函并加盖制造商公章，不提供或提供不符合要求不得分</w:t>
            </w:r>
            <w:r>
              <w:rPr>
                <w:rFonts w:hint="eastAsia" w:ascii="宋体" w:hAnsi="宋体" w:eastAsiaTheme="minorEastAsia" w:cstheme="minorBidi"/>
                <w:b/>
                <w:bCs/>
                <w:snapToGrid w:val="0"/>
                <w:color w:val="auto"/>
                <w:kern w:val="0"/>
                <w:sz w:val="24"/>
                <w:szCs w:val="24"/>
                <w:lang w:val="en-US" w:eastAsia="zh-CN" w:bidi="ar-SA"/>
              </w:rPr>
              <w:t>，验收时</w:t>
            </w:r>
            <w:r>
              <w:rPr>
                <w:rFonts w:hint="default" w:ascii="宋体" w:hAnsi="宋体" w:eastAsiaTheme="minorEastAsia" w:cstheme="minorBidi"/>
                <w:b/>
                <w:bCs/>
                <w:snapToGrid w:val="0"/>
                <w:color w:val="auto"/>
                <w:kern w:val="0"/>
                <w:sz w:val="24"/>
                <w:szCs w:val="24"/>
                <w:lang w:val="en-US" w:eastAsia="zh-CN" w:bidi="ar-SA"/>
              </w:rPr>
              <w:t>需提供具有 CNAS或CMA标识的检验(测) 报告复印件或扫描件加盖制造商公章</w:t>
            </w:r>
            <w:r>
              <w:rPr>
                <w:rFonts w:hint="eastAsia" w:ascii="宋体" w:hAnsi="宋体" w:eastAsiaTheme="minorEastAsia" w:cstheme="minorBidi"/>
                <w:b/>
                <w:bCs/>
                <w:snapToGrid w:val="0"/>
                <w:color w:val="auto"/>
                <w:kern w:val="0"/>
                <w:sz w:val="24"/>
                <w:szCs w:val="24"/>
                <w:lang w:val="en-US" w:eastAsia="zh-CN" w:bidi="ar-SA"/>
              </w:rPr>
              <w:t>。</w:t>
            </w:r>
            <w:r>
              <w:rPr>
                <w:rFonts w:hint="eastAsia"/>
                <w:bCs/>
                <w:color w:val="auto"/>
                <w:sz w:val="24"/>
                <w:szCs w:val="24"/>
              </w:rPr>
              <w:t xml:space="preserve">） </w:t>
            </w:r>
          </w:p>
          <w:p w14:paraId="6FF18FAB">
            <w:pPr>
              <w:keepNext w:val="0"/>
              <w:keepLines w:val="0"/>
              <w:widowControl/>
              <w:suppressLineNumbers w:val="0"/>
              <w:spacing w:line="240" w:lineRule="auto"/>
              <w:jc w:val="left"/>
              <w:rPr>
                <w:rFonts w:hint="eastAsia" w:ascii="宋体" w:hAnsi="宋体" w:eastAsia="宋体" w:cs="宋体"/>
                <w:color w:val="auto"/>
                <w:sz w:val="21"/>
                <w:szCs w:val="21"/>
              </w:rPr>
            </w:pPr>
            <w:r>
              <w:rPr>
                <w:rFonts w:hint="eastAsia" w:cs="Arial"/>
                <w:bCs/>
                <w:snapToGrid w:val="0"/>
                <w:color w:val="auto"/>
                <w:sz w:val="24"/>
                <w:szCs w:val="24"/>
                <w:lang w:val="en-US" w:eastAsia="zh-CN" w:bidi="ar-SA"/>
              </w:rPr>
              <w:t>3、</w:t>
            </w:r>
            <w:r>
              <w:rPr>
                <w:rFonts w:hint="eastAsia" w:ascii="宋体" w:hAnsi="宋体" w:eastAsia="宋体" w:cs="宋体"/>
                <w:color w:val="auto"/>
                <w:sz w:val="21"/>
                <w:szCs w:val="21"/>
                <w:lang w:val="en-US" w:eastAsia="zh-CN"/>
              </w:rPr>
              <w:t>所投LED显示屏</w:t>
            </w:r>
            <w:r>
              <w:rPr>
                <w:rFonts w:hint="eastAsia" w:ascii="宋体" w:hAnsi="宋体" w:eastAsia="宋体" w:cs="宋体"/>
                <w:color w:val="auto"/>
                <w:kern w:val="0"/>
                <w:sz w:val="21"/>
                <w:szCs w:val="21"/>
                <w:lang w:val="en-US" w:eastAsia="zh-CN" w:bidi="ar"/>
              </w:rPr>
              <w:t xml:space="preserve">具备标准 HDMI、DVI、SDI、CVBS 等信号输入接口， </w:t>
            </w:r>
          </w:p>
          <w:p w14:paraId="050F32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kern w:val="0"/>
                <w:sz w:val="21"/>
                <w:szCs w:val="21"/>
                <w:lang w:val="en-US" w:eastAsia="zh-CN" w:bidi="ar"/>
              </w:rPr>
              <w:t>同时 HDMI、DVI 接口具有热备份功能通过软件实现LED 显示屏的编播功能。具有多媒体编辑、特效组合、 伽马调节、权限管理、DES 算法\IDEA 算法\RSA 算法\DSA 算法数据加密、屏体设置等可选功能。</w:t>
            </w:r>
            <w:r>
              <w:rPr>
                <w:rFonts w:hint="eastAsia" w:ascii="宋体" w:hAnsi="宋体" w:eastAsia="宋体" w:cs="宋体"/>
                <w:b w:val="0"/>
                <w:bCs w:val="0"/>
                <w:color w:val="auto"/>
                <w:sz w:val="21"/>
                <w:szCs w:val="21"/>
                <w:highlight w:val="none"/>
                <w:lang w:val="en-US" w:eastAsia="zh-CN"/>
              </w:rPr>
              <w:t>全部满足得2分，否则不得分。</w:t>
            </w:r>
          </w:p>
          <w:p w14:paraId="5205B39D">
            <w:pPr>
              <w:numPr>
                <w:ilvl w:val="0"/>
                <w:numId w:val="0"/>
              </w:numPr>
              <w:spacing w:line="240" w:lineRule="auto"/>
              <w:ind w:left="0" w:leftChars="0"/>
              <w:rPr>
                <w:rFonts w:hint="eastAsia" w:ascii="Arial" w:hAnsi="Arial" w:cs="Arial" w:eastAsiaTheme="minorEastAsia"/>
                <w:bCs/>
                <w:snapToGrid w:val="0"/>
                <w:color w:val="000000"/>
                <w:sz w:val="24"/>
                <w:szCs w:val="24"/>
                <w:lang w:val="en-US" w:eastAsia="zh-CN" w:bidi="ar-SA"/>
              </w:rPr>
            </w:pPr>
            <w:r>
              <w:rPr>
                <w:rFonts w:hint="eastAsia"/>
                <w:bCs/>
                <w:color w:val="auto"/>
                <w:sz w:val="24"/>
                <w:szCs w:val="24"/>
              </w:rPr>
              <w:t>（</w:t>
            </w:r>
            <w:r>
              <w:rPr>
                <w:rFonts w:hint="eastAsia" w:eastAsia="宋体"/>
                <w:b/>
                <w:bCs w:val="0"/>
                <w:color w:val="auto"/>
                <w:sz w:val="24"/>
                <w:szCs w:val="24"/>
                <w:lang w:eastAsia="zh-CN"/>
              </w:rPr>
              <w:t>评审依据：</w:t>
            </w:r>
            <w:r>
              <w:rPr>
                <w:rFonts w:hint="eastAsia"/>
                <w:b/>
                <w:bCs w:val="0"/>
                <w:color w:val="auto"/>
                <w:sz w:val="24"/>
                <w:szCs w:val="24"/>
              </w:rPr>
              <w:t>提供相应证书复印件加盖制造商鲜章佐证</w:t>
            </w:r>
            <w:r>
              <w:rPr>
                <w:rFonts w:hint="eastAsia"/>
                <w:bCs/>
                <w:color w:val="auto"/>
                <w:sz w:val="24"/>
                <w:szCs w:val="24"/>
              </w:rPr>
              <w:t xml:space="preserve">） </w:t>
            </w:r>
            <w:r>
              <w:rPr>
                <w:rFonts w:hint="eastAsia"/>
                <w:bCs/>
                <w:sz w:val="24"/>
                <w:szCs w:val="24"/>
              </w:rPr>
              <w:t xml:space="preserve">                                                                                                                   </w:t>
            </w:r>
          </w:p>
        </w:tc>
        <w:tc>
          <w:tcPr>
            <w:tcW w:w="816" w:type="dxa"/>
            <w:vAlign w:val="center"/>
          </w:tcPr>
          <w:p w14:paraId="2D5B11B4">
            <w:pPr>
              <w:spacing w:line="360" w:lineRule="auto"/>
              <w:jc w:val="center"/>
              <w:rPr>
                <w:rFonts w:hint="eastAsia" w:ascii="宋体" w:hAnsi="宋体" w:cs="宋体" w:eastAsiaTheme="minorEastAsia"/>
                <w:color w:val="auto"/>
                <w:sz w:val="23"/>
                <w:szCs w:val="23"/>
              </w:rPr>
            </w:pPr>
            <w:r>
              <w:rPr>
                <w:rFonts w:hint="eastAsia" w:ascii="宋体" w:hAnsi="宋体" w:cs="宋体" w:eastAsiaTheme="minorEastAsia"/>
                <w:color w:val="auto"/>
                <w:sz w:val="23"/>
                <w:szCs w:val="23"/>
                <w:lang w:val="en-US" w:eastAsia="zh-CN"/>
              </w:rPr>
              <w:t>7</w:t>
            </w:r>
            <w:r>
              <w:rPr>
                <w:rFonts w:hint="eastAsia" w:ascii="宋体" w:hAnsi="宋体" w:cs="宋体" w:eastAsiaTheme="minorEastAsia"/>
                <w:color w:val="auto"/>
                <w:sz w:val="23"/>
                <w:szCs w:val="23"/>
              </w:rPr>
              <w:t>分</w:t>
            </w:r>
          </w:p>
        </w:tc>
      </w:tr>
      <w:tr w14:paraId="5333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28" w:type="dxa"/>
            <w:vMerge w:val="continue"/>
            <w:vAlign w:val="center"/>
          </w:tcPr>
          <w:p w14:paraId="3B4F2267">
            <w:pPr>
              <w:spacing w:line="360" w:lineRule="auto"/>
              <w:jc w:val="center"/>
              <w:rPr>
                <w:rFonts w:ascii="宋体" w:hAnsi="宋体" w:eastAsia="宋体" w:cs="宋体"/>
                <w:color w:val="auto"/>
                <w:sz w:val="23"/>
                <w:szCs w:val="23"/>
              </w:rPr>
            </w:pPr>
          </w:p>
        </w:tc>
        <w:tc>
          <w:tcPr>
            <w:tcW w:w="1191" w:type="dxa"/>
            <w:vMerge w:val="continue"/>
            <w:vAlign w:val="center"/>
          </w:tcPr>
          <w:p w14:paraId="38CEF0BE">
            <w:pPr>
              <w:pStyle w:val="23"/>
              <w:spacing w:line="360" w:lineRule="auto"/>
              <w:ind w:firstLine="0"/>
              <w:rPr>
                <w:rFonts w:ascii="宋体" w:hAnsi="宋体" w:cs="宋体"/>
                <w:color w:val="auto"/>
                <w:sz w:val="23"/>
                <w:szCs w:val="23"/>
              </w:rPr>
            </w:pPr>
          </w:p>
        </w:tc>
        <w:tc>
          <w:tcPr>
            <w:tcW w:w="6833" w:type="dxa"/>
            <w:vAlign w:val="center"/>
          </w:tcPr>
          <w:p w14:paraId="5DE80C8A">
            <w:pPr>
              <w:numPr>
                <w:ilvl w:val="0"/>
                <w:numId w:val="0"/>
              </w:numPr>
              <w:tabs>
                <w:tab w:val="left" w:pos="0"/>
              </w:tabs>
              <w:spacing w:beforeLines="50" w:line="240" w:lineRule="auto"/>
              <w:rPr>
                <w:rFonts w:hint="default" w:ascii="宋体" w:hAnsi="宋体" w:eastAsia="宋体" w:cs="宋体"/>
                <w:color w:val="auto"/>
                <w:sz w:val="23"/>
                <w:szCs w:val="23"/>
                <w:lang w:val="en-US" w:eastAsia="zh-CN"/>
              </w:rPr>
            </w:pPr>
            <w:r>
              <w:rPr>
                <w:rFonts w:hint="eastAsia" w:ascii="宋体" w:hAnsi="宋体" w:eastAsia="宋体" w:cs="宋体"/>
                <w:color w:val="auto"/>
                <w:sz w:val="23"/>
                <w:szCs w:val="23"/>
              </w:rPr>
              <w:t>所投</w:t>
            </w:r>
            <w:r>
              <w:rPr>
                <w:rFonts w:hint="eastAsia" w:ascii="宋体" w:hAnsi="宋体" w:eastAsia="宋体" w:cs="宋体"/>
                <w:b/>
                <w:bCs/>
                <w:color w:val="auto"/>
                <w:sz w:val="23"/>
                <w:szCs w:val="23"/>
              </w:rPr>
              <w:t>“台式电脑</w:t>
            </w:r>
            <w:r>
              <w:rPr>
                <w:rFonts w:hint="eastAsia" w:ascii="宋体" w:hAnsi="宋体" w:eastAsia="宋体" w:cs="宋体"/>
                <w:color w:val="auto"/>
                <w:sz w:val="23"/>
                <w:szCs w:val="23"/>
              </w:rPr>
              <w:t>”产品提供的同品牌中文版电脑</w:t>
            </w:r>
            <w:r>
              <w:rPr>
                <w:rFonts w:hint="eastAsia" w:ascii="宋体" w:hAnsi="宋体" w:eastAsia="宋体" w:cs="宋体"/>
                <w:color w:val="auto"/>
                <w:sz w:val="23"/>
                <w:szCs w:val="23"/>
                <w:lang w:val="en-US" w:eastAsia="zh-CN"/>
              </w:rPr>
              <w:t>硬件</w:t>
            </w:r>
            <w:r>
              <w:rPr>
                <w:rFonts w:hint="eastAsia" w:ascii="宋体" w:hAnsi="宋体" w:eastAsia="宋体" w:cs="宋体"/>
                <w:color w:val="auto"/>
                <w:sz w:val="23"/>
                <w:szCs w:val="23"/>
              </w:rPr>
              <w:t>中</w:t>
            </w:r>
            <w:r>
              <w:rPr>
                <w:rFonts w:hint="eastAsia" w:ascii="宋体" w:hAnsi="宋体" w:eastAsia="宋体" w:cs="宋体"/>
                <w:color w:val="auto"/>
                <w:sz w:val="23"/>
                <w:szCs w:val="23"/>
                <w:lang w:val="en-US" w:eastAsia="zh-CN"/>
              </w:rPr>
              <w:t>优于参数的。</w:t>
            </w:r>
          </w:p>
          <w:p w14:paraId="740FB01C">
            <w:pPr>
              <w:numPr>
                <w:ilvl w:val="0"/>
                <w:numId w:val="0"/>
              </w:numPr>
              <w:tabs>
                <w:tab w:val="left" w:pos="0"/>
              </w:tabs>
              <w:spacing w:beforeLines="50" w:line="240" w:lineRule="auto"/>
              <w:rPr>
                <w:rFonts w:hint="eastAsia" w:ascii="宋体" w:hAnsi="宋体" w:eastAsia="宋体" w:cs="宋体"/>
                <w:color w:val="auto"/>
                <w:sz w:val="23"/>
                <w:szCs w:val="23"/>
              </w:rPr>
            </w:pPr>
            <w:r>
              <w:rPr>
                <w:rFonts w:hint="eastAsia" w:ascii="宋体" w:hAnsi="宋体" w:eastAsia="宋体" w:cs="宋体"/>
                <w:color w:val="auto"/>
                <w:sz w:val="23"/>
                <w:szCs w:val="23"/>
                <w:lang w:val="en-US" w:eastAsia="zh-CN"/>
              </w:rPr>
              <w:t>1、</w:t>
            </w:r>
            <w:r>
              <w:rPr>
                <w:rFonts w:hint="eastAsia" w:ascii="宋体" w:hAnsi="宋体" w:eastAsia="宋体" w:cs="宋体"/>
                <w:color w:val="auto"/>
                <w:sz w:val="23"/>
                <w:szCs w:val="23"/>
              </w:rPr>
              <w:t>所投台式电脑产品</w:t>
            </w:r>
            <w:r>
              <w:rPr>
                <w:rFonts w:hint="eastAsia" w:ascii="宋体" w:hAnsi="宋体" w:eastAsia="宋体" w:cs="宋体"/>
                <w:color w:val="auto"/>
                <w:sz w:val="23"/>
                <w:szCs w:val="23"/>
                <w:lang w:val="en-US" w:eastAsia="zh-CN"/>
              </w:rPr>
              <w:t>CPU：优于Intel酷睿i5十代以上的处理器得5分。</w:t>
            </w:r>
            <w:r>
              <w:rPr>
                <w:rFonts w:hint="eastAsia" w:ascii="宋体" w:hAnsi="宋体" w:eastAsia="宋体" w:cs="宋体"/>
                <w:color w:val="auto"/>
                <w:sz w:val="23"/>
                <w:szCs w:val="23"/>
              </w:rPr>
              <w:t xml:space="preserve">               </w:t>
            </w:r>
          </w:p>
          <w:p w14:paraId="65A301D3">
            <w:pPr>
              <w:numPr>
                <w:ilvl w:val="0"/>
                <w:numId w:val="0"/>
              </w:numPr>
              <w:tabs>
                <w:tab w:val="left" w:pos="0"/>
              </w:tabs>
              <w:spacing w:beforeLines="50" w:line="240" w:lineRule="auto"/>
              <w:rPr>
                <w:rFonts w:hint="default" w:ascii="宋体" w:hAnsi="宋体" w:eastAsia="宋体" w:cs="宋体"/>
                <w:color w:val="auto"/>
                <w:sz w:val="23"/>
                <w:szCs w:val="23"/>
                <w:lang w:val="en-US" w:eastAsia="zh-CN"/>
              </w:rPr>
            </w:pPr>
            <w:r>
              <w:rPr>
                <w:rFonts w:hint="eastAsia" w:ascii="宋体" w:hAnsi="宋体" w:eastAsia="宋体" w:cs="宋体"/>
                <w:color w:val="auto"/>
                <w:sz w:val="23"/>
                <w:szCs w:val="23"/>
                <w:lang w:eastAsia="zh-CN"/>
              </w:rPr>
              <w:t>（</w:t>
            </w:r>
            <w:r>
              <w:rPr>
                <w:rFonts w:hint="eastAsia" w:eastAsia="宋体"/>
                <w:b/>
                <w:bCs w:val="0"/>
                <w:sz w:val="24"/>
                <w:szCs w:val="24"/>
                <w:lang w:eastAsia="zh-CN"/>
              </w:rPr>
              <w:t>评审依据：</w:t>
            </w:r>
            <w:r>
              <w:rPr>
                <w:rFonts w:hint="default" w:ascii="宋体" w:hAnsi="宋体" w:eastAsiaTheme="minorEastAsia" w:cstheme="minorBidi"/>
                <w:b/>
                <w:bCs/>
                <w:snapToGrid w:val="0"/>
                <w:color w:val="auto"/>
                <w:kern w:val="0"/>
                <w:sz w:val="24"/>
                <w:szCs w:val="24"/>
                <w:lang w:val="en-US" w:eastAsia="zh-CN" w:bidi="ar-SA"/>
              </w:rPr>
              <w:t>需提供参数确认函并加盖制造商公章，不提供或提供不符合要求不得分</w:t>
            </w:r>
            <w:r>
              <w:rPr>
                <w:rFonts w:hint="eastAsia" w:ascii="宋体" w:hAnsi="宋体" w:eastAsiaTheme="minorEastAsia" w:cstheme="minorBidi"/>
                <w:b/>
                <w:bCs/>
                <w:snapToGrid w:val="0"/>
                <w:color w:val="auto"/>
                <w:kern w:val="0"/>
                <w:sz w:val="24"/>
                <w:szCs w:val="24"/>
                <w:lang w:val="en-US" w:eastAsia="zh-CN" w:bidi="ar-SA"/>
              </w:rPr>
              <w:t>，验收时</w:t>
            </w:r>
            <w:r>
              <w:rPr>
                <w:rFonts w:hint="default" w:ascii="宋体" w:hAnsi="宋体" w:eastAsiaTheme="minorEastAsia" w:cstheme="minorBidi"/>
                <w:b/>
                <w:bCs/>
                <w:snapToGrid w:val="0"/>
                <w:color w:val="auto"/>
                <w:kern w:val="0"/>
                <w:sz w:val="24"/>
                <w:szCs w:val="24"/>
                <w:lang w:val="en-US" w:eastAsia="zh-CN" w:bidi="ar-SA"/>
              </w:rPr>
              <w:t>需提供具有 CNAS或CMA标识的检验(测) 报告复印件或扫描件加盖制造商公章</w:t>
            </w:r>
            <w:r>
              <w:rPr>
                <w:rFonts w:hint="eastAsia" w:ascii="宋体" w:hAnsi="宋体" w:eastAsiaTheme="minorEastAsia" w:cstheme="minorBidi"/>
                <w:b/>
                <w:bCs/>
                <w:snapToGrid w:val="0"/>
                <w:color w:val="auto"/>
                <w:kern w:val="0"/>
                <w:sz w:val="24"/>
                <w:szCs w:val="24"/>
                <w:lang w:val="en-US" w:eastAsia="zh-CN" w:bidi="ar-SA"/>
              </w:rPr>
              <w:t>。</w:t>
            </w:r>
            <w:r>
              <w:rPr>
                <w:rFonts w:hint="eastAsia" w:ascii="宋体" w:hAnsi="宋体" w:eastAsia="宋体" w:cs="宋体"/>
                <w:color w:val="auto"/>
                <w:sz w:val="23"/>
                <w:szCs w:val="23"/>
                <w:lang w:eastAsia="zh-CN"/>
              </w:rPr>
              <w:t>）</w:t>
            </w:r>
            <w:r>
              <w:rPr>
                <w:rFonts w:hint="eastAsia" w:ascii="宋体" w:hAnsi="宋体" w:eastAsia="宋体" w:cs="宋体"/>
                <w:color w:val="auto"/>
                <w:sz w:val="23"/>
                <w:szCs w:val="23"/>
              </w:rPr>
              <w:t xml:space="preserve">                                                                                                                2、所投台式电脑产品</w:t>
            </w:r>
            <w:r>
              <w:rPr>
                <w:rFonts w:hint="eastAsia" w:ascii="宋体" w:hAnsi="宋体" w:eastAsia="宋体" w:cs="宋体"/>
                <w:color w:val="auto"/>
                <w:sz w:val="23"/>
                <w:szCs w:val="23"/>
                <w:lang w:val="en-US" w:eastAsia="zh-CN"/>
              </w:rPr>
              <w:t>内存：每增加8GB DDR4-2666MHz内存得3分。</w:t>
            </w:r>
          </w:p>
          <w:p w14:paraId="710D524D">
            <w:pPr>
              <w:numPr>
                <w:ilvl w:val="0"/>
                <w:numId w:val="0"/>
              </w:numPr>
              <w:tabs>
                <w:tab w:val="left" w:pos="0"/>
              </w:tabs>
              <w:spacing w:beforeLines="50" w:line="240" w:lineRule="auto"/>
              <w:rPr>
                <w:rFonts w:hint="default" w:ascii="宋体" w:hAnsi="宋体" w:eastAsia="宋体" w:cs="宋体"/>
                <w:color w:val="auto"/>
                <w:sz w:val="23"/>
                <w:szCs w:val="23"/>
                <w:lang w:val="en-US" w:eastAsia="zh-CN"/>
              </w:rPr>
            </w:pPr>
            <w:r>
              <w:rPr>
                <w:rFonts w:hint="eastAsia" w:ascii="宋体" w:hAnsi="宋体" w:eastAsia="宋体" w:cs="宋体"/>
                <w:color w:val="auto"/>
                <w:sz w:val="23"/>
                <w:szCs w:val="23"/>
                <w:lang w:eastAsia="zh-CN"/>
              </w:rPr>
              <w:t>（</w:t>
            </w:r>
            <w:r>
              <w:rPr>
                <w:rFonts w:hint="eastAsia" w:ascii="宋体" w:hAnsi="宋体" w:eastAsia="宋体" w:cs="宋体"/>
                <w:b/>
                <w:bCs/>
                <w:color w:val="auto"/>
                <w:sz w:val="23"/>
                <w:szCs w:val="23"/>
              </w:rPr>
              <w:t>评审依据：</w:t>
            </w:r>
            <w:r>
              <w:rPr>
                <w:rFonts w:hint="eastAsia" w:eastAsia="宋体"/>
                <w:b/>
                <w:bCs w:val="0"/>
                <w:sz w:val="24"/>
                <w:szCs w:val="24"/>
                <w:lang w:eastAsia="zh-CN"/>
              </w:rPr>
              <w:t>评审依据：</w:t>
            </w:r>
            <w:r>
              <w:rPr>
                <w:rFonts w:hint="default" w:ascii="宋体" w:hAnsi="宋体" w:eastAsiaTheme="minorEastAsia" w:cstheme="minorBidi"/>
                <w:b/>
                <w:bCs/>
                <w:snapToGrid w:val="0"/>
                <w:color w:val="auto"/>
                <w:kern w:val="0"/>
                <w:sz w:val="24"/>
                <w:szCs w:val="24"/>
                <w:lang w:val="en-US" w:eastAsia="zh-CN" w:bidi="ar-SA"/>
              </w:rPr>
              <w:t>需提供参数确认函并加盖制造商公章，不提供或提供不符合要求不得分</w:t>
            </w:r>
            <w:r>
              <w:rPr>
                <w:rFonts w:hint="eastAsia" w:ascii="宋体" w:hAnsi="宋体" w:eastAsiaTheme="minorEastAsia" w:cstheme="minorBidi"/>
                <w:b/>
                <w:bCs/>
                <w:snapToGrid w:val="0"/>
                <w:color w:val="auto"/>
                <w:kern w:val="0"/>
                <w:sz w:val="24"/>
                <w:szCs w:val="24"/>
                <w:lang w:val="en-US" w:eastAsia="zh-CN" w:bidi="ar-SA"/>
              </w:rPr>
              <w:t>，验收时</w:t>
            </w:r>
            <w:r>
              <w:rPr>
                <w:rFonts w:hint="default" w:ascii="宋体" w:hAnsi="宋体" w:eastAsiaTheme="minorEastAsia" w:cstheme="minorBidi"/>
                <w:b/>
                <w:bCs/>
                <w:snapToGrid w:val="0"/>
                <w:color w:val="auto"/>
                <w:kern w:val="0"/>
                <w:sz w:val="24"/>
                <w:szCs w:val="24"/>
                <w:lang w:val="en-US" w:eastAsia="zh-CN" w:bidi="ar-SA"/>
              </w:rPr>
              <w:t>需提供具有 CNAS或CMA标识的检验(测) 报告复印件或扫描件加盖制造商公章</w:t>
            </w:r>
            <w:r>
              <w:rPr>
                <w:rFonts w:hint="eastAsia" w:ascii="宋体" w:hAnsi="宋体" w:eastAsiaTheme="minorEastAsia" w:cstheme="minorBidi"/>
                <w:b/>
                <w:bCs/>
                <w:snapToGrid w:val="0"/>
                <w:color w:val="auto"/>
                <w:kern w:val="0"/>
                <w:sz w:val="24"/>
                <w:szCs w:val="24"/>
                <w:lang w:val="en-US" w:eastAsia="zh-CN" w:bidi="ar-SA"/>
              </w:rPr>
              <w:t>。</w:t>
            </w:r>
            <w:r>
              <w:rPr>
                <w:rFonts w:hint="eastAsia" w:ascii="宋体" w:hAnsi="宋体" w:eastAsia="宋体" w:cs="宋体"/>
                <w:color w:val="auto"/>
                <w:sz w:val="23"/>
                <w:szCs w:val="23"/>
                <w:lang w:eastAsia="zh-CN"/>
              </w:rPr>
              <w:t>）</w:t>
            </w:r>
            <w:r>
              <w:rPr>
                <w:rFonts w:hint="eastAsia" w:ascii="宋体" w:hAnsi="宋体" w:eastAsia="宋体" w:cs="宋体"/>
                <w:color w:val="auto"/>
                <w:sz w:val="23"/>
                <w:szCs w:val="23"/>
              </w:rPr>
              <w:t xml:space="preserve">                                                                                                                               </w:t>
            </w:r>
          </w:p>
        </w:tc>
        <w:tc>
          <w:tcPr>
            <w:tcW w:w="816" w:type="dxa"/>
            <w:vAlign w:val="center"/>
          </w:tcPr>
          <w:p w14:paraId="53A7B3E9">
            <w:pPr>
              <w:spacing w:line="360" w:lineRule="auto"/>
              <w:jc w:val="center"/>
              <w:rPr>
                <w:rFonts w:ascii="宋体" w:hAnsi="宋体" w:cs="宋体"/>
                <w:color w:val="auto"/>
                <w:sz w:val="23"/>
                <w:szCs w:val="23"/>
              </w:rPr>
            </w:pPr>
            <w:r>
              <w:rPr>
                <w:rFonts w:hint="eastAsia" w:ascii="宋体" w:hAnsi="宋体" w:cs="宋体" w:eastAsiaTheme="minorEastAsia"/>
                <w:color w:val="auto"/>
                <w:sz w:val="23"/>
                <w:szCs w:val="23"/>
                <w:lang w:val="en-US" w:eastAsia="zh-CN"/>
              </w:rPr>
              <w:t>8</w:t>
            </w:r>
            <w:r>
              <w:rPr>
                <w:rFonts w:hint="eastAsia" w:ascii="宋体" w:hAnsi="宋体" w:cs="宋体"/>
                <w:color w:val="auto"/>
                <w:sz w:val="23"/>
                <w:szCs w:val="23"/>
              </w:rPr>
              <w:t>分</w:t>
            </w:r>
          </w:p>
        </w:tc>
      </w:tr>
    </w:tbl>
    <w:p w14:paraId="3D63CB22">
      <w:pPr>
        <w:pStyle w:val="3"/>
        <w:rPr>
          <w:rFonts w:ascii="宋体" w:hAnsi="宋体" w:eastAsia="宋体" w:cs="宋体"/>
          <w:bCs w:val="0"/>
          <w:color w:val="auto"/>
          <w:sz w:val="23"/>
          <w:szCs w:val="23"/>
        </w:rPr>
      </w:pPr>
    </w:p>
    <w:p w14:paraId="32DC87B9">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10</w:t>
      </w:r>
      <w:r>
        <w:rPr>
          <w:rFonts w:hint="eastAsia" w:ascii="宋体" w:hAnsi="宋体" w:eastAsia="宋体" w:cs="宋体"/>
          <w:bCs w:val="0"/>
          <w:color w:val="auto"/>
          <w:sz w:val="23"/>
          <w:szCs w:val="23"/>
        </w:rPr>
        <w:t>分</w:t>
      </w:r>
    </w:p>
    <w:tbl>
      <w:tblPr>
        <w:tblStyle w:val="17"/>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267"/>
        <w:gridCol w:w="1086"/>
      </w:tblGrid>
      <w:tr w14:paraId="5589E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72C3E355">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评分点</w:t>
            </w:r>
          </w:p>
        </w:tc>
        <w:tc>
          <w:tcPr>
            <w:tcW w:w="6267" w:type="dxa"/>
            <w:vAlign w:val="center"/>
          </w:tcPr>
          <w:p w14:paraId="29E33132">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评审内容</w:t>
            </w:r>
          </w:p>
        </w:tc>
        <w:tc>
          <w:tcPr>
            <w:tcW w:w="1086" w:type="dxa"/>
            <w:vAlign w:val="center"/>
          </w:tcPr>
          <w:p w14:paraId="11E7141C">
            <w:pPr>
              <w:spacing w:line="440" w:lineRule="exact"/>
              <w:jc w:val="center"/>
              <w:rPr>
                <w:rFonts w:ascii="宋体" w:hAnsi="宋体" w:cs="宋体"/>
                <w:bCs/>
                <w:color w:val="auto"/>
                <w:sz w:val="23"/>
                <w:szCs w:val="23"/>
              </w:rPr>
            </w:pPr>
            <w:r>
              <w:rPr>
                <w:rFonts w:hint="eastAsia" w:ascii="宋体" w:hAnsi="宋体" w:cs="宋体"/>
                <w:bCs/>
                <w:color w:val="auto"/>
                <w:sz w:val="23"/>
                <w:szCs w:val="23"/>
              </w:rPr>
              <w:t>分值</w:t>
            </w:r>
          </w:p>
        </w:tc>
      </w:tr>
      <w:tr w14:paraId="08CF5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2BEC8270">
            <w:pPr>
              <w:pStyle w:val="24"/>
              <w:spacing w:line="440" w:lineRule="exact"/>
              <w:jc w:val="center"/>
              <w:rPr>
                <w:rFonts w:eastAsia="宋体"/>
                <w:bCs/>
                <w:color w:val="auto"/>
                <w:sz w:val="23"/>
                <w:szCs w:val="23"/>
              </w:rPr>
            </w:pPr>
            <w:r>
              <w:rPr>
                <w:rFonts w:hint="eastAsia" w:cs="宋体" w:asciiTheme="minorEastAsia" w:hAnsiTheme="minorEastAsia"/>
                <w:b/>
                <w:bCs/>
                <w:sz w:val="23"/>
                <w:szCs w:val="23"/>
              </w:rPr>
              <w:t>综合实力（</w:t>
            </w:r>
            <w:r>
              <w:rPr>
                <w:rFonts w:hint="eastAsia" w:eastAsia="宋体" w:cs="宋体" w:asciiTheme="minorEastAsia" w:hAnsiTheme="minorEastAsia"/>
                <w:b/>
                <w:bCs/>
                <w:sz w:val="23"/>
                <w:szCs w:val="23"/>
                <w:lang w:val="en-US" w:eastAsia="zh-CN"/>
              </w:rPr>
              <w:t>3</w:t>
            </w:r>
            <w:r>
              <w:rPr>
                <w:rFonts w:hint="eastAsia" w:cs="宋体" w:asciiTheme="minorEastAsia" w:hAnsiTheme="minorEastAsia"/>
                <w:b/>
                <w:bCs/>
                <w:sz w:val="23"/>
                <w:szCs w:val="23"/>
              </w:rPr>
              <w:t>分）</w:t>
            </w:r>
          </w:p>
        </w:tc>
        <w:tc>
          <w:tcPr>
            <w:tcW w:w="6267" w:type="dxa"/>
            <w:vAlign w:val="center"/>
          </w:tcPr>
          <w:p w14:paraId="2ACA8A75">
            <w:pPr>
              <w:pStyle w:val="27"/>
              <w:spacing w:beforeLines="0" w:line="240" w:lineRule="auto"/>
              <w:ind w:left="0" w:leftChars="0" w:firstLine="0" w:firstLineChars="0"/>
              <w:jc w:val="left"/>
              <w:rPr>
                <w:rFonts w:hint="eastAsia" w:ascii="宋体" w:hAnsi="宋体" w:eastAsia="宋体" w:cs="宋体"/>
                <w:sz w:val="23"/>
                <w:szCs w:val="23"/>
              </w:rPr>
            </w:pPr>
            <w:r>
              <w:rPr>
                <w:rFonts w:hint="eastAsia" w:ascii="宋体" w:hAnsi="宋体" w:eastAsia="宋体" w:cs="宋体"/>
                <w:sz w:val="23"/>
                <w:szCs w:val="23"/>
              </w:rPr>
              <w:t>投标人具有有效期内的ISO9001质量管理体系认证证书、IS014001环境管理体系认证证书、ISO45001职业健康安全管理体系认证证书</w:t>
            </w:r>
            <w:r>
              <w:rPr>
                <w:rFonts w:hint="eastAsia" w:ascii="宋体" w:hAnsi="宋体" w:eastAsia="宋体" w:cs="宋体"/>
                <w:sz w:val="23"/>
                <w:szCs w:val="23"/>
                <w:lang w:eastAsia="zh-CN"/>
              </w:rPr>
              <w:t>，每提供一个得</w:t>
            </w:r>
            <w:r>
              <w:rPr>
                <w:rFonts w:hint="eastAsia" w:ascii="宋体" w:hAnsi="宋体" w:eastAsia="宋体" w:cs="宋体"/>
                <w:sz w:val="23"/>
                <w:szCs w:val="23"/>
                <w:lang w:val="en-US" w:eastAsia="zh-CN"/>
              </w:rPr>
              <w:t>1分</w:t>
            </w:r>
            <w:r>
              <w:rPr>
                <w:rFonts w:hint="eastAsia" w:ascii="宋体" w:hAnsi="宋体" w:eastAsia="宋体" w:cs="宋体"/>
                <w:sz w:val="23"/>
                <w:szCs w:val="23"/>
                <w:lang w:eastAsia="zh-CN"/>
              </w:rPr>
              <w:t>，共</w:t>
            </w:r>
            <w:r>
              <w:rPr>
                <w:rFonts w:hint="eastAsia" w:ascii="宋体" w:hAnsi="宋体" w:eastAsia="宋体" w:cs="宋体"/>
                <w:sz w:val="23"/>
                <w:szCs w:val="23"/>
                <w:lang w:val="en-US" w:eastAsia="zh-CN"/>
              </w:rPr>
              <w:t>3</w:t>
            </w:r>
            <w:r>
              <w:rPr>
                <w:rFonts w:hint="eastAsia" w:ascii="宋体" w:hAnsi="宋体" w:eastAsia="宋体" w:cs="宋体"/>
                <w:sz w:val="23"/>
                <w:szCs w:val="23"/>
              </w:rPr>
              <w:t>分</w:t>
            </w:r>
          </w:p>
          <w:p w14:paraId="79E232C6">
            <w:pPr>
              <w:rPr>
                <w:b/>
                <w:color w:val="auto"/>
                <w:sz w:val="23"/>
                <w:szCs w:val="23"/>
              </w:rPr>
            </w:pPr>
            <w:r>
              <w:rPr>
                <w:rFonts w:hint="eastAsia" w:ascii="宋体" w:hAnsi="宋体" w:eastAsia="宋体" w:cs="宋体"/>
                <w:b/>
                <w:bCs/>
                <w:sz w:val="23"/>
                <w:szCs w:val="23"/>
              </w:rPr>
              <w:t>评审依据</w:t>
            </w:r>
            <w:r>
              <w:rPr>
                <w:rFonts w:hint="eastAsia" w:ascii="宋体" w:hAnsi="宋体" w:eastAsia="宋体" w:cs="宋体"/>
                <w:b/>
                <w:sz w:val="23"/>
                <w:szCs w:val="23"/>
              </w:rPr>
              <w:t>：提供证书复印件加盖</w:t>
            </w:r>
            <w:r>
              <w:rPr>
                <w:rFonts w:hint="eastAsia" w:ascii="宋体" w:hAnsi="宋体" w:eastAsia="宋体" w:cs="宋体"/>
                <w:b/>
                <w:sz w:val="23"/>
                <w:szCs w:val="23"/>
                <w:lang w:eastAsia="zh-CN"/>
              </w:rPr>
              <w:t>投标人</w:t>
            </w:r>
            <w:r>
              <w:rPr>
                <w:rFonts w:hint="eastAsia" w:ascii="宋体" w:hAnsi="宋体" w:eastAsia="宋体" w:cs="宋体"/>
                <w:b/>
                <w:sz w:val="23"/>
                <w:szCs w:val="23"/>
              </w:rPr>
              <w:t>公章佐证，未提供不得分。</w:t>
            </w:r>
          </w:p>
        </w:tc>
        <w:tc>
          <w:tcPr>
            <w:tcW w:w="1086" w:type="dxa"/>
            <w:vAlign w:val="center"/>
          </w:tcPr>
          <w:p w14:paraId="22191366">
            <w:pPr>
              <w:spacing w:line="440" w:lineRule="exact"/>
              <w:jc w:val="center"/>
              <w:rPr>
                <w:rFonts w:ascii="宋体" w:hAnsi="宋体" w:cs="宋体"/>
                <w:bCs/>
                <w:color w:val="auto"/>
                <w:sz w:val="23"/>
                <w:szCs w:val="23"/>
              </w:rPr>
            </w:pPr>
            <w:r>
              <w:rPr>
                <w:rFonts w:hint="eastAsia" w:ascii="宋体" w:hAnsi="宋体" w:eastAsia="宋体" w:cs="宋体"/>
                <w:bCs/>
                <w:color w:val="auto"/>
                <w:sz w:val="23"/>
                <w:szCs w:val="23"/>
                <w:lang w:val="en-US" w:eastAsia="zh-CN"/>
              </w:rPr>
              <w:t>3</w:t>
            </w:r>
            <w:r>
              <w:rPr>
                <w:rFonts w:hint="eastAsia" w:ascii="宋体" w:hAnsi="宋体" w:cs="宋体"/>
                <w:bCs/>
                <w:color w:val="auto"/>
                <w:sz w:val="23"/>
                <w:szCs w:val="23"/>
              </w:rPr>
              <w:t>分</w:t>
            </w:r>
          </w:p>
        </w:tc>
      </w:tr>
      <w:tr w14:paraId="0CC1B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0A550048">
            <w:pPr>
              <w:pStyle w:val="24"/>
              <w:spacing w:line="440" w:lineRule="exact"/>
              <w:jc w:val="center"/>
              <w:rPr>
                <w:bCs/>
                <w:color w:val="auto"/>
                <w:sz w:val="23"/>
                <w:szCs w:val="23"/>
              </w:rPr>
            </w:pPr>
            <w:r>
              <w:rPr>
                <w:rFonts w:hint="eastAsia" w:eastAsia="宋体"/>
                <w:b/>
                <w:color w:val="auto"/>
                <w:sz w:val="23"/>
                <w:szCs w:val="23"/>
                <w:lang w:eastAsia="zh-CN"/>
              </w:rPr>
              <w:t>售后服务</w:t>
            </w:r>
            <w:r>
              <w:rPr>
                <w:rFonts w:hint="eastAsia"/>
                <w:b/>
                <w:color w:val="auto"/>
                <w:sz w:val="23"/>
                <w:szCs w:val="23"/>
              </w:rPr>
              <w:t>（</w:t>
            </w:r>
            <w:r>
              <w:rPr>
                <w:rFonts w:hint="eastAsia" w:eastAsia="宋体"/>
                <w:b/>
                <w:color w:val="auto"/>
                <w:sz w:val="23"/>
                <w:szCs w:val="23"/>
                <w:lang w:val="en-US" w:eastAsia="zh-CN"/>
              </w:rPr>
              <w:t>2</w:t>
            </w:r>
            <w:r>
              <w:rPr>
                <w:rFonts w:hint="eastAsia"/>
                <w:b/>
                <w:color w:val="auto"/>
                <w:sz w:val="23"/>
                <w:szCs w:val="23"/>
              </w:rPr>
              <w:t>分）</w:t>
            </w:r>
          </w:p>
        </w:tc>
        <w:tc>
          <w:tcPr>
            <w:tcW w:w="6267" w:type="dxa"/>
            <w:vAlign w:val="center"/>
          </w:tcPr>
          <w:p w14:paraId="7C7B4B7F">
            <w:pPr>
              <w:pStyle w:val="33"/>
              <w:rPr>
                <w:rFonts w:hint="default" w:ascii="宋体" w:hAnsi="宋体" w:eastAsia="宋体"/>
                <w:b/>
                <w:bCs/>
                <w:szCs w:val="21"/>
                <w:lang w:val="en-US" w:eastAsia="zh-CN"/>
              </w:rPr>
            </w:pPr>
            <w:r>
              <w:rPr>
                <w:rFonts w:hint="eastAsia" w:ascii="宋体" w:hAnsi="宋体"/>
                <w:b/>
                <w:bCs/>
                <w:szCs w:val="21"/>
                <w:lang w:val="en-US" w:eastAsia="zh-CN"/>
              </w:rPr>
              <w:t>售后服务含：（1）售后服务明细，得一分；（2）应急措施，得一分。</w:t>
            </w:r>
          </w:p>
          <w:p w14:paraId="1C78172B">
            <w:pPr>
              <w:pStyle w:val="24"/>
              <w:overflowPunct w:val="0"/>
              <w:spacing w:line="360" w:lineRule="auto"/>
              <w:ind w:right="201"/>
              <w:rPr>
                <w:bCs/>
                <w:color w:val="auto"/>
                <w:sz w:val="23"/>
                <w:szCs w:val="23"/>
              </w:rPr>
            </w:pPr>
            <w:r>
              <w:rPr>
                <w:rFonts w:hint="eastAsia" w:ascii="宋体" w:hAnsi="宋体"/>
                <w:b/>
                <w:bCs/>
                <w:szCs w:val="21"/>
              </w:rPr>
              <w:t xml:space="preserve">评审依据： </w:t>
            </w:r>
            <w:r>
              <w:rPr>
                <w:rFonts w:hint="eastAsia" w:ascii="宋体" w:hAnsi="宋体"/>
                <w:b/>
                <w:bCs/>
                <w:szCs w:val="21"/>
                <w:lang w:val="en-US" w:eastAsia="zh-CN"/>
              </w:rPr>
              <w:t>根据投标人提供的售后方案加盖投标人公章，</w:t>
            </w:r>
            <w:r>
              <w:rPr>
                <w:rFonts w:hint="eastAsia" w:ascii="宋体" w:hAnsi="宋体"/>
                <w:b/>
                <w:bCs/>
                <w:szCs w:val="21"/>
              </w:rPr>
              <w:t>未提供或不满足要求不加分。</w:t>
            </w:r>
          </w:p>
        </w:tc>
        <w:tc>
          <w:tcPr>
            <w:tcW w:w="1086" w:type="dxa"/>
            <w:vAlign w:val="center"/>
          </w:tcPr>
          <w:p w14:paraId="0ABA0FC7">
            <w:pPr>
              <w:spacing w:line="440" w:lineRule="exact"/>
              <w:jc w:val="center"/>
              <w:rPr>
                <w:rFonts w:ascii="宋体" w:hAnsi="宋体" w:cs="宋体"/>
                <w:bCs/>
                <w:color w:val="auto"/>
                <w:sz w:val="23"/>
                <w:szCs w:val="23"/>
              </w:rPr>
            </w:pPr>
            <w:r>
              <w:rPr>
                <w:rFonts w:hint="eastAsia" w:ascii="宋体" w:hAnsi="宋体" w:eastAsia="宋体" w:cs="宋体"/>
                <w:bCs/>
                <w:color w:val="auto"/>
                <w:sz w:val="23"/>
                <w:szCs w:val="23"/>
                <w:lang w:val="en-US" w:eastAsia="zh-CN"/>
              </w:rPr>
              <w:t>2</w:t>
            </w:r>
            <w:r>
              <w:rPr>
                <w:rFonts w:hint="eastAsia" w:ascii="宋体" w:hAnsi="宋体" w:cs="宋体"/>
                <w:bCs/>
                <w:color w:val="auto"/>
                <w:sz w:val="23"/>
                <w:szCs w:val="23"/>
              </w:rPr>
              <w:t>分</w:t>
            </w:r>
          </w:p>
        </w:tc>
      </w:tr>
      <w:tr w14:paraId="22E79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486A4E69">
            <w:pPr>
              <w:spacing w:line="240" w:lineRule="atLeast"/>
              <w:jc w:val="center"/>
              <w:rPr>
                <w:rFonts w:eastAsia="宋体"/>
                <w:bCs/>
                <w:color w:val="auto"/>
                <w:sz w:val="23"/>
                <w:szCs w:val="23"/>
              </w:rPr>
            </w:pPr>
            <w:r>
              <w:rPr>
                <w:rFonts w:hint="eastAsia" w:cs="宋体" w:asciiTheme="minorEastAsia" w:hAnsiTheme="minorEastAsia"/>
                <w:b/>
                <w:bCs/>
                <w:sz w:val="23"/>
                <w:szCs w:val="23"/>
              </w:rPr>
              <w:t>质保时间（2分）</w:t>
            </w:r>
          </w:p>
        </w:tc>
        <w:tc>
          <w:tcPr>
            <w:tcW w:w="6267" w:type="dxa"/>
            <w:vAlign w:val="center"/>
          </w:tcPr>
          <w:p w14:paraId="2355435D">
            <w:pPr>
              <w:spacing w:line="440" w:lineRule="exact"/>
              <w:rPr>
                <w:rFonts w:ascii="宋体" w:hAnsi="宋体" w:eastAsia="宋体" w:cs="宋体"/>
                <w:sz w:val="23"/>
                <w:szCs w:val="23"/>
              </w:rPr>
            </w:pPr>
            <w:r>
              <w:rPr>
                <w:rFonts w:hint="eastAsia" w:ascii="宋体" w:hAnsi="宋体" w:eastAsia="宋体" w:cs="宋体"/>
                <w:sz w:val="23"/>
                <w:szCs w:val="23"/>
              </w:rPr>
              <w:t>质保时间：从设备安装、验收合格交接起计算，质保期满足招标文件要求前提下，每延长半年加 1 分，最高得2分。</w:t>
            </w:r>
          </w:p>
          <w:p w14:paraId="48F32A67">
            <w:pPr>
              <w:spacing w:line="440" w:lineRule="exact"/>
            </w:pPr>
            <w:r>
              <w:rPr>
                <w:rFonts w:hint="eastAsia" w:ascii="宋体" w:hAnsi="宋体" w:eastAsia="宋体" w:cs="宋体"/>
                <w:b/>
                <w:bCs/>
                <w:sz w:val="23"/>
                <w:szCs w:val="23"/>
              </w:rPr>
              <w:t>评审依据：提供项目承诺函原件进行佐证。</w:t>
            </w:r>
          </w:p>
        </w:tc>
        <w:tc>
          <w:tcPr>
            <w:tcW w:w="1086" w:type="dxa"/>
            <w:vAlign w:val="center"/>
          </w:tcPr>
          <w:p w14:paraId="5FF9C734">
            <w:pPr>
              <w:spacing w:line="440" w:lineRule="exact"/>
              <w:jc w:val="center"/>
              <w:rPr>
                <w:rFonts w:ascii="宋体" w:hAnsi="宋体" w:cs="宋体"/>
                <w:bCs/>
                <w:color w:val="auto"/>
                <w:sz w:val="23"/>
                <w:szCs w:val="23"/>
              </w:rPr>
            </w:pPr>
            <w:r>
              <w:rPr>
                <w:rFonts w:hint="eastAsia" w:ascii="宋体" w:hAnsi="宋体" w:eastAsia="宋体" w:cs="宋体"/>
                <w:bCs/>
                <w:color w:val="auto"/>
                <w:sz w:val="23"/>
                <w:szCs w:val="23"/>
              </w:rPr>
              <w:t>2</w:t>
            </w:r>
            <w:r>
              <w:rPr>
                <w:rFonts w:hint="eastAsia" w:ascii="宋体" w:hAnsi="宋体" w:cs="宋体"/>
                <w:bCs/>
                <w:color w:val="auto"/>
                <w:sz w:val="23"/>
                <w:szCs w:val="23"/>
              </w:rPr>
              <w:t>分</w:t>
            </w:r>
          </w:p>
        </w:tc>
      </w:tr>
      <w:tr w14:paraId="6338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06E4CABE">
            <w:pPr>
              <w:pStyle w:val="24"/>
              <w:spacing w:line="440" w:lineRule="exact"/>
              <w:jc w:val="center"/>
              <w:rPr>
                <w:bCs/>
                <w:color w:val="auto"/>
                <w:spacing w:val="-8"/>
                <w:sz w:val="23"/>
                <w:szCs w:val="23"/>
              </w:rPr>
            </w:pPr>
            <w:r>
              <w:rPr>
                <w:b/>
                <w:color w:val="auto"/>
                <w:sz w:val="23"/>
                <w:szCs w:val="23"/>
              </w:rPr>
              <w:t>业绩</w:t>
            </w:r>
            <w:r>
              <w:rPr>
                <w:rFonts w:hint="eastAsia"/>
                <w:b/>
                <w:color w:val="auto"/>
                <w:sz w:val="23"/>
                <w:szCs w:val="23"/>
              </w:rPr>
              <w:t>要求（</w:t>
            </w:r>
            <w:r>
              <w:rPr>
                <w:rFonts w:hint="eastAsia" w:eastAsia="宋体"/>
                <w:b/>
                <w:color w:val="auto"/>
                <w:sz w:val="23"/>
                <w:szCs w:val="23"/>
                <w:lang w:val="en-US" w:eastAsia="zh-CN"/>
              </w:rPr>
              <w:t>3</w:t>
            </w:r>
            <w:r>
              <w:rPr>
                <w:rFonts w:hint="eastAsia"/>
                <w:b/>
                <w:color w:val="auto"/>
                <w:sz w:val="23"/>
                <w:szCs w:val="23"/>
              </w:rPr>
              <w:t>分）</w:t>
            </w:r>
          </w:p>
        </w:tc>
        <w:tc>
          <w:tcPr>
            <w:tcW w:w="6267" w:type="dxa"/>
            <w:vAlign w:val="center"/>
          </w:tcPr>
          <w:p w14:paraId="64F8CF53">
            <w:pPr>
              <w:spacing w:line="440" w:lineRule="exact"/>
              <w:rPr>
                <w:rFonts w:ascii="宋体" w:hAnsi="宋体" w:cs="宋体"/>
                <w:bCs/>
                <w:color w:val="auto"/>
                <w:sz w:val="23"/>
                <w:szCs w:val="23"/>
              </w:rPr>
            </w:pPr>
            <w:r>
              <w:rPr>
                <w:rFonts w:hint="eastAsia" w:ascii="宋体" w:hAnsi="宋体" w:cs="宋体"/>
                <w:bCs/>
                <w:color w:val="auto"/>
                <w:sz w:val="23"/>
                <w:szCs w:val="23"/>
              </w:rPr>
              <w:t>投标人能提供近五年完成过类似</w:t>
            </w:r>
            <w:r>
              <w:rPr>
                <w:rFonts w:hint="eastAsia" w:ascii="宋体" w:hAnsi="宋体" w:eastAsia="宋体" w:cs="宋体"/>
                <w:bCs/>
                <w:color w:val="auto"/>
                <w:sz w:val="23"/>
                <w:szCs w:val="23"/>
                <w:lang w:eastAsia="zh-CN"/>
              </w:rPr>
              <w:t>业绩</w:t>
            </w:r>
            <w:r>
              <w:rPr>
                <w:rFonts w:hint="eastAsia" w:ascii="宋体" w:hAnsi="宋体" w:cs="宋体"/>
                <w:bCs/>
                <w:color w:val="auto"/>
                <w:sz w:val="23"/>
                <w:szCs w:val="23"/>
              </w:rPr>
              <w:t>的，每</w:t>
            </w:r>
            <w:r>
              <w:rPr>
                <w:rFonts w:hint="eastAsia" w:ascii="宋体" w:hAnsi="宋体" w:eastAsia="宋体" w:cs="宋体"/>
                <w:bCs/>
                <w:color w:val="auto"/>
                <w:sz w:val="23"/>
                <w:szCs w:val="23"/>
                <w:lang w:eastAsia="zh-CN"/>
              </w:rPr>
              <w:t>提供</w:t>
            </w:r>
            <w:r>
              <w:rPr>
                <w:rFonts w:hint="eastAsia" w:ascii="宋体" w:hAnsi="宋体" w:cs="宋体"/>
                <w:bCs/>
                <w:color w:val="auto"/>
                <w:sz w:val="23"/>
                <w:szCs w:val="23"/>
              </w:rPr>
              <w:t>1个得1</w:t>
            </w:r>
            <w:r>
              <w:rPr>
                <w:rFonts w:hint="eastAsia" w:ascii="宋体" w:hAnsi="宋体" w:eastAsia="宋体" w:cs="宋体"/>
                <w:bCs/>
                <w:color w:val="auto"/>
                <w:sz w:val="23"/>
                <w:szCs w:val="23"/>
                <w:lang w:val="en-US" w:eastAsia="zh-CN"/>
              </w:rPr>
              <w:t>.5</w:t>
            </w:r>
            <w:r>
              <w:rPr>
                <w:rFonts w:hint="eastAsia" w:ascii="宋体" w:hAnsi="宋体" w:cs="宋体"/>
                <w:bCs/>
                <w:color w:val="auto"/>
                <w:sz w:val="23"/>
                <w:szCs w:val="23"/>
              </w:rPr>
              <w:t>分，最高得</w:t>
            </w:r>
            <w:r>
              <w:rPr>
                <w:rFonts w:hint="eastAsia" w:ascii="宋体" w:hAnsi="宋体" w:eastAsia="宋体" w:cs="宋体"/>
                <w:bCs/>
                <w:color w:val="auto"/>
                <w:sz w:val="23"/>
                <w:szCs w:val="23"/>
                <w:lang w:val="en-US" w:eastAsia="zh-CN"/>
              </w:rPr>
              <w:t>3</w:t>
            </w:r>
            <w:r>
              <w:rPr>
                <w:rFonts w:hint="eastAsia" w:ascii="宋体" w:hAnsi="宋体" w:cs="宋体"/>
                <w:bCs/>
                <w:color w:val="auto"/>
                <w:sz w:val="23"/>
                <w:szCs w:val="23"/>
              </w:rPr>
              <w:t>分。</w:t>
            </w:r>
          </w:p>
          <w:p w14:paraId="58B56C65">
            <w:pPr>
              <w:spacing w:line="440" w:lineRule="exact"/>
              <w:rPr>
                <w:rFonts w:ascii="宋体" w:hAnsi="宋体" w:cs="宋体"/>
                <w:b/>
                <w:color w:val="auto"/>
                <w:sz w:val="23"/>
                <w:szCs w:val="23"/>
              </w:rPr>
            </w:pPr>
            <w:r>
              <w:rPr>
                <w:rFonts w:hint="eastAsia" w:ascii="宋体" w:hAnsi="宋体" w:cs="宋体"/>
                <w:b/>
                <w:color w:val="auto"/>
                <w:sz w:val="23"/>
                <w:szCs w:val="23"/>
              </w:rPr>
              <w:t>评审依据：提供中标（成交）通知书及成交合同复印件（扫描件）加盖投标人公章得分。</w:t>
            </w:r>
          </w:p>
        </w:tc>
        <w:tc>
          <w:tcPr>
            <w:tcW w:w="1086" w:type="dxa"/>
            <w:vAlign w:val="center"/>
          </w:tcPr>
          <w:p w14:paraId="5489B3F2">
            <w:pPr>
              <w:spacing w:line="440" w:lineRule="exact"/>
              <w:jc w:val="center"/>
              <w:rPr>
                <w:rFonts w:ascii="宋体" w:hAnsi="宋体" w:eastAsia="宋体" w:cs="宋体"/>
                <w:bCs/>
                <w:color w:val="auto"/>
                <w:sz w:val="23"/>
                <w:szCs w:val="23"/>
              </w:rPr>
            </w:pPr>
            <w:r>
              <w:rPr>
                <w:rFonts w:hint="eastAsia" w:ascii="宋体" w:hAnsi="宋体" w:eastAsia="宋体" w:cs="宋体"/>
                <w:bCs/>
                <w:color w:val="auto"/>
                <w:sz w:val="23"/>
                <w:szCs w:val="23"/>
                <w:lang w:val="en-US" w:eastAsia="zh-CN"/>
              </w:rPr>
              <w:t>3</w:t>
            </w:r>
            <w:r>
              <w:rPr>
                <w:rFonts w:hint="eastAsia" w:ascii="宋体" w:hAnsi="宋体" w:eastAsia="宋体" w:cs="宋体"/>
                <w:bCs/>
                <w:color w:val="auto"/>
                <w:sz w:val="23"/>
                <w:szCs w:val="23"/>
              </w:rPr>
              <w:t>分</w:t>
            </w:r>
          </w:p>
        </w:tc>
      </w:tr>
    </w:tbl>
    <w:p w14:paraId="7E1D0EF4">
      <w:pPr>
        <w:rPr>
          <w:rFonts w:hint="eastAsia" w:eastAsiaTheme="minorEastAsia"/>
        </w:rPr>
      </w:pPr>
    </w:p>
    <w:p w14:paraId="560A09BA">
      <w:pPr>
        <w:rPr>
          <w:rFonts w:hint="eastAsia" w:eastAsiaTheme="minorEastAsia"/>
        </w:rPr>
      </w:pPr>
    </w:p>
    <w:p w14:paraId="5F969645">
      <w:pPr>
        <w:rPr>
          <w:rFonts w:hint="eastAsia" w:eastAsiaTheme="minorEastAsia"/>
        </w:rPr>
      </w:pPr>
    </w:p>
    <w:p w14:paraId="440181CE">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03C343DB">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641A6F09">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F3A6764">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3C7D5A5D">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01402053">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1C4963BB">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3A535501">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5213E5B9">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6A9D5AE1">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0A524461">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7972F047">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7FDB2DF0">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33AC589D">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7C6F0183">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1D76762F">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4B810157">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6962A43">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37540BBE">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lang w:eastAsia="zh-CN"/>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09889F49">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9C3B6D">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5B9B1689">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18F8522E">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71EB7FB">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一) 遵守评审工作纪律；</w:t>
      </w:r>
    </w:p>
    <w:p w14:paraId="654624E2">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0C339868">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181CC1D4">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EF1017D">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5838B4B0">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4968A2EF">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DEE9954">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746A362C">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lang w:eastAsia="zh-CN"/>
        </w:rPr>
        <w:t>法律法规</w:t>
      </w:r>
      <w:r>
        <w:rPr>
          <w:rFonts w:ascii="宋体" w:hAnsi="宋体" w:eastAsia="宋体" w:cs="宋体"/>
          <w:spacing w:val="13"/>
          <w:sz w:val="23"/>
          <w:szCs w:val="23"/>
        </w:rPr>
        <w:t>和规章规定的其他义务。</w:t>
      </w:r>
    </w:p>
    <w:p w14:paraId="39B205B8">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229D53A9">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4C3DCA35">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76DF5264">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098288A8">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78760C09">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628060FB">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46A1734C">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729BD16F">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1BFE2F51">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3232E32E">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40F633BA">
      <w:pPr>
        <w:sectPr>
          <w:footerReference r:id="rId60" w:type="default"/>
          <w:pgSz w:w="11907" w:h="16840"/>
          <w:pgMar w:top="400" w:right="379" w:bottom="1138" w:left="1701" w:header="0" w:footer="962" w:gutter="0"/>
          <w:cols w:space="720" w:num="1"/>
        </w:sectPr>
      </w:pPr>
    </w:p>
    <w:p w14:paraId="61DB2E67">
      <w:pPr>
        <w:spacing w:line="449" w:lineRule="auto"/>
      </w:pPr>
    </w:p>
    <w:p w14:paraId="5B244E30">
      <w:pPr>
        <w:spacing w:line="374" w:lineRule="exact"/>
        <w:ind w:firstLine="110"/>
        <w:textAlignment w:val="center"/>
      </w:pPr>
    </w:p>
    <w:p w14:paraId="2675661F">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5EEE78A">
      <w:pPr>
        <w:spacing w:line="292" w:lineRule="auto"/>
      </w:pPr>
    </w:p>
    <w:p w14:paraId="3983826F">
      <w:pPr>
        <w:spacing w:line="292" w:lineRule="auto"/>
      </w:pPr>
    </w:p>
    <w:p w14:paraId="62026A5D">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6DEFCEB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F9EC8F">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7D4B436">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7DB89073">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121A8FBF">
      <w:pPr>
        <w:spacing w:line="286" w:lineRule="auto"/>
      </w:pPr>
    </w:p>
    <w:p w14:paraId="361D0AEB">
      <w:pPr>
        <w:spacing w:line="286" w:lineRule="auto"/>
      </w:pPr>
    </w:p>
    <w:p w14:paraId="1A27CBE8">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484640C7">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0"/>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237D17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3933B1C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5A4C143D">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68EBAEB9">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70C6B15E">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72BF6085">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21FA3422">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22B3D5C6">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224C91A">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4B0C610C">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6AFAB523">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75160451">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4D82AF23">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409FFF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3A5A2671"/>
        </w:tc>
        <w:tc>
          <w:tcPr>
            <w:tcW w:w="1049" w:type="dxa"/>
          </w:tcPr>
          <w:p w14:paraId="66E052B3"/>
        </w:tc>
        <w:tc>
          <w:tcPr>
            <w:tcW w:w="720" w:type="dxa"/>
          </w:tcPr>
          <w:p w14:paraId="2E091C12"/>
        </w:tc>
        <w:tc>
          <w:tcPr>
            <w:tcW w:w="900" w:type="dxa"/>
          </w:tcPr>
          <w:p w14:paraId="5C885ACE"/>
        </w:tc>
        <w:tc>
          <w:tcPr>
            <w:tcW w:w="1079" w:type="dxa"/>
          </w:tcPr>
          <w:p w14:paraId="43D1E366"/>
        </w:tc>
        <w:tc>
          <w:tcPr>
            <w:tcW w:w="1184" w:type="dxa"/>
          </w:tcPr>
          <w:p w14:paraId="1872D5B4"/>
        </w:tc>
        <w:tc>
          <w:tcPr>
            <w:tcW w:w="965" w:type="dxa"/>
          </w:tcPr>
          <w:p w14:paraId="48741D2E"/>
        </w:tc>
        <w:tc>
          <w:tcPr>
            <w:tcW w:w="1558" w:type="dxa"/>
          </w:tcPr>
          <w:p w14:paraId="02F46CCA"/>
        </w:tc>
      </w:tr>
    </w:tbl>
    <w:p w14:paraId="6BBD02BE">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33FDE1C6">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2920901B">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lang w:eastAsia="zh-CN"/>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7AEFC982">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0D68115C">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7D5FC2CA">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180E6116">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534D76D2">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09C1FD2B">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54FF25DD">
      <w:pPr>
        <w:sectPr>
          <w:footerReference r:id="rId61" w:type="default"/>
          <w:pgSz w:w="11907" w:h="16840"/>
          <w:pgMar w:top="400" w:right="379" w:bottom="1139" w:left="1591" w:header="0" w:footer="962" w:gutter="0"/>
          <w:cols w:space="720" w:num="1"/>
        </w:sectPr>
      </w:pPr>
    </w:p>
    <w:p w14:paraId="7D0DA2AA">
      <w:pPr>
        <w:spacing w:line="449" w:lineRule="auto"/>
      </w:pPr>
    </w:p>
    <w:p w14:paraId="7DA1B69B">
      <w:pPr>
        <w:spacing w:line="374" w:lineRule="exact"/>
        <w:textAlignment w:val="center"/>
      </w:pPr>
    </w:p>
    <w:p w14:paraId="7B723092">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67D74F3B">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B919A3D">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7868571A">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380CED44">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15B2C6A9">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0AA37E73">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08931BED">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5AACF8B8">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lang w:eastAsia="zh-CN"/>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4F24F4E4">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2481094E">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18EEFAED">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249F2C4E">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2786B05">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4648D3FE">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361D0078">
      <w:pPr>
        <w:sectPr>
          <w:footerReference r:id="rId62" w:type="default"/>
          <w:pgSz w:w="11907" w:h="16840"/>
          <w:pgMar w:top="400" w:right="379" w:bottom="1138" w:left="1701" w:header="0" w:footer="962" w:gutter="0"/>
          <w:cols w:space="720" w:num="1"/>
        </w:sectPr>
      </w:pPr>
    </w:p>
    <w:p w14:paraId="4DBF71D7">
      <w:pPr>
        <w:spacing w:line="449" w:lineRule="auto"/>
      </w:pPr>
    </w:p>
    <w:p w14:paraId="5EE3A8D5">
      <w:pPr>
        <w:spacing w:line="374" w:lineRule="exact"/>
        <w:textAlignment w:val="center"/>
      </w:pPr>
    </w:p>
    <w:p w14:paraId="1B4F8C22">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2EDA431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68F19A00">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6486EBC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6F4BCFF0">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51D5CDE">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1C9C13C5">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53FFD655">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55A4C555">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5D7F22E8">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20042B7A">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69DA6987">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4EE4B3A4">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4E4BC069">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943FB0F">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01EA23CF">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5F21ACE6">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7C2CE684">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548541A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08CEA4E5">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1B781E01">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lang w:eastAsia="zh-CN"/>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74005B3">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49154B7F">
      <w:pPr>
        <w:sectPr>
          <w:footerReference r:id="rId63" w:type="default"/>
          <w:pgSz w:w="11907" w:h="16840"/>
          <w:pgMar w:top="400" w:right="379" w:bottom="1139" w:left="1701" w:header="0" w:footer="962" w:gutter="0"/>
          <w:cols w:space="720" w:num="1"/>
        </w:sectPr>
      </w:pPr>
    </w:p>
    <w:p w14:paraId="3B97071C">
      <w:pPr>
        <w:spacing w:line="449" w:lineRule="auto"/>
      </w:pPr>
    </w:p>
    <w:p w14:paraId="0DCC0CB6">
      <w:pPr>
        <w:spacing w:line="374" w:lineRule="exact"/>
        <w:textAlignment w:val="center"/>
      </w:pPr>
    </w:p>
    <w:p w14:paraId="259737A0">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191DA7E7">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4877BF69">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6E48327C">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0085940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4B90FC06">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6332BB6">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C553B39">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4DB0642B">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58E913FE">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28F7AF78">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5B28EE5F">
      <w:pPr>
        <w:rPr>
          <w:rFonts w:ascii="宋体" w:hAnsi="宋体" w:eastAsia="宋体" w:cs="宋体"/>
          <w:sz w:val="23"/>
          <w:szCs w:val="23"/>
        </w:rPr>
      </w:pPr>
      <w:r>
        <w:rPr>
          <w:rFonts w:hint="eastAsia" w:ascii="宋体" w:hAnsi="宋体" w:eastAsia="宋体" w:cs="宋体"/>
          <w:sz w:val="23"/>
          <w:szCs w:val="23"/>
        </w:rPr>
        <w:t>联系电话：                              联系电话：</w:t>
      </w:r>
    </w:p>
    <w:p w14:paraId="32B9908B">
      <w:pPr>
        <w:rPr>
          <w:rFonts w:ascii="宋体" w:hAnsi="宋体" w:eastAsia="宋体" w:cs="宋体"/>
          <w:sz w:val="23"/>
          <w:szCs w:val="23"/>
          <w:u w:val="single"/>
        </w:rPr>
      </w:pPr>
      <w:r>
        <w:rPr>
          <w:rFonts w:hint="eastAsia" w:ascii="宋体" w:hAnsi="宋体" w:eastAsia="宋体" w:cs="宋体"/>
          <w:sz w:val="23"/>
          <w:szCs w:val="23"/>
        </w:rPr>
        <w:t>单位地址：                              单位地址：</w:t>
      </w:r>
    </w:p>
    <w:p w14:paraId="41F830C7">
      <w:pPr>
        <w:rPr>
          <w:rFonts w:ascii="宋体" w:hAnsi="宋体" w:eastAsia="宋体" w:cs="宋体"/>
          <w:sz w:val="23"/>
          <w:szCs w:val="23"/>
          <w:u w:val="single"/>
        </w:rPr>
      </w:pPr>
      <w:r>
        <w:rPr>
          <w:rFonts w:hint="eastAsia" w:ascii="宋体" w:hAnsi="宋体" w:eastAsia="宋体" w:cs="宋体"/>
          <w:sz w:val="23"/>
          <w:szCs w:val="23"/>
        </w:rPr>
        <w:t>开户银行：                              开户银行：</w:t>
      </w:r>
    </w:p>
    <w:p w14:paraId="514555FE">
      <w:pPr>
        <w:rPr>
          <w:rFonts w:ascii="宋体" w:hAnsi="宋体" w:eastAsia="宋体" w:cs="宋体"/>
          <w:sz w:val="23"/>
          <w:szCs w:val="23"/>
        </w:rPr>
      </w:pPr>
      <w:r>
        <w:rPr>
          <w:rFonts w:hint="eastAsia" w:ascii="宋体" w:hAnsi="宋体" w:eastAsia="宋体" w:cs="宋体"/>
          <w:sz w:val="23"/>
          <w:szCs w:val="23"/>
        </w:rPr>
        <w:t>户名：                                  户名：</w:t>
      </w:r>
    </w:p>
    <w:p w14:paraId="58B6BFE0">
      <w:pPr>
        <w:rPr>
          <w:rFonts w:ascii="宋体" w:hAnsi="宋体" w:eastAsia="宋体" w:cs="宋体"/>
          <w:sz w:val="23"/>
          <w:szCs w:val="23"/>
          <w:u w:val="single"/>
        </w:rPr>
      </w:pPr>
      <w:r>
        <w:rPr>
          <w:rFonts w:hint="eastAsia" w:ascii="宋体" w:hAnsi="宋体" w:eastAsia="宋体" w:cs="宋体"/>
          <w:sz w:val="23"/>
          <w:szCs w:val="23"/>
        </w:rPr>
        <w:t>账号：                                  账号：</w:t>
      </w:r>
    </w:p>
    <w:p w14:paraId="26CADB0F">
      <w:pPr>
        <w:rPr>
          <w:rFonts w:ascii="宋体" w:hAnsi="宋体" w:eastAsia="宋体" w:cs="宋体"/>
          <w:sz w:val="23"/>
          <w:szCs w:val="23"/>
          <w:u w:val="single"/>
        </w:rPr>
      </w:pPr>
      <w:r>
        <w:rPr>
          <w:rFonts w:hint="eastAsia" w:ascii="宋体" w:hAnsi="宋体" w:eastAsia="宋体" w:cs="宋体"/>
          <w:sz w:val="23"/>
          <w:szCs w:val="23"/>
        </w:rPr>
        <w:t>签订日期：                              签订日期：</w:t>
      </w:r>
    </w:p>
    <w:p w14:paraId="2D81D838">
      <w:pPr>
        <w:pStyle w:val="3"/>
        <w:rPr>
          <w:rFonts w:ascii="宋体" w:hAnsi="宋体" w:eastAsia="宋体" w:cs="宋体"/>
          <w:sz w:val="23"/>
          <w:szCs w:val="23"/>
        </w:rPr>
      </w:pPr>
      <w:r>
        <w:rPr>
          <w:rFonts w:hint="eastAsia" w:ascii="宋体" w:hAnsi="宋体" w:eastAsia="宋体" w:cs="宋体"/>
          <w:sz w:val="23"/>
          <w:szCs w:val="23"/>
        </w:rPr>
        <w:t>签订地点：                              签订地点：</w:t>
      </w:r>
    </w:p>
    <w:p w14:paraId="1B842A1D"/>
    <w:sectPr>
      <w:footerReference r:id="rId64"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 w:name="Arial-BoldM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01EB5">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CB2CA">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D5DF4F">
                          <w:pPr>
                            <w:pStyle w:val="1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51D5DF4F">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79E56">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DCC902">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5ADCC902">
                    <w:pPr>
                      <w:pStyle w:val="12"/>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1A01D">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82B566">
                          <w:pPr>
                            <w:pStyle w:val="1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6B82B566">
                    <w:pPr>
                      <w:pStyle w:val="1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37EB5">
    <w:pPr>
      <w:pStyle w:val="12"/>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23A1C8">
                          <w:pPr>
                            <w:pStyle w:val="1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4723A1C8">
                    <w:pPr>
                      <w:pStyle w:val="1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85E7D">
    <w:pPr>
      <w:pStyle w:val="1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A7FF14">
                          <w:pPr>
                            <w:pStyle w:val="12"/>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4A7FF14">
                    <w:pPr>
                      <w:pStyle w:val="12"/>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5EC60">
    <w:pPr>
      <w:pStyle w:val="12"/>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15422">
                          <w:pPr>
                            <w:pStyle w:val="1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14115422">
                    <w:pPr>
                      <w:pStyle w:val="1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A049F">
    <w:pPr>
      <w:pStyle w:val="12"/>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F50E74">
                          <w:pPr>
                            <w:pStyle w:val="1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72F50E74">
                    <w:pPr>
                      <w:pStyle w:val="1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03226">
    <w:pPr>
      <w:pStyle w:val="12"/>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53A63B">
                          <w:pPr>
                            <w:pStyle w:val="12"/>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0253A63B">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B8FF5">
    <w:pPr>
      <w:pStyle w:val="12"/>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25C9F8">
                          <w:pPr>
                            <w:pStyle w:val="1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6425C9F8">
                    <w:pPr>
                      <w:pStyle w:val="1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72C62">
    <w:pPr>
      <w:pStyle w:val="12"/>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8A5DC4">
                          <w:pPr>
                            <w:pStyle w:val="1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158A5DC4">
                    <w:pPr>
                      <w:pStyle w:val="1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12908">
    <w:pPr>
      <w:pStyle w:val="12"/>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880C7">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286880C7">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AE129">
    <w:pPr>
      <w:pStyle w:val="12"/>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3896F8">
                          <w:pPr>
                            <w:pStyle w:val="1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153896F8">
                    <w:pPr>
                      <w:pStyle w:val="1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980CB">
    <w:pPr>
      <w:pStyle w:val="12"/>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E2AC4C">
                          <w:pPr>
                            <w:pStyle w:val="12"/>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0CE2AC4C">
                    <w:pPr>
                      <w:pStyle w:val="1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145E1">
    <w:pPr>
      <w:pStyle w:val="12"/>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6B8A2">
                          <w:pPr>
                            <w:pStyle w:val="1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BA6B8A2">
                    <w:pPr>
                      <w:pStyle w:val="1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BD995">
    <w:pPr>
      <w:pStyle w:val="12"/>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17A3BE">
                          <w:pPr>
                            <w:pStyle w:val="12"/>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1517A3BE">
                    <w:pPr>
                      <w:pStyle w:val="1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A06D3">
    <w:pPr>
      <w:pStyle w:val="12"/>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9E25B0">
                          <w:pPr>
                            <w:pStyle w:val="1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B9E25B0">
                    <w:pPr>
                      <w:pStyle w:val="1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3B4D0">
    <w:pPr>
      <w:pStyle w:val="12"/>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288303">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0E288303">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59F53">
    <w:pPr>
      <w:pStyle w:val="12"/>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C10E2">
                          <w:pPr>
                            <w:pStyle w:val="1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1D4C10E2">
                    <w:pPr>
                      <w:pStyle w:val="1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61D45">
    <w:pPr>
      <w:pStyle w:val="12"/>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575D9F">
                          <w:pPr>
                            <w:pStyle w:val="12"/>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03575D9F">
                    <w:pPr>
                      <w:pStyle w:val="12"/>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47585">
    <w:pPr>
      <w:pStyle w:val="12"/>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F734B9">
                          <w:pPr>
                            <w:pStyle w:val="12"/>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07F734B9">
                    <w:pPr>
                      <w:pStyle w:val="1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39F22">
    <w:pPr>
      <w:pStyle w:val="12"/>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14243">
                          <w:pPr>
                            <w:pStyle w:val="1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24B14243">
                    <w:pPr>
                      <w:pStyle w:val="1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01335">
    <w:pPr>
      <w:pStyle w:val="12"/>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E6DE9D">
                          <w:pPr>
                            <w:pStyle w:val="12"/>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14E6DE9D">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F6C53">
    <w:pPr>
      <w:pStyle w:val="12"/>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84A335">
                          <w:pPr>
                            <w:pStyle w:val="1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0884A335">
                    <w:pPr>
                      <w:pStyle w:val="1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5F3DA">
    <w:pPr>
      <w:pStyle w:val="12"/>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0E05">
                          <w:pPr>
                            <w:pStyle w:val="1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18D10E05">
                    <w:pPr>
                      <w:pStyle w:val="1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EDAF0">
    <w:pPr>
      <w:pStyle w:val="12"/>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CE1EDA">
                          <w:pPr>
                            <w:pStyle w:val="1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5CCE1EDA">
                    <w:pPr>
                      <w:pStyle w:val="1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F783C">
    <w:pPr>
      <w:pStyle w:val="12"/>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DBF64F">
                          <w:pPr>
                            <w:pStyle w:val="12"/>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7DDBF64F">
                    <w:pPr>
                      <w:pStyle w:val="12"/>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81566">
    <w:pPr>
      <w:pStyle w:val="12"/>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FD9F7D">
                          <w:pPr>
                            <w:pStyle w:val="12"/>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17FD9F7D">
                    <w:pPr>
                      <w:pStyle w:val="12"/>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19644">
    <w:pPr>
      <w:pStyle w:val="12"/>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F47ADF">
                          <w:pPr>
                            <w:pStyle w:val="12"/>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5BF47ADF">
                    <w:pPr>
                      <w:pStyle w:val="12"/>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19574">
    <w:pPr>
      <w:pStyle w:val="12"/>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F6F11">
                          <w:pPr>
                            <w:pStyle w:val="12"/>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C6F6F11">
                    <w:pPr>
                      <w:pStyle w:val="12"/>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CF040">
    <w:pPr>
      <w:pStyle w:val="12"/>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F95DE">
                          <w:pPr>
                            <w:pStyle w:val="12"/>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08AF95DE">
                    <w:pPr>
                      <w:pStyle w:val="12"/>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31150">
    <w:pPr>
      <w:pStyle w:val="12"/>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57CE1">
                          <w:pPr>
                            <w:pStyle w:val="12"/>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0B357CE1">
                    <w:pPr>
                      <w:pStyle w:val="12"/>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15F0A">
    <w:pPr>
      <w:pStyle w:val="12"/>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47390">
                          <w:pPr>
                            <w:pStyle w:val="12"/>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6B147390">
                    <w:pPr>
                      <w:pStyle w:val="12"/>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7E5F5">
    <w:pPr>
      <w:pStyle w:val="12"/>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29958F">
                          <w:pPr>
                            <w:pStyle w:val="12"/>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B29958F">
                    <w:pPr>
                      <w:pStyle w:val="12"/>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51BCD">
    <w:pPr>
      <w:pStyle w:val="12"/>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337F4">
                          <w:pPr>
                            <w:pStyle w:val="12"/>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6A3337F4">
                    <w:pPr>
                      <w:pStyle w:val="12"/>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E9954">
    <w:pPr>
      <w:pStyle w:val="12"/>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5990FF">
                          <w:pPr>
                            <w:pStyle w:val="12"/>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C5990FF">
                    <w:pPr>
                      <w:pStyle w:val="12"/>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BDC1F">
    <w:pPr>
      <w:pStyle w:val="12"/>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5F33B">
                          <w:pPr>
                            <w:pStyle w:val="12"/>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6BD5F33B">
                    <w:pPr>
                      <w:pStyle w:val="12"/>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98E6">
    <w:pPr>
      <w:pStyle w:val="12"/>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EF7B66">
                          <w:pPr>
                            <w:pStyle w:val="12"/>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0FEF7B66">
                    <w:pPr>
                      <w:pStyle w:val="12"/>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EC3AA">
    <w:pPr>
      <w:pStyle w:val="12"/>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A3E32">
                          <w:pPr>
                            <w:pStyle w:val="12"/>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550A3E32">
                    <w:pPr>
                      <w:pStyle w:val="12"/>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F0A3C">
    <w:pPr>
      <w:pStyle w:val="12"/>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046721">
                          <w:pPr>
                            <w:pStyle w:val="12"/>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04046721">
                    <w:pPr>
                      <w:pStyle w:val="12"/>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77C17">
    <w:pPr>
      <w:pStyle w:val="12"/>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AAF84">
                          <w:pPr>
                            <w:pStyle w:val="12"/>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2C8AAF84">
                    <w:pPr>
                      <w:pStyle w:val="12"/>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14FC9">
    <w:pPr>
      <w:pStyle w:val="12"/>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7A214F">
                          <w:pPr>
                            <w:pStyle w:val="12"/>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6E7A214F">
                    <w:pPr>
                      <w:pStyle w:val="12"/>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628AD">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BFDB4">
                          <w:pPr>
                            <w:pStyle w:val="12"/>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4DBBFDB4">
                    <w:pPr>
                      <w:pStyle w:val="12"/>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E87EC">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CB2DBC">
                          <w:pPr>
                            <w:pStyle w:val="12"/>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65CB2DBC">
                    <w:pPr>
                      <w:pStyle w:val="12"/>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C1564">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B784E">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DE4DC">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6A8E1">
    <w:pPr>
      <w:spacing w:line="371" w:lineRule="exact"/>
      <w:textAlignment w:val="center"/>
    </w:pPr>
  </w:p>
  <w:p w14:paraId="4BD367AB">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BFAE6">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54F25">
    <w:pPr>
      <w:spacing w:line="371" w:lineRule="exact"/>
      <w:textAlignment w:val="center"/>
    </w:pPr>
  </w:p>
  <w:p w14:paraId="7E82634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1573B">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3877F">
    <w:pPr>
      <w:spacing w:line="360" w:lineRule="exact"/>
      <w:textAlignment w:val="center"/>
    </w:pPr>
  </w:p>
  <w:p w14:paraId="75C4BDE7">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B8C41">
    <w:pPr>
      <w:spacing w:line="360" w:lineRule="exact"/>
      <w:ind w:firstLine="112"/>
      <w:textAlignment w:val="center"/>
    </w:pPr>
  </w:p>
  <w:p w14:paraId="5ABFB4C0">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D754D">
    <w:pPr>
      <w:spacing w:line="360" w:lineRule="exact"/>
      <w:ind w:firstLine="129"/>
      <w:textAlignment w:val="center"/>
    </w:pPr>
  </w:p>
  <w:p w14:paraId="16A79086">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AFD93">
    <w:pPr>
      <w:spacing w:line="360" w:lineRule="exact"/>
      <w:ind w:firstLine="144"/>
      <w:textAlignment w:val="center"/>
    </w:pPr>
  </w:p>
  <w:p w14:paraId="4607149B">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C3E01">
    <w:pPr>
      <w:spacing w:line="360" w:lineRule="exact"/>
      <w:ind w:firstLine="112"/>
      <w:textAlignment w:val="center"/>
    </w:pPr>
  </w:p>
  <w:p w14:paraId="4CD0240E">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8FFF6">
    <w:pPr>
      <w:spacing w:line="360" w:lineRule="exact"/>
      <w:textAlignment w:val="center"/>
    </w:pPr>
  </w:p>
  <w:p w14:paraId="4F7B8E56">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3B4C4">
    <w:pPr>
      <w:spacing w:line="374" w:lineRule="exact"/>
      <w:ind w:firstLine="11"/>
      <w:textAlignment w:val="center"/>
    </w:pPr>
  </w:p>
  <w:p w14:paraId="0588B15C">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2E9E3">
    <w:pPr>
      <w:spacing w:line="374" w:lineRule="exact"/>
      <w:ind w:firstLine="11"/>
      <w:textAlignment w:val="center"/>
    </w:pPr>
  </w:p>
  <w:p w14:paraId="656E4C4E">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9BA42">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ACED1">
    <w:pPr>
      <w:spacing w:line="374" w:lineRule="exact"/>
      <w:textAlignment w:val="cent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7FEA2">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CF708"/>
    <w:multiLevelType w:val="singleLevel"/>
    <w:tmpl w:val="B83CF708"/>
    <w:lvl w:ilvl="0" w:tentative="0">
      <w:start w:val="1"/>
      <w:numFmt w:val="decimal"/>
      <w:suff w:val="nothing"/>
      <w:lvlText w:val="%1、"/>
      <w:lvlJc w:val="left"/>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17AA0DCB"/>
    <w:multiLevelType w:val="multilevel"/>
    <w:tmpl w:val="17AA0DCB"/>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7993D923"/>
    <w:multiLevelType w:val="singleLevel"/>
    <w:tmpl w:val="7993D923"/>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FmNGY1YzlmNWViMGRkZThiNjg3NmZkMDVjNDA1NzAifQ=="/>
  </w:docVars>
  <w:rsids>
    <w:rsidRoot w:val="00CD486E"/>
    <w:rsid w:val="00021DF7"/>
    <w:rsid w:val="000B6BA0"/>
    <w:rsid w:val="002235CA"/>
    <w:rsid w:val="002C7AE4"/>
    <w:rsid w:val="008322BB"/>
    <w:rsid w:val="00B26687"/>
    <w:rsid w:val="00BB31D0"/>
    <w:rsid w:val="00CD486E"/>
    <w:rsid w:val="00E54D24"/>
    <w:rsid w:val="013872F9"/>
    <w:rsid w:val="01473E14"/>
    <w:rsid w:val="01571899"/>
    <w:rsid w:val="016D37D1"/>
    <w:rsid w:val="01927DCE"/>
    <w:rsid w:val="01AA5582"/>
    <w:rsid w:val="028D5DFC"/>
    <w:rsid w:val="03476509"/>
    <w:rsid w:val="03903AE7"/>
    <w:rsid w:val="03C350C4"/>
    <w:rsid w:val="03DC5520"/>
    <w:rsid w:val="03EE19B5"/>
    <w:rsid w:val="04415D9F"/>
    <w:rsid w:val="04766DC4"/>
    <w:rsid w:val="04C17856"/>
    <w:rsid w:val="04D77EBA"/>
    <w:rsid w:val="04FA042C"/>
    <w:rsid w:val="055E6E53"/>
    <w:rsid w:val="05B945AD"/>
    <w:rsid w:val="05C13127"/>
    <w:rsid w:val="0616772D"/>
    <w:rsid w:val="062005AC"/>
    <w:rsid w:val="06734882"/>
    <w:rsid w:val="0695472E"/>
    <w:rsid w:val="06AB60C8"/>
    <w:rsid w:val="06DA3093"/>
    <w:rsid w:val="0779017E"/>
    <w:rsid w:val="07B16EB8"/>
    <w:rsid w:val="08597DA5"/>
    <w:rsid w:val="08B53F7B"/>
    <w:rsid w:val="090D7C1E"/>
    <w:rsid w:val="096539CF"/>
    <w:rsid w:val="096B19DC"/>
    <w:rsid w:val="09CE7548"/>
    <w:rsid w:val="09E3423C"/>
    <w:rsid w:val="0A8235E3"/>
    <w:rsid w:val="0AA24B03"/>
    <w:rsid w:val="0B26152B"/>
    <w:rsid w:val="0B420FC5"/>
    <w:rsid w:val="0B7E674B"/>
    <w:rsid w:val="0BBA0B5B"/>
    <w:rsid w:val="0BC47C2C"/>
    <w:rsid w:val="0BC60935"/>
    <w:rsid w:val="0C0F0232"/>
    <w:rsid w:val="0C6A432F"/>
    <w:rsid w:val="0C7D4630"/>
    <w:rsid w:val="0C97633D"/>
    <w:rsid w:val="0CA84FDA"/>
    <w:rsid w:val="0CAB2597"/>
    <w:rsid w:val="0CDE5CF4"/>
    <w:rsid w:val="0D1457A6"/>
    <w:rsid w:val="0D5006BB"/>
    <w:rsid w:val="0DAE6DA5"/>
    <w:rsid w:val="0E023C9B"/>
    <w:rsid w:val="0E1A5AD0"/>
    <w:rsid w:val="0E2772E8"/>
    <w:rsid w:val="0E454347"/>
    <w:rsid w:val="0EB32D6D"/>
    <w:rsid w:val="0EC41528"/>
    <w:rsid w:val="0ECC346A"/>
    <w:rsid w:val="0EE721D9"/>
    <w:rsid w:val="100A509F"/>
    <w:rsid w:val="101E5B5C"/>
    <w:rsid w:val="1037268A"/>
    <w:rsid w:val="107C46B1"/>
    <w:rsid w:val="10BA4BD5"/>
    <w:rsid w:val="10E2678A"/>
    <w:rsid w:val="10EB1134"/>
    <w:rsid w:val="10EF0CCE"/>
    <w:rsid w:val="11813F2D"/>
    <w:rsid w:val="11D658B4"/>
    <w:rsid w:val="11FE2768"/>
    <w:rsid w:val="120D67CA"/>
    <w:rsid w:val="1219612A"/>
    <w:rsid w:val="121A7943"/>
    <w:rsid w:val="12741746"/>
    <w:rsid w:val="1285636C"/>
    <w:rsid w:val="141A6CBF"/>
    <w:rsid w:val="14535FF1"/>
    <w:rsid w:val="149C7E78"/>
    <w:rsid w:val="14B20B3E"/>
    <w:rsid w:val="15491CF9"/>
    <w:rsid w:val="15556FB0"/>
    <w:rsid w:val="15877D00"/>
    <w:rsid w:val="15974C66"/>
    <w:rsid w:val="15C25738"/>
    <w:rsid w:val="15C97A27"/>
    <w:rsid w:val="15E37F2A"/>
    <w:rsid w:val="15FB1556"/>
    <w:rsid w:val="16006CDB"/>
    <w:rsid w:val="160B6B83"/>
    <w:rsid w:val="165E3157"/>
    <w:rsid w:val="16783AEC"/>
    <w:rsid w:val="167A41C5"/>
    <w:rsid w:val="16C02F31"/>
    <w:rsid w:val="16CC47EA"/>
    <w:rsid w:val="16D27BE2"/>
    <w:rsid w:val="16D408B3"/>
    <w:rsid w:val="17005F71"/>
    <w:rsid w:val="17205D9A"/>
    <w:rsid w:val="175C48DC"/>
    <w:rsid w:val="17DC0E56"/>
    <w:rsid w:val="182879DF"/>
    <w:rsid w:val="182F6A70"/>
    <w:rsid w:val="18AC1E92"/>
    <w:rsid w:val="1931258B"/>
    <w:rsid w:val="197E766C"/>
    <w:rsid w:val="199706AD"/>
    <w:rsid w:val="19A52E4A"/>
    <w:rsid w:val="19B55927"/>
    <w:rsid w:val="19E04319"/>
    <w:rsid w:val="19E63693"/>
    <w:rsid w:val="1A365311"/>
    <w:rsid w:val="1A3A68CE"/>
    <w:rsid w:val="1A4D4C36"/>
    <w:rsid w:val="1AE964D9"/>
    <w:rsid w:val="1AF45ED7"/>
    <w:rsid w:val="1AF9678A"/>
    <w:rsid w:val="1BAC4E79"/>
    <w:rsid w:val="1BE73167"/>
    <w:rsid w:val="1C60574F"/>
    <w:rsid w:val="1CB11B06"/>
    <w:rsid w:val="1CD05432"/>
    <w:rsid w:val="1CDA2E0B"/>
    <w:rsid w:val="1D3C5874"/>
    <w:rsid w:val="1D6D633C"/>
    <w:rsid w:val="1DE35986"/>
    <w:rsid w:val="1DE81EF7"/>
    <w:rsid w:val="1E2C7696"/>
    <w:rsid w:val="1E6E23B9"/>
    <w:rsid w:val="1E935967"/>
    <w:rsid w:val="1F6410B2"/>
    <w:rsid w:val="1F693042"/>
    <w:rsid w:val="20146634"/>
    <w:rsid w:val="205C4E1A"/>
    <w:rsid w:val="208F5085"/>
    <w:rsid w:val="20F31B81"/>
    <w:rsid w:val="210112AE"/>
    <w:rsid w:val="215E6FAC"/>
    <w:rsid w:val="21A74B95"/>
    <w:rsid w:val="224111AC"/>
    <w:rsid w:val="22532A61"/>
    <w:rsid w:val="2288155B"/>
    <w:rsid w:val="22C616BB"/>
    <w:rsid w:val="22E36146"/>
    <w:rsid w:val="23024E6A"/>
    <w:rsid w:val="230439EE"/>
    <w:rsid w:val="233E2A3D"/>
    <w:rsid w:val="23795CDF"/>
    <w:rsid w:val="23EB5808"/>
    <w:rsid w:val="23ED6390"/>
    <w:rsid w:val="245616E2"/>
    <w:rsid w:val="249036AE"/>
    <w:rsid w:val="24C67342"/>
    <w:rsid w:val="24D66096"/>
    <w:rsid w:val="24E8546C"/>
    <w:rsid w:val="24F44E2B"/>
    <w:rsid w:val="25085EB0"/>
    <w:rsid w:val="251B3D59"/>
    <w:rsid w:val="25956D03"/>
    <w:rsid w:val="259E1193"/>
    <w:rsid w:val="267A11BB"/>
    <w:rsid w:val="267B658E"/>
    <w:rsid w:val="268C1579"/>
    <w:rsid w:val="26A61FB0"/>
    <w:rsid w:val="26C23593"/>
    <w:rsid w:val="272E7452"/>
    <w:rsid w:val="27531A8E"/>
    <w:rsid w:val="27560AAF"/>
    <w:rsid w:val="27921723"/>
    <w:rsid w:val="27C3161B"/>
    <w:rsid w:val="289722CE"/>
    <w:rsid w:val="28F40B10"/>
    <w:rsid w:val="2937542B"/>
    <w:rsid w:val="29385257"/>
    <w:rsid w:val="2A070FB7"/>
    <w:rsid w:val="2A21557C"/>
    <w:rsid w:val="2A2326C6"/>
    <w:rsid w:val="2A74044D"/>
    <w:rsid w:val="2A8C7624"/>
    <w:rsid w:val="2A923078"/>
    <w:rsid w:val="2ADF69AB"/>
    <w:rsid w:val="2B7201F1"/>
    <w:rsid w:val="2BB62F23"/>
    <w:rsid w:val="2BB84350"/>
    <w:rsid w:val="2C1F5D5E"/>
    <w:rsid w:val="2C414D32"/>
    <w:rsid w:val="2C6B74B9"/>
    <w:rsid w:val="2D15747A"/>
    <w:rsid w:val="2D1C2FCC"/>
    <w:rsid w:val="2D4059AF"/>
    <w:rsid w:val="2D6D2DB2"/>
    <w:rsid w:val="2D753B8F"/>
    <w:rsid w:val="2D93624A"/>
    <w:rsid w:val="2DB142AE"/>
    <w:rsid w:val="2E080A50"/>
    <w:rsid w:val="2E805CF3"/>
    <w:rsid w:val="2E8C6F59"/>
    <w:rsid w:val="2EB80D27"/>
    <w:rsid w:val="2F2F348A"/>
    <w:rsid w:val="2F7A38F5"/>
    <w:rsid w:val="2FC82F97"/>
    <w:rsid w:val="2FE20F33"/>
    <w:rsid w:val="30211A0F"/>
    <w:rsid w:val="304A7E50"/>
    <w:rsid w:val="306B5437"/>
    <w:rsid w:val="30CB65CE"/>
    <w:rsid w:val="30F2169A"/>
    <w:rsid w:val="314A745B"/>
    <w:rsid w:val="316A0B24"/>
    <w:rsid w:val="31774A2F"/>
    <w:rsid w:val="31B61C41"/>
    <w:rsid w:val="325154C6"/>
    <w:rsid w:val="32AC5D39"/>
    <w:rsid w:val="32BC3352"/>
    <w:rsid w:val="32C26397"/>
    <w:rsid w:val="32E67131"/>
    <w:rsid w:val="330E7B45"/>
    <w:rsid w:val="335C6818"/>
    <w:rsid w:val="33A46C6F"/>
    <w:rsid w:val="33FD631F"/>
    <w:rsid w:val="34EB5A9A"/>
    <w:rsid w:val="354E03E2"/>
    <w:rsid w:val="35AB133E"/>
    <w:rsid w:val="35F37674"/>
    <w:rsid w:val="36296BDA"/>
    <w:rsid w:val="365173B7"/>
    <w:rsid w:val="366852E5"/>
    <w:rsid w:val="36ED7B86"/>
    <w:rsid w:val="36F823B4"/>
    <w:rsid w:val="374F2152"/>
    <w:rsid w:val="381A7687"/>
    <w:rsid w:val="38207E14"/>
    <w:rsid w:val="3844298F"/>
    <w:rsid w:val="3881462B"/>
    <w:rsid w:val="389D0C7A"/>
    <w:rsid w:val="38D765E6"/>
    <w:rsid w:val="3968349F"/>
    <w:rsid w:val="399B34CA"/>
    <w:rsid w:val="39D709A6"/>
    <w:rsid w:val="39D72754"/>
    <w:rsid w:val="3A2F2590"/>
    <w:rsid w:val="3A742C9E"/>
    <w:rsid w:val="3AA06C7F"/>
    <w:rsid w:val="3AEA57F2"/>
    <w:rsid w:val="3B84690C"/>
    <w:rsid w:val="3C3D5A17"/>
    <w:rsid w:val="3C5F4C83"/>
    <w:rsid w:val="3C964B49"/>
    <w:rsid w:val="3CFB4ABD"/>
    <w:rsid w:val="3DAC0FE2"/>
    <w:rsid w:val="3DBA5F4C"/>
    <w:rsid w:val="3E0B6E71"/>
    <w:rsid w:val="3E2B5F1B"/>
    <w:rsid w:val="3E447076"/>
    <w:rsid w:val="3EA23F18"/>
    <w:rsid w:val="3EA373E8"/>
    <w:rsid w:val="3EEC1D93"/>
    <w:rsid w:val="3FA15999"/>
    <w:rsid w:val="3FBC2E36"/>
    <w:rsid w:val="3FFA53EF"/>
    <w:rsid w:val="409D1225"/>
    <w:rsid w:val="413A6B8D"/>
    <w:rsid w:val="416D1BF0"/>
    <w:rsid w:val="41766110"/>
    <w:rsid w:val="41D705F4"/>
    <w:rsid w:val="42AC3B41"/>
    <w:rsid w:val="42CA5F33"/>
    <w:rsid w:val="42D642C4"/>
    <w:rsid w:val="43211EBB"/>
    <w:rsid w:val="43337D05"/>
    <w:rsid w:val="435B14B3"/>
    <w:rsid w:val="437D60FB"/>
    <w:rsid w:val="43AB31A8"/>
    <w:rsid w:val="43C90630"/>
    <w:rsid w:val="43FD36FF"/>
    <w:rsid w:val="444B446B"/>
    <w:rsid w:val="44984918"/>
    <w:rsid w:val="44C875D7"/>
    <w:rsid w:val="45022B1B"/>
    <w:rsid w:val="45456C71"/>
    <w:rsid w:val="456D3742"/>
    <w:rsid w:val="4577128F"/>
    <w:rsid w:val="462D194E"/>
    <w:rsid w:val="466814C5"/>
    <w:rsid w:val="46FE4087"/>
    <w:rsid w:val="470B6689"/>
    <w:rsid w:val="470E4B62"/>
    <w:rsid w:val="47377F61"/>
    <w:rsid w:val="477F61D9"/>
    <w:rsid w:val="48A26765"/>
    <w:rsid w:val="48A30BB7"/>
    <w:rsid w:val="48AB2227"/>
    <w:rsid w:val="48E42798"/>
    <w:rsid w:val="49773016"/>
    <w:rsid w:val="4A500501"/>
    <w:rsid w:val="4A871C70"/>
    <w:rsid w:val="4A974A08"/>
    <w:rsid w:val="4AC565F9"/>
    <w:rsid w:val="4B003B88"/>
    <w:rsid w:val="4BC44509"/>
    <w:rsid w:val="4BF1634C"/>
    <w:rsid w:val="4BF90C50"/>
    <w:rsid w:val="4C106945"/>
    <w:rsid w:val="4C445F49"/>
    <w:rsid w:val="4CD82614"/>
    <w:rsid w:val="4CD90ABC"/>
    <w:rsid w:val="4D0C077D"/>
    <w:rsid w:val="4D434EA2"/>
    <w:rsid w:val="4D542C24"/>
    <w:rsid w:val="4DBD6102"/>
    <w:rsid w:val="4E0B46D3"/>
    <w:rsid w:val="4E127DA7"/>
    <w:rsid w:val="4E1E1371"/>
    <w:rsid w:val="4E7F7BF0"/>
    <w:rsid w:val="4E9B714D"/>
    <w:rsid w:val="4EC8600F"/>
    <w:rsid w:val="4F697E9B"/>
    <w:rsid w:val="4FB92A19"/>
    <w:rsid w:val="4FDC34E3"/>
    <w:rsid w:val="5060304C"/>
    <w:rsid w:val="509D719B"/>
    <w:rsid w:val="50DE6667"/>
    <w:rsid w:val="50FD5B49"/>
    <w:rsid w:val="512E513F"/>
    <w:rsid w:val="51404C2B"/>
    <w:rsid w:val="518014CC"/>
    <w:rsid w:val="5217229F"/>
    <w:rsid w:val="52333B97"/>
    <w:rsid w:val="52EB0BC7"/>
    <w:rsid w:val="53184E30"/>
    <w:rsid w:val="53E74B1F"/>
    <w:rsid w:val="53FB02E2"/>
    <w:rsid w:val="550B5B2E"/>
    <w:rsid w:val="554F4708"/>
    <w:rsid w:val="55507856"/>
    <w:rsid w:val="55803996"/>
    <w:rsid w:val="55D87281"/>
    <w:rsid w:val="55DF0EB7"/>
    <w:rsid w:val="562C0DF0"/>
    <w:rsid w:val="56424FA2"/>
    <w:rsid w:val="564B416B"/>
    <w:rsid w:val="565720F6"/>
    <w:rsid w:val="565A399C"/>
    <w:rsid w:val="566B6EF8"/>
    <w:rsid w:val="5779127D"/>
    <w:rsid w:val="57893D49"/>
    <w:rsid w:val="57BB500C"/>
    <w:rsid w:val="57EF36C8"/>
    <w:rsid w:val="58146C58"/>
    <w:rsid w:val="58201313"/>
    <w:rsid w:val="58CD4FF7"/>
    <w:rsid w:val="58DE0D33"/>
    <w:rsid w:val="58EF1411"/>
    <w:rsid w:val="590D1499"/>
    <w:rsid w:val="597638E0"/>
    <w:rsid w:val="59EA1502"/>
    <w:rsid w:val="5A4A5760"/>
    <w:rsid w:val="5ACA1B4A"/>
    <w:rsid w:val="5B5E4063"/>
    <w:rsid w:val="5B8445BE"/>
    <w:rsid w:val="5B8C73EB"/>
    <w:rsid w:val="5B94285A"/>
    <w:rsid w:val="5C013209"/>
    <w:rsid w:val="5CA442C0"/>
    <w:rsid w:val="5D2C3FDA"/>
    <w:rsid w:val="5D9205BD"/>
    <w:rsid w:val="5DCC1F1C"/>
    <w:rsid w:val="5E627061"/>
    <w:rsid w:val="5E6A778C"/>
    <w:rsid w:val="5F517AAB"/>
    <w:rsid w:val="5FC133DB"/>
    <w:rsid w:val="600661B3"/>
    <w:rsid w:val="601B2D33"/>
    <w:rsid w:val="60355D8B"/>
    <w:rsid w:val="60620E5F"/>
    <w:rsid w:val="60D15E2D"/>
    <w:rsid w:val="6105083D"/>
    <w:rsid w:val="613001B9"/>
    <w:rsid w:val="61443F3A"/>
    <w:rsid w:val="61C72A5A"/>
    <w:rsid w:val="61EF4230"/>
    <w:rsid w:val="61F16ABA"/>
    <w:rsid w:val="61FE0B3E"/>
    <w:rsid w:val="620A12CA"/>
    <w:rsid w:val="624C0FA2"/>
    <w:rsid w:val="628C1A7E"/>
    <w:rsid w:val="629B6165"/>
    <w:rsid w:val="62AC3ECF"/>
    <w:rsid w:val="637042A3"/>
    <w:rsid w:val="64361EE4"/>
    <w:rsid w:val="6483309F"/>
    <w:rsid w:val="648A46E4"/>
    <w:rsid w:val="64D7381D"/>
    <w:rsid w:val="652507F9"/>
    <w:rsid w:val="654725D5"/>
    <w:rsid w:val="65A24239"/>
    <w:rsid w:val="65A74E21"/>
    <w:rsid w:val="65E2574D"/>
    <w:rsid w:val="65F70BB2"/>
    <w:rsid w:val="661E3335"/>
    <w:rsid w:val="66375A09"/>
    <w:rsid w:val="664E0F50"/>
    <w:rsid w:val="66CF7ABB"/>
    <w:rsid w:val="67AF71E6"/>
    <w:rsid w:val="67B53827"/>
    <w:rsid w:val="67FA3FC2"/>
    <w:rsid w:val="682C2D0A"/>
    <w:rsid w:val="684A0885"/>
    <w:rsid w:val="684E71F1"/>
    <w:rsid w:val="68595F3A"/>
    <w:rsid w:val="687065DC"/>
    <w:rsid w:val="68905F80"/>
    <w:rsid w:val="68B06EB5"/>
    <w:rsid w:val="68C46FB3"/>
    <w:rsid w:val="692C5D69"/>
    <w:rsid w:val="69DB0259"/>
    <w:rsid w:val="6A301889"/>
    <w:rsid w:val="6A3D064A"/>
    <w:rsid w:val="6A6C07F5"/>
    <w:rsid w:val="6A9B7058"/>
    <w:rsid w:val="6B8974A3"/>
    <w:rsid w:val="6BA3256C"/>
    <w:rsid w:val="6BF43F27"/>
    <w:rsid w:val="6BFA330E"/>
    <w:rsid w:val="6CB70040"/>
    <w:rsid w:val="6CF7668E"/>
    <w:rsid w:val="6D151F82"/>
    <w:rsid w:val="6D3451EC"/>
    <w:rsid w:val="6D356589"/>
    <w:rsid w:val="6D3B3876"/>
    <w:rsid w:val="6DB80D3C"/>
    <w:rsid w:val="6E162B44"/>
    <w:rsid w:val="6E1854A8"/>
    <w:rsid w:val="6E20403C"/>
    <w:rsid w:val="6EA22971"/>
    <w:rsid w:val="6ED5694A"/>
    <w:rsid w:val="6EEA5043"/>
    <w:rsid w:val="6EF43B79"/>
    <w:rsid w:val="6EFB2DB5"/>
    <w:rsid w:val="6F2379F5"/>
    <w:rsid w:val="6FC41BBC"/>
    <w:rsid w:val="714806A6"/>
    <w:rsid w:val="718C7682"/>
    <w:rsid w:val="71FA3E79"/>
    <w:rsid w:val="72676064"/>
    <w:rsid w:val="72D655D0"/>
    <w:rsid w:val="732301DD"/>
    <w:rsid w:val="732950C8"/>
    <w:rsid w:val="733C289C"/>
    <w:rsid w:val="735859AD"/>
    <w:rsid w:val="73785B9E"/>
    <w:rsid w:val="73806B1A"/>
    <w:rsid w:val="744D717B"/>
    <w:rsid w:val="748424F9"/>
    <w:rsid w:val="74975432"/>
    <w:rsid w:val="74CF1452"/>
    <w:rsid w:val="74FA01FD"/>
    <w:rsid w:val="752D0A37"/>
    <w:rsid w:val="75AF5D58"/>
    <w:rsid w:val="76216471"/>
    <w:rsid w:val="7633736D"/>
    <w:rsid w:val="765E30A6"/>
    <w:rsid w:val="766461A0"/>
    <w:rsid w:val="766C71AB"/>
    <w:rsid w:val="767D2BF4"/>
    <w:rsid w:val="76FB2931"/>
    <w:rsid w:val="76FE06CC"/>
    <w:rsid w:val="77B533CE"/>
    <w:rsid w:val="77E9229C"/>
    <w:rsid w:val="781808C3"/>
    <w:rsid w:val="785717B2"/>
    <w:rsid w:val="791B1956"/>
    <w:rsid w:val="792C6E7D"/>
    <w:rsid w:val="7931117A"/>
    <w:rsid w:val="79B17F3C"/>
    <w:rsid w:val="79B61ECB"/>
    <w:rsid w:val="79B620A3"/>
    <w:rsid w:val="79F521A7"/>
    <w:rsid w:val="7A060A6E"/>
    <w:rsid w:val="7A593394"/>
    <w:rsid w:val="7A8E10FB"/>
    <w:rsid w:val="7A940A87"/>
    <w:rsid w:val="7AAB0D95"/>
    <w:rsid w:val="7AC164E1"/>
    <w:rsid w:val="7AD16771"/>
    <w:rsid w:val="7AFD1314"/>
    <w:rsid w:val="7B1E128A"/>
    <w:rsid w:val="7BB66D05"/>
    <w:rsid w:val="7BEA320E"/>
    <w:rsid w:val="7C402DF3"/>
    <w:rsid w:val="7C774186"/>
    <w:rsid w:val="7D1D47D7"/>
    <w:rsid w:val="7D6854E7"/>
    <w:rsid w:val="7D7D1713"/>
    <w:rsid w:val="7DC013D7"/>
    <w:rsid w:val="7DD054AE"/>
    <w:rsid w:val="7DD237D7"/>
    <w:rsid w:val="7DD30A52"/>
    <w:rsid w:val="7DD50326"/>
    <w:rsid w:val="7DE34ED0"/>
    <w:rsid w:val="7E301A00"/>
    <w:rsid w:val="7E582D05"/>
    <w:rsid w:val="7E7613A2"/>
    <w:rsid w:val="7E7E276B"/>
    <w:rsid w:val="7F054C3B"/>
    <w:rsid w:val="7F4219EB"/>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2"/>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next w:val="7"/>
    <w:autoRedefine/>
    <w:qFormat/>
    <w:uiPriority w:val="6"/>
    <w:pPr>
      <w:spacing w:after="120"/>
    </w:pPr>
    <w:rPr>
      <w:kern w:val="1"/>
    </w:rPr>
  </w:style>
  <w:style w:type="paragraph" w:styleId="7">
    <w:name w:val="Body Text First Indent"/>
    <w:basedOn w:val="6"/>
    <w:autoRedefine/>
    <w:qFormat/>
    <w:uiPriority w:val="6"/>
    <w:pPr>
      <w:ind w:firstLine="420"/>
    </w:pPr>
  </w:style>
  <w:style w:type="paragraph" w:styleId="8">
    <w:name w:val="Body Text Indent"/>
    <w:basedOn w:val="1"/>
    <w:next w:val="9"/>
    <w:autoRedefine/>
    <w:qFormat/>
    <w:uiPriority w:val="0"/>
    <w:pPr>
      <w:spacing w:after="120"/>
      <w:ind w:left="420" w:leftChars="200"/>
    </w:pPr>
    <w:rPr>
      <w:sz w:val="20"/>
    </w:rPr>
  </w:style>
  <w:style w:type="paragraph" w:styleId="9">
    <w:name w:val="envelope return"/>
    <w:basedOn w:val="1"/>
    <w:autoRedefine/>
    <w:qFormat/>
    <w:uiPriority w:val="0"/>
    <w:rPr>
      <w:rFonts w:eastAsia="宋体"/>
      <w:sz w:val="34"/>
      <w:szCs w:val="24"/>
    </w:rPr>
  </w:style>
  <w:style w:type="paragraph" w:styleId="10">
    <w:name w:val="Plain Text"/>
    <w:basedOn w:val="1"/>
    <w:autoRedefine/>
    <w:qFormat/>
    <w:uiPriority w:val="0"/>
    <w:pPr>
      <w:tabs>
        <w:tab w:val="left" w:pos="4305"/>
      </w:tabs>
    </w:pPr>
    <w:rPr>
      <w:rFonts w:ascii="宋体" w:hAnsi="Courier New"/>
      <w:sz w:val="20"/>
    </w:rPr>
  </w:style>
  <w:style w:type="paragraph" w:styleId="11">
    <w:name w:val="Balloon Text"/>
    <w:basedOn w:val="1"/>
    <w:link w:val="28"/>
    <w:autoRedefine/>
    <w:qFormat/>
    <w:uiPriority w:val="0"/>
    <w:rPr>
      <w:sz w:val="18"/>
      <w:szCs w:val="18"/>
    </w:rPr>
  </w:style>
  <w:style w:type="paragraph" w:styleId="12">
    <w:name w:val="footer"/>
    <w:basedOn w:val="1"/>
    <w:autoRedefine/>
    <w:qFormat/>
    <w:uiPriority w:val="0"/>
    <w:pPr>
      <w:tabs>
        <w:tab w:val="center" w:pos="4153"/>
        <w:tab w:val="right" w:pos="8306"/>
      </w:tabs>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4">
    <w:name w:val="toc 1"/>
    <w:basedOn w:val="1"/>
    <w:next w:val="1"/>
    <w:autoRedefine/>
    <w:qFormat/>
    <w:uiPriority w:val="99"/>
    <w:pPr>
      <w:spacing w:before="120" w:after="120" w:line="360" w:lineRule="auto"/>
    </w:pPr>
    <w:rPr>
      <w:rFonts w:eastAsia="仿宋"/>
      <w:b/>
      <w:caps/>
      <w:sz w:val="28"/>
      <w:szCs w:val="20"/>
    </w:rPr>
  </w:style>
  <w:style w:type="paragraph" w:styleId="15">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6">
    <w:name w:val="Body Text First Indent 2"/>
    <w:basedOn w:val="8"/>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table" w:customStyle="1" w:styleId="20">
    <w:name w:val="Table Normal"/>
    <w:autoRedefine/>
    <w:semiHidden/>
    <w:unhideWhenUsed/>
    <w:qFormat/>
    <w:uiPriority w:val="0"/>
    <w:tblPr>
      <w:tblCellMar>
        <w:top w:w="0" w:type="dxa"/>
        <w:left w:w="0" w:type="dxa"/>
        <w:bottom w:w="0" w:type="dxa"/>
        <w:right w:w="0" w:type="dxa"/>
      </w:tblCellMar>
    </w:tblPr>
  </w:style>
  <w:style w:type="paragraph" w:customStyle="1" w:styleId="21">
    <w:name w:val="普通正文"/>
    <w:basedOn w:val="1"/>
    <w:autoRedefine/>
    <w:qFormat/>
    <w:uiPriority w:val="99"/>
    <w:pPr>
      <w:spacing w:before="120" w:after="120" w:line="360" w:lineRule="auto"/>
      <w:ind w:firstLine="480"/>
    </w:pPr>
    <w:rPr>
      <w:sz w:val="28"/>
    </w:rPr>
  </w:style>
  <w:style w:type="character" w:customStyle="1" w:styleId="22">
    <w:name w:val="标题 1 Char"/>
    <w:link w:val="2"/>
    <w:autoRedefine/>
    <w:qFormat/>
    <w:locked/>
    <w:uiPriority w:val="99"/>
    <w:rPr>
      <w:rFonts w:ascii="宋体" w:eastAsia="仿宋"/>
      <w:b/>
      <w:kern w:val="44"/>
      <w:sz w:val="44"/>
      <w:szCs w:val="44"/>
    </w:rPr>
  </w:style>
  <w:style w:type="paragraph" w:customStyle="1" w:styleId="23">
    <w:name w:val="正文缩进1"/>
    <w:basedOn w:val="1"/>
    <w:autoRedefine/>
    <w:qFormat/>
    <w:uiPriority w:val="0"/>
    <w:pPr>
      <w:ind w:firstLine="420"/>
    </w:pPr>
  </w:style>
  <w:style w:type="paragraph" w:customStyle="1" w:styleId="24">
    <w:name w:val="Table Paragraph"/>
    <w:basedOn w:val="1"/>
    <w:autoRedefine/>
    <w:qFormat/>
    <w:uiPriority w:val="99"/>
  </w:style>
  <w:style w:type="paragraph" w:customStyle="1" w:styleId="25">
    <w:name w:val="BodyText1I2"/>
    <w:basedOn w:val="26"/>
    <w:autoRedefine/>
    <w:qFormat/>
    <w:uiPriority w:val="0"/>
    <w:pPr>
      <w:spacing w:after="120" w:line="240" w:lineRule="auto"/>
      <w:ind w:left="420" w:leftChars="200" w:firstLine="420" w:firstLineChars="200"/>
    </w:pPr>
    <w:rPr>
      <w:rFonts w:ascii="Times New Roman"/>
      <w:sz w:val="21"/>
    </w:rPr>
  </w:style>
  <w:style w:type="paragraph" w:customStyle="1" w:styleId="26">
    <w:name w:val="BodyTextIndent"/>
    <w:basedOn w:val="1"/>
    <w:next w:val="25"/>
    <w:autoRedefine/>
    <w:qFormat/>
    <w:uiPriority w:val="0"/>
    <w:pPr>
      <w:spacing w:line="360" w:lineRule="auto"/>
      <w:ind w:firstLine="480"/>
    </w:pPr>
    <w:rPr>
      <w:rFonts w:ascii="宋体" w:hAnsi="宋体" w:eastAsia="FangSong_GB2312"/>
      <w:b/>
      <w:spacing w:val="4"/>
      <w:sz w:val="24"/>
      <w:szCs w:val="28"/>
    </w:rPr>
  </w:style>
  <w:style w:type="paragraph" w:styleId="27">
    <w:name w:val="List Paragraph"/>
    <w:basedOn w:val="1"/>
    <w:autoRedefine/>
    <w:unhideWhenUsed/>
    <w:qFormat/>
    <w:uiPriority w:val="99"/>
    <w:pPr>
      <w:ind w:firstLine="420" w:firstLineChars="200"/>
    </w:pPr>
  </w:style>
  <w:style w:type="character" w:customStyle="1" w:styleId="28">
    <w:name w:val="批注框文本 Char"/>
    <w:basedOn w:val="18"/>
    <w:link w:val="11"/>
    <w:autoRedefine/>
    <w:qFormat/>
    <w:uiPriority w:val="0"/>
    <w:rPr>
      <w:rFonts w:eastAsia="Arial"/>
      <w:snapToGrid w:val="0"/>
      <w:color w:val="000000"/>
      <w:sz w:val="18"/>
      <w:szCs w:val="18"/>
    </w:rPr>
  </w:style>
  <w:style w:type="paragraph" w:customStyle="1" w:styleId="29">
    <w:name w:val="p0"/>
    <w:basedOn w:val="1"/>
    <w:autoRedefine/>
    <w:qFormat/>
    <w:uiPriority w:val="0"/>
    <w:pPr>
      <w:widowControl/>
    </w:pPr>
    <w:rPr>
      <w:rFonts w:ascii="Calibri" w:hAnsi="Calibri" w:cs="Calibri"/>
      <w:kern w:val="0"/>
    </w:rPr>
  </w:style>
  <w:style w:type="character" w:customStyle="1" w:styleId="30">
    <w:name w:val="font11"/>
    <w:basedOn w:val="18"/>
    <w:autoRedefine/>
    <w:qFormat/>
    <w:uiPriority w:val="0"/>
    <w:rPr>
      <w:rFonts w:hint="eastAsia" w:ascii="微软雅黑" w:hAnsi="微软雅黑" w:eastAsia="微软雅黑" w:cs="微软雅黑"/>
      <w:b/>
      <w:bCs/>
      <w:color w:val="000000"/>
      <w:sz w:val="18"/>
      <w:szCs w:val="18"/>
      <w:u w:val="none"/>
    </w:rPr>
  </w:style>
  <w:style w:type="character" w:customStyle="1" w:styleId="31">
    <w:name w:val="font21"/>
    <w:basedOn w:val="18"/>
    <w:autoRedefine/>
    <w:qFormat/>
    <w:uiPriority w:val="0"/>
    <w:rPr>
      <w:rFonts w:hint="eastAsia" w:ascii="微软雅黑" w:hAnsi="微软雅黑" w:eastAsia="微软雅黑" w:cs="微软雅黑"/>
      <w:color w:val="000000"/>
      <w:sz w:val="18"/>
      <w:szCs w:val="18"/>
      <w:u w:val="none"/>
    </w:rPr>
  </w:style>
  <w:style w:type="paragraph" w:customStyle="1" w:styleId="32">
    <w:name w:val="列表段落1"/>
    <w:basedOn w:val="1"/>
    <w:qFormat/>
    <w:uiPriority w:val="0"/>
    <w:pPr>
      <w:ind w:firstLine="420"/>
    </w:pPr>
    <w:rPr>
      <w:rFonts w:ascii="Calibri" w:hAnsi="Calibri" w:eastAsia="宋体" w:cs="Times New Roman"/>
      <w:sz w:val="24"/>
    </w:rPr>
  </w:style>
  <w:style w:type="paragraph" w:styleId="33">
    <w:name w:val="No Spacing"/>
    <w:autoRedefine/>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2" Type="http://schemas.openxmlformats.org/officeDocument/2006/relationships/fontTable" Target="fontTable.xml"/><Relationship Id="rId71" Type="http://schemas.openxmlformats.org/officeDocument/2006/relationships/numbering" Target="numbering.xml"/><Relationship Id="rId70" Type="http://schemas.openxmlformats.org/officeDocument/2006/relationships/customXml" Target="../customXml/item1.xml"/><Relationship Id="rId7" Type="http://schemas.openxmlformats.org/officeDocument/2006/relationships/header" Target="header3.xml"/><Relationship Id="rId69" Type="http://schemas.openxmlformats.org/officeDocument/2006/relationships/image" Target="media/image4.png"/><Relationship Id="rId68" Type="http://schemas.openxmlformats.org/officeDocument/2006/relationships/image" Target="media/image3.jpeg"/><Relationship Id="rId67" Type="http://schemas.openxmlformats.org/officeDocument/2006/relationships/image" Target="media/image2.png"/><Relationship Id="rId66" Type="http://schemas.openxmlformats.org/officeDocument/2006/relationships/image" Target="media/image1.png"/><Relationship Id="rId65" Type="http://schemas.openxmlformats.org/officeDocument/2006/relationships/theme" Target="theme/theme1.xml"/><Relationship Id="rId64" Type="http://schemas.openxmlformats.org/officeDocument/2006/relationships/footer" Target="footer44.xml"/><Relationship Id="rId63" Type="http://schemas.openxmlformats.org/officeDocument/2006/relationships/footer" Target="footer43.xml"/><Relationship Id="rId62" Type="http://schemas.openxmlformats.org/officeDocument/2006/relationships/footer" Target="footer42.xml"/><Relationship Id="rId61" Type="http://schemas.openxmlformats.org/officeDocument/2006/relationships/footer" Target="footer41.xml"/><Relationship Id="rId60" Type="http://schemas.openxmlformats.org/officeDocument/2006/relationships/footer" Target="footer40.xml"/><Relationship Id="rId6" Type="http://schemas.openxmlformats.org/officeDocument/2006/relationships/footer" Target="footer2.xml"/><Relationship Id="rId59" Type="http://schemas.openxmlformats.org/officeDocument/2006/relationships/footer" Target="footer39.xml"/><Relationship Id="rId58" Type="http://schemas.openxmlformats.org/officeDocument/2006/relationships/footer" Target="footer38.xml"/><Relationship Id="rId57" Type="http://schemas.openxmlformats.org/officeDocument/2006/relationships/footer" Target="footer37.xml"/><Relationship Id="rId56" Type="http://schemas.openxmlformats.org/officeDocument/2006/relationships/footer" Target="footer36.xml"/><Relationship Id="rId55" Type="http://schemas.openxmlformats.org/officeDocument/2006/relationships/footer" Target="footer35.xml"/><Relationship Id="rId54" Type="http://schemas.openxmlformats.org/officeDocument/2006/relationships/header" Target="header18.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87</Pages>
  <Words>44460</Words>
  <Characters>49760</Characters>
  <Lines>325</Lines>
  <Paragraphs>91</Paragraphs>
  <TotalTime>0</TotalTime>
  <ScaleCrop>false</ScaleCrop>
  <LinksUpToDate>false</LinksUpToDate>
  <CharactersWithSpaces>53490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江西定和建设集团</cp:lastModifiedBy>
  <cp:lastPrinted>2024-08-15T08:10:00Z</cp:lastPrinted>
  <dcterms:modified xsi:type="dcterms:W3CDTF">2024-08-15T08:48:28Z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52947ABC7DE8435992BFCEB59EF8EB78_13</vt:lpwstr>
  </property>
</Properties>
</file>