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48B1E">
      <w:pPr>
        <w:rPr>
          <w:rFonts w:ascii="仿宋" w:hAnsi="仿宋" w:eastAsia="仿宋" w:cs="仿宋"/>
          <w:sz w:val="80"/>
          <w:szCs w:val="80"/>
          <w:highlight w:val="none"/>
        </w:rPr>
      </w:pPr>
    </w:p>
    <w:p w14:paraId="3F9AF7B6">
      <w:pPr>
        <w:ind w:firstLine="539"/>
        <w:jc w:val="center"/>
        <w:rPr>
          <w:rFonts w:hint="eastAsia" w:ascii="宋体" w:hAnsi="宋体" w:cs="宋体"/>
          <w:sz w:val="84"/>
          <w:szCs w:val="84"/>
          <w:highlight w:val="none"/>
        </w:rPr>
      </w:pPr>
    </w:p>
    <w:p w14:paraId="3AE68C06">
      <w:pPr>
        <w:ind w:firstLine="539"/>
        <w:jc w:val="center"/>
        <w:rPr>
          <w:rFonts w:hint="default" w:ascii="宋体" w:hAnsi="宋体" w:cs="宋体"/>
          <w:sz w:val="84"/>
          <w:szCs w:val="84"/>
          <w:highlight w:val="none"/>
        </w:rPr>
      </w:pPr>
      <w:r>
        <w:rPr>
          <w:rFonts w:hint="eastAsia" w:ascii="宋体" w:hAnsi="宋体" w:cs="宋体"/>
          <w:sz w:val="84"/>
          <w:szCs w:val="84"/>
          <w:highlight w:val="none"/>
        </w:rPr>
        <w:t>竞争性谈判文件</w:t>
      </w:r>
    </w:p>
    <w:p w14:paraId="6B2B0647">
      <w:pPr>
        <w:ind w:firstLine="3520" w:firstLineChars="1100"/>
        <w:rPr>
          <w:rFonts w:ascii="仿宋" w:hAnsi="仿宋" w:eastAsia="仿宋" w:cs="仿宋"/>
          <w:sz w:val="32"/>
          <w:szCs w:val="32"/>
          <w:highlight w:val="none"/>
        </w:rPr>
      </w:pPr>
    </w:p>
    <w:p w14:paraId="2C36E5C0">
      <w:pPr>
        <w:ind w:firstLine="3520" w:firstLineChars="1100"/>
        <w:rPr>
          <w:rFonts w:ascii="仿宋" w:hAnsi="仿宋" w:eastAsia="仿宋" w:cs="仿宋"/>
          <w:sz w:val="32"/>
          <w:szCs w:val="32"/>
          <w:highlight w:val="none"/>
        </w:rPr>
      </w:pPr>
    </w:p>
    <w:p w14:paraId="127FE752">
      <w:pPr>
        <w:ind w:firstLine="1920" w:firstLineChars="400"/>
        <w:rPr>
          <w:rFonts w:ascii="仿宋" w:hAnsi="仿宋" w:eastAsia="仿宋" w:cs="仿宋"/>
          <w:sz w:val="48"/>
          <w:szCs w:val="48"/>
          <w:highlight w:val="none"/>
        </w:rPr>
      </w:pPr>
    </w:p>
    <w:p w14:paraId="7ADC6057">
      <w:pPr>
        <w:ind w:firstLine="1920" w:firstLineChars="400"/>
        <w:rPr>
          <w:rFonts w:ascii="仿宋" w:hAnsi="仿宋" w:eastAsia="仿宋" w:cs="仿宋"/>
          <w:sz w:val="48"/>
          <w:szCs w:val="48"/>
          <w:highlight w:val="none"/>
        </w:rPr>
      </w:pPr>
    </w:p>
    <w:p w14:paraId="028F8B02">
      <w:pPr>
        <w:rPr>
          <w:rFonts w:ascii="仿宋" w:hAnsi="仿宋" w:eastAsia="仿宋" w:cs="仿宋"/>
          <w:sz w:val="48"/>
          <w:szCs w:val="48"/>
          <w:highlight w:val="none"/>
        </w:rPr>
      </w:pPr>
    </w:p>
    <w:p w14:paraId="642001F5">
      <w:pPr>
        <w:pStyle w:val="37"/>
        <w:spacing w:line="360" w:lineRule="auto"/>
        <w:ind w:left="2883" w:leftChars="608" w:hanging="1606" w:hangingChars="500"/>
        <w:rPr>
          <w:rFonts w:hint="eastAsia" w:eastAsia="仿宋"/>
          <w:highlight w:val="none"/>
          <w:lang w:eastAsia="zh-CN"/>
        </w:rPr>
      </w:pPr>
      <w:r>
        <w:rPr>
          <w:highlight w:val="none"/>
        </w:rPr>
        <w:t>项目名称：</w:t>
      </w:r>
      <w:r>
        <w:rPr>
          <w:rFonts w:hint="eastAsia"/>
          <w:highlight w:val="none"/>
          <w:lang w:eastAsia="zh-CN"/>
        </w:rPr>
        <w:t>东乡区公安局业务技术用房电梯采购项目</w:t>
      </w:r>
    </w:p>
    <w:p w14:paraId="6241E01B">
      <w:pPr>
        <w:pStyle w:val="37"/>
        <w:spacing w:line="360" w:lineRule="auto"/>
        <w:ind w:left="2883" w:leftChars="608" w:hanging="1606" w:hangingChars="500"/>
        <w:rPr>
          <w:rFonts w:hint="eastAsia" w:eastAsia="仿宋"/>
          <w:highlight w:val="none"/>
          <w:lang w:eastAsia="zh-CN"/>
        </w:rPr>
      </w:pPr>
      <w:r>
        <w:rPr>
          <w:highlight w:val="none"/>
        </w:rPr>
        <w:t>项目编号：</w:t>
      </w:r>
      <w:r>
        <w:rPr>
          <w:rFonts w:hint="eastAsia"/>
          <w:highlight w:val="none"/>
          <w:lang w:eastAsia="zh-CN"/>
        </w:rPr>
        <w:t>寰信-DX2025001</w:t>
      </w:r>
    </w:p>
    <w:p w14:paraId="23D25E55">
      <w:pPr>
        <w:tabs>
          <w:tab w:val="left" w:pos="567"/>
        </w:tabs>
        <w:rPr>
          <w:rFonts w:ascii="仿宋" w:hAnsi="仿宋" w:eastAsia="仿宋" w:cs="仿宋"/>
          <w:sz w:val="48"/>
          <w:highlight w:val="none"/>
        </w:rPr>
      </w:pPr>
    </w:p>
    <w:p w14:paraId="2A5A398A">
      <w:pPr>
        <w:tabs>
          <w:tab w:val="left" w:pos="567"/>
        </w:tabs>
        <w:rPr>
          <w:rFonts w:ascii="仿宋" w:hAnsi="仿宋" w:eastAsia="仿宋" w:cs="仿宋"/>
          <w:sz w:val="48"/>
          <w:highlight w:val="none"/>
        </w:rPr>
      </w:pPr>
    </w:p>
    <w:p w14:paraId="7D05909B">
      <w:pPr>
        <w:tabs>
          <w:tab w:val="left" w:pos="567"/>
        </w:tabs>
        <w:rPr>
          <w:rFonts w:ascii="仿宋" w:hAnsi="仿宋" w:eastAsia="仿宋" w:cs="仿宋"/>
          <w:sz w:val="48"/>
          <w:highlight w:val="none"/>
        </w:rPr>
      </w:pPr>
    </w:p>
    <w:p w14:paraId="01EE197A">
      <w:pPr>
        <w:tabs>
          <w:tab w:val="left" w:pos="567"/>
        </w:tabs>
        <w:rPr>
          <w:rFonts w:ascii="仿宋" w:hAnsi="仿宋" w:eastAsia="仿宋" w:cs="仿宋"/>
          <w:sz w:val="48"/>
          <w:highlight w:val="none"/>
        </w:rPr>
      </w:pPr>
    </w:p>
    <w:p w14:paraId="4155F2F0">
      <w:pPr>
        <w:tabs>
          <w:tab w:val="left" w:pos="567"/>
        </w:tabs>
        <w:rPr>
          <w:rFonts w:ascii="仿宋" w:hAnsi="仿宋" w:eastAsia="仿宋" w:cs="仿宋"/>
          <w:sz w:val="48"/>
          <w:highlight w:val="none"/>
        </w:rPr>
      </w:pPr>
    </w:p>
    <w:p w14:paraId="5F1A8EAC">
      <w:pPr>
        <w:pStyle w:val="38"/>
        <w:rPr>
          <w:rFonts w:hint="eastAsia" w:eastAsia="仿宋"/>
          <w:highlight w:val="none"/>
          <w:lang w:eastAsia="zh-CN"/>
        </w:rPr>
      </w:pPr>
      <w:r>
        <w:rPr>
          <w:rFonts w:hint="eastAsia"/>
          <w:highlight w:val="none"/>
          <w:lang w:eastAsia="zh-CN"/>
        </w:rPr>
        <w:t>江西寰信工程造价咨询有限责任公司</w:t>
      </w:r>
    </w:p>
    <w:p w14:paraId="3BB0D5C5">
      <w:pPr>
        <w:spacing w:line="480" w:lineRule="auto"/>
        <w:jc w:val="center"/>
        <w:rPr>
          <w:rFonts w:hint="default"/>
          <w:bCs/>
          <w:sz w:val="52"/>
          <w:highlight w:val="none"/>
        </w:rPr>
      </w:pPr>
      <w:r>
        <w:rPr>
          <w:rFonts w:hint="eastAsia" w:ascii="宋体" w:hAnsi="宋体" w:cs="宋体"/>
          <w:b/>
          <w:sz w:val="36"/>
          <w:highlight w:val="none"/>
        </w:rPr>
        <w:t xml:space="preserve">中国 </w:t>
      </w:r>
      <w:r>
        <w:rPr>
          <w:rFonts w:hint="eastAsia" w:ascii="宋体" w:hAnsi="宋体" w:cs="宋体"/>
          <w:b/>
          <w:sz w:val="24"/>
          <w:highlight w:val="none"/>
        </w:rPr>
        <w:t>.</w:t>
      </w:r>
      <w:r>
        <w:rPr>
          <w:rFonts w:hint="eastAsia" w:ascii="宋体" w:hAnsi="宋体" w:cs="宋体"/>
          <w:b/>
          <w:sz w:val="36"/>
          <w:highlight w:val="none"/>
        </w:rPr>
        <w:t xml:space="preserve"> 东乡</w:t>
      </w:r>
      <w:r>
        <w:rPr>
          <w:highlight w:val="none"/>
        </w:rPr>
        <w:br w:type="page"/>
      </w:r>
      <w:r>
        <w:rPr>
          <w:bCs/>
          <w:sz w:val="52"/>
          <w:highlight w:val="none"/>
        </w:rPr>
        <w:t>目录</w:t>
      </w:r>
    </w:p>
    <w:p w14:paraId="44B61C75">
      <w:pPr>
        <w:pStyle w:val="13"/>
        <w:tabs>
          <w:tab w:val="right" w:leader="dot" w:pos="9913"/>
        </w:tabs>
        <w:spacing w:line="320" w:lineRule="exact"/>
        <w:rPr>
          <w:rFonts w:ascii="仿宋" w:hAnsi="仿宋" w:cstheme="minorBidi"/>
          <w:szCs w:val="22"/>
          <w:highlight w:val="none"/>
        </w:rPr>
      </w:pPr>
      <w:r>
        <w:rPr>
          <w:rFonts w:hint="eastAsia" w:ascii="仿宋" w:hAnsi="仿宋" w:cs="仿宋"/>
          <w:b/>
          <w:highlight w:val="none"/>
          <w:shd w:val="pct10" w:color="auto" w:fill="FFFFFF"/>
        </w:rPr>
        <w:fldChar w:fldCharType="begin"/>
      </w:r>
      <w:r>
        <w:rPr>
          <w:rFonts w:hint="eastAsia" w:ascii="仿宋" w:hAnsi="仿宋" w:cs="仿宋"/>
          <w:b/>
          <w:highlight w:val="none"/>
          <w:shd w:val="pct10" w:color="auto" w:fill="FFFFFF"/>
        </w:rPr>
        <w:instrText xml:space="preserve"> TOC \o "1-3" \h \z \u </w:instrText>
      </w:r>
      <w:r>
        <w:rPr>
          <w:rFonts w:hint="eastAsia" w:ascii="仿宋" w:hAnsi="仿宋" w:cs="仿宋"/>
          <w:b/>
          <w:highlight w:val="none"/>
          <w:shd w:val="pct10" w:color="auto" w:fill="FFFFFF"/>
        </w:rPr>
        <w:fldChar w:fldCharType="separate"/>
      </w:r>
      <w:r>
        <w:rPr>
          <w:highlight w:val="none"/>
        </w:rPr>
        <w:fldChar w:fldCharType="begin"/>
      </w:r>
      <w:r>
        <w:rPr>
          <w:highlight w:val="none"/>
        </w:rPr>
        <w:instrText xml:space="preserve"> HYPERLINK \l "_Toc164674168" </w:instrText>
      </w:r>
      <w:r>
        <w:rPr>
          <w:highlight w:val="none"/>
        </w:rPr>
        <w:fldChar w:fldCharType="separate"/>
      </w:r>
      <w:r>
        <w:rPr>
          <w:rStyle w:val="28"/>
          <w:rFonts w:hint="eastAsia" w:ascii="仿宋" w:hAnsi="仿宋"/>
          <w:color w:val="auto"/>
          <w:highlight w:val="none"/>
        </w:rPr>
        <w:t>第一章</w:t>
      </w:r>
      <w:r>
        <w:rPr>
          <w:rStyle w:val="28"/>
          <w:rFonts w:ascii="仿宋" w:hAnsi="仿宋"/>
          <w:color w:val="auto"/>
          <w:highlight w:val="none"/>
        </w:rPr>
        <w:t xml:space="preserve">  </w:t>
      </w:r>
      <w:r>
        <w:rPr>
          <w:rStyle w:val="28"/>
          <w:rFonts w:hint="eastAsia" w:ascii="仿宋" w:hAnsi="仿宋"/>
          <w:color w:val="auto"/>
          <w:highlight w:val="none"/>
        </w:rPr>
        <w:t>谈判邀请</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_Toc164674168 \h </w:instrText>
      </w:r>
      <w:r>
        <w:rPr>
          <w:rFonts w:ascii="仿宋" w:hAnsi="仿宋"/>
          <w:highlight w:val="none"/>
        </w:rPr>
        <w:fldChar w:fldCharType="separate"/>
      </w:r>
      <w:r>
        <w:rPr>
          <w:rFonts w:ascii="仿宋" w:hAnsi="仿宋"/>
          <w:highlight w:val="none"/>
        </w:rPr>
        <w:t>2</w:t>
      </w:r>
      <w:r>
        <w:rPr>
          <w:rFonts w:ascii="仿宋" w:hAnsi="仿宋"/>
          <w:highlight w:val="none"/>
        </w:rPr>
        <w:fldChar w:fldCharType="end"/>
      </w:r>
      <w:r>
        <w:rPr>
          <w:rFonts w:ascii="仿宋" w:hAnsi="仿宋"/>
          <w:highlight w:val="none"/>
        </w:rPr>
        <w:fldChar w:fldCharType="end"/>
      </w:r>
    </w:p>
    <w:p w14:paraId="48AB2140">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"_Toc164674169" </w:instrText>
      </w:r>
      <w:r>
        <w:rPr>
          <w:highlight w:val="none"/>
        </w:rPr>
        <w:fldChar w:fldCharType="separate"/>
      </w:r>
      <w:r>
        <w:rPr>
          <w:rStyle w:val="28"/>
          <w:rFonts w:hint="eastAsia" w:ascii="仿宋" w:hAnsi="仿宋"/>
          <w:color w:val="auto"/>
          <w:highlight w:val="none"/>
        </w:rPr>
        <w:t>一、项目基本情况</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_Toc164674169 \h </w:instrText>
      </w:r>
      <w:r>
        <w:rPr>
          <w:rFonts w:ascii="仿宋" w:hAnsi="仿宋"/>
          <w:highlight w:val="none"/>
        </w:rPr>
        <w:fldChar w:fldCharType="separate"/>
      </w:r>
      <w:r>
        <w:rPr>
          <w:rFonts w:ascii="仿宋" w:hAnsi="仿宋"/>
          <w:highlight w:val="none"/>
        </w:rPr>
        <w:t>2</w:t>
      </w:r>
      <w:r>
        <w:rPr>
          <w:rFonts w:ascii="仿宋" w:hAnsi="仿宋"/>
          <w:highlight w:val="none"/>
        </w:rPr>
        <w:fldChar w:fldCharType="end"/>
      </w:r>
      <w:r>
        <w:rPr>
          <w:rFonts w:ascii="仿宋" w:hAnsi="仿宋"/>
          <w:highlight w:val="none"/>
        </w:rPr>
        <w:fldChar w:fldCharType="end"/>
      </w:r>
    </w:p>
    <w:p w14:paraId="7D44D199">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"_Toc164674170" </w:instrText>
      </w:r>
      <w:r>
        <w:rPr>
          <w:highlight w:val="none"/>
        </w:rPr>
        <w:fldChar w:fldCharType="separate"/>
      </w:r>
      <w:r>
        <w:rPr>
          <w:rStyle w:val="28"/>
          <w:rFonts w:hint="eastAsia" w:ascii="仿宋" w:hAnsi="仿宋"/>
          <w:color w:val="auto"/>
          <w:highlight w:val="none"/>
        </w:rPr>
        <w:t>二、申请人的资格要求</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_Toc164674170 \h </w:instrText>
      </w:r>
      <w:r>
        <w:rPr>
          <w:rFonts w:ascii="仿宋" w:hAnsi="仿宋"/>
          <w:highlight w:val="none"/>
        </w:rPr>
        <w:fldChar w:fldCharType="separate"/>
      </w:r>
      <w:r>
        <w:rPr>
          <w:rFonts w:ascii="仿宋" w:hAnsi="仿宋"/>
          <w:highlight w:val="none"/>
        </w:rPr>
        <w:t>2</w:t>
      </w:r>
      <w:r>
        <w:rPr>
          <w:rFonts w:ascii="仿宋" w:hAnsi="仿宋"/>
          <w:highlight w:val="none"/>
        </w:rPr>
        <w:fldChar w:fldCharType="end"/>
      </w:r>
      <w:r>
        <w:rPr>
          <w:rFonts w:ascii="仿宋" w:hAnsi="仿宋"/>
          <w:highlight w:val="none"/>
        </w:rPr>
        <w:fldChar w:fldCharType="end"/>
      </w:r>
    </w:p>
    <w:p w14:paraId="1500BEBB">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"_Toc164674171" </w:instrText>
      </w:r>
      <w:r>
        <w:rPr>
          <w:highlight w:val="none"/>
        </w:rPr>
        <w:fldChar w:fldCharType="separate"/>
      </w:r>
      <w:r>
        <w:rPr>
          <w:rStyle w:val="28"/>
          <w:rFonts w:hint="eastAsia" w:ascii="仿宋" w:hAnsi="仿宋"/>
          <w:color w:val="auto"/>
          <w:highlight w:val="none"/>
        </w:rPr>
        <w:t>三、竞争性谈判文件的获取时间：</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_Toc164674171 \h </w:instrText>
      </w:r>
      <w:r>
        <w:rPr>
          <w:rFonts w:ascii="仿宋" w:hAnsi="仿宋"/>
          <w:highlight w:val="none"/>
        </w:rPr>
        <w:fldChar w:fldCharType="separate"/>
      </w:r>
      <w:r>
        <w:rPr>
          <w:rFonts w:ascii="仿宋" w:hAnsi="仿宋"/>
          <w:highlight w:val="none"/>
        </w:rPr>
        <w:t>3</w:t>
      </w:r>
      <w:r>
        <w:rPr>
          <w:rFonts w:ascii="仿宋" w:hAnsi="仿宋"/>
          <w:highlight w:val="none"/>
        </w:rPr>
        <w:fldChar w:fldCharType="end"/>
      </w:r>
      <w:r>
        <w:rPr>
          <w:rFonts w:ascii="仿宋" w:hAnsi="仿宋"/>
          <w:highlight w:val="none"/>
        </w:rPr>
        <w:fldChar w:fldCharType="end"/>
      </w:r>
    </w:p>
    <w:p w14:paraId="02157F2B">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"_Toc164674172" </w:instrText>
      </w:r>
      <w:r>
        <w:rPr>
          <w:highlight w:val="none"/>
        </w:rPr>
        <w:fldChar w:fldCharType="separate"/>
      </w:r>
      <w:r>
        <w:rPr>
          <w:rStyle w:val="28"/>
          <w:rFonts w:hint="eastAsia" w:ascii="仿宋" w:hAnsi="仿宋"/>
          <w:color w:val="auto"/>
          <w:highlight w:val="none"/>
        </w:rPr>
        <w:t>四、提交响应文件截止时间、谈判时间和地点：</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_Toc164674172 \h </w:instrText>
      </w:r>
      <w:r>
        <w:rPr>
          <w:rFonts w:ascii="仿宋" w:hAnsi="仿宋"/>
          <w:highlight w:val="none"/>
        </w:rPr>
        <w:fldChar w:fldCharType="separate"/>
      </w:r>
      <w:r>
        <w:rPr>
          <w:rFonts w:ascii="仿宋" w:hAnsi="仿宋"/>
          <w:highlight w:val="none"/>
        </w:rPr>
        <w:t>3</w:t>
      </w:r>
      <w:r>
        <w:rPr>
          <w:rFonts w:ascii="仿宋" w:hAnsi="仿宋"/>
          <w:highlight w:val="none"/>
        </w:rPr>
        <w:fldChar w:fldCharType="end"/>
      </w:r>
      <w:r>
        <w:rPr>
          <w:rFonts w:ascii="仿宋" w:hAnsi="仿宋"/>
          <w:highlight w:val="none"/>
        </w:rPr>
        <w:fldChar w:fldCharType="end"/>
      </w:r>
    </w:p>
    <w:p w14:paraId="2EA87D33">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"_Toc164674173" </w:instrText>
      </w:r>
      <w:r>
        <w:rPr>
          <w:highlight w:val="none"/>
        </w:rPr>
        <w:fldChar w:fldCharType="separate"/>
      </w:r>
      <w:r>
        <w:rPr>
          <w:rStyle w:val="28"/>
          <w:rFonts w:hint="eastAsia" w:ascii="仿宋" w:hAnsi="仿宋"/>
          <w:color w:val="auto"/>
          <w:highlight w:val="none"/>
        </w:rPr>
        <w:t>五、公告期限</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_Toc164674173 \h </w:instrText>
      </w:r>
      <w:r>
        <w:rPr>
          <w:rFonts w:ascii="仿宋" w:hAnsi="仿宋"/>
          <w:highlight w:val="none"/>
        </w:rPr>
        <w:fldChar w:fldCharType="separate"/>
      </w:r>
      <w:r>
        <w:rPr>
          <w:rFonts w:ascii="仿宋" w:hAnsi="仿宋"/>
          <w:highlight w:val="none"/>
        </w:rPr>
        <w:t>3</w:t>
      </w:r>
      <w:r>
        <w:rPr>
          <w:rFonts w:ascii="仿宋" w:hAnsi="仿宋"/>
          <w:highlight w:val="none"/>
        </w:rPr>
        <w:fldChar w:fldCharType="end"/>
      </w:r>
      <w:r>
        <w:rPr>
          <w:rFonts w:ascii="仿宋" w:hAnsi="仿宋"/>
          <w:highlight w:val="none"/>
        </w:rPr>
        <w:fldChar w:fldCharType="end"/>
      </w:r>
    </w:p>
    <w:p w14:paraId="248A7634">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"_Toc164674174" </w:instrText>
      </w:r>
      <w:r>
        <w:rPr>
          <w:highlight w:val="none"/>
        </w:rPr>
        <w:fldChar w:fldCharType="separate"/>
      </w:r>
      <w:r>
        <w:rPr>
          <w:rStyle w:val="28"/>
          <w:rFonts w:hint="eastAsia" w:ascii="仿宋" w:hAnsi="仿宋"/>
          <w:color w:val="auto"/>
          <w:highlight w:val="none"/>
        </w:rPr>
        <w:t>六、对本次采购提出询问，请按以下方式联系</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_Toc164674174 \h </w:instrText>
      </w:r>
      <w:r>
        <w:rPr>
          <w:rFonts w:ascii="仿宋" w:hAnsi="仿宋"/>
          <w:highlight w:val="none"/>
        </w:rPr>
        <w:fldChar w:fldCharType="separate"/>
      </w:r>
      <w:r>
        <w:rPr>
          <w:rFonts w:ascii="仿宋" w:hAnsi="仿宋"/>
          <w:highlight w:val="none"/>
        </w:rPr>
        <w:t>3</w:t>
      </w:r>
      <w:r>
        <w:rPr>
          <w:rFonts w:ascii="仿宋" w:hAnsi="仿宋"/>
          <w:highlight w:val="none"/>
        </w:rPr>
        <w:fldChar w:fldCharType="end"/>
      </w:r>
      <w:r>
        <w:rPr>
          <w:rFonts w:ascii="仿宋" w:hAnsi="仿宋"/>
          <w:highlight w:val="none"/>
        </w:rPr>
        <w:fldChar w:fldCharType="end"/>
      </w:r>
    </w:p>
    <w:p w14:paraId="1165CF37">
      <w:pPr>
        <w:pStyle w:val="13"/>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"_Toc164674175" </w:instrText>
      </w:r>
      <w:r>
        <w:rPr>
          <w:highlight w:val="none"/>
        </w:rPr>
        <w:fldChar w:fldCharType="separate"/>
      </w:r>
      <w:r>
        <w:rPr>
          <w:rStyle w:val="28"/>
          <w:rFonts w:hint="eastAsia" w:ascii="仿宋" w:hAnsi="仿宋"/>
          <w:color w:val="auto"/>
          <w:highlight w:val="none"/>
        </w:rPr>
        <w:t>第二章</w:t>
      </w:r>
      <w:r>
        <w:rPr>
          <w:rStyle w:val="28"/>
          <w:rFonts w:ascii="仿宋" w:hAnsi="仿宋"/>
          <w:color w:val="auto"/>
          <w:highlight w:val="none"/>
        </w:rPr>
        <w:t xml:space="preserve">  </w:t>
      </w:r>
      <w:r>
        <w:rPr>
          <w:rStyle w:val="28"/>
          <w:rFonts w:hint="eastAsia" w:ascii="仿宋" w:hAnsi="仿宋"/>
          <w:color w:val="auto"/>
          <w:highlight w:val="none"/>
        </w:rPr>
        <w:t>供应商须知</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_Toc164674175 \h </w:instrText>
      </w:r>
      <w:r>
        <w:rPr>
          <w:rFonts w:ascii="仿宋" w:hAnsi="仿宋"/>
          <w:highlight w:val="none"/>
        </w:rPr>
        <w:fldChar w:fldCharType="separate"/>
      </w:r>
      <w:r>
        <w:rPr>
          <w:rFonts w:ascii="仿宋" w:hAnsi="仿宋"/>
          <w:highlight w:val="none"/>
        </w:rPr>
        <w:t>5</w:t>
      </w:r>
      <w:r>
        <w:rPr>
          <w:rFonts w:ascii="仿宋" w:hAnsi="仿宋"/>
          <w:highlight w:val="none"/>
        </w:rPr>
        <w:fldChar w:fldCharType="end"/>
      </w:r>
      <w:r>
        <w:rPr>
          <w:rFonts w:ascii="仿宋" w:hAnsi="仿宋"/>
          <w:highlight w:val="none"/>
        </w:rPr>
        <w:fldChar w:fldCharType="end"/>
      </w:r>
    </w:p>
    <w:p w14:paraId="2D69E1F5">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"_Toc164674176" </w:instrText>
      </w:r>
      <w:r>
        <w:rPr>
          <w:highlight w:val="none"/>
        </w:rPr>
        <w:fldChar w:fldCharType="separate"/>
      </w:r>
      <w:r>
        <w:rPr>
          <w:rStyle w:val="28"/>
          <w:rFonts w:hint="eastAsia" w:ascii="仿宋" w:hAnsi="仿宋"/>
          <w:color w:val="auto"/>
          <w:highlight w:val="none"/>
        </w:rPr>
        <w:t>一、供应商须知前附表</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_Toc164674176 \h </w:instrText>
      </w:r>
      <w:r>
        <w:rPr>
          <w:rFonts w:ascii="仿宋" w:hAnsi="仿宋"/>
          <w:highlight w:val="none"/>
        </w:rPr>
        <w:fldChar w:fldCharType="separate"/>
      </w:r>
      <w:r>
        <w:rPr>
          <w:rFonts w:ascii="仿宋" w:hAnsi="仿宋"/>
          <w:highlight w:val="none"/>
        </w:rPr>
        <w:t>5</w:t>
      </w:r>
      <w:r>
        <w:rPr>
          <w:rFonts w:ascii="仿宋" w:hAnsi="仿宋"/>
          <w:highlight w:val="none"/>
        </w:rPr>
        <w:fldChar w:fldCharType="end"/>
      </w:r>
      <w:r>
        <w:rPr>
          <w:rFonts w:ascii="仿宋" w:hAnsi="仿宋"/>
          <w:highlight w:val="none"/>
        </w:rPr>
        <w:fldChar w:fldCharType="end"/>
      </w:r>
    </w:p>
    <w:p w14:paraId="3463E91E">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"_Toc164674177" </w:instrText>
      </w:r>
      <w:r>
        <w:rPr>
          <w:highlight w:val="none"/>
        </w:rPr>
        <w:fldChar w:fldCharType="separate"/>
      </w:r>
      <w:r>
        <w:rPr>
          <w:rStyle w:val="28"/>
          <w:rFonts w:hint="eastAsia" w:ascii="仿宋" w:hAnsi="仿宋"/>
          <w:color w:val="auto"/>
          <w:highlight w:val="none"/>
        </w:rPr>
        <w:t>二、说明</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_Toc164674177 \h </w:instrText>
      </w:r>
      <w:r>
        <w:rPr>
          <w:rFonts w:ascii="仿宋" w:hAnsi="仿宋"/>
          <w:highlight w:val="none"/>
        </w:rPr>
        <w:fldChar w:fldCharType="separate"/>
      </w:r>
      <w:r>
        <w:rPr>
          <w:rFonts w:ascii="仿宋" w:hAnsi="仿宋"/>
          <w:highlight w:val="none"/>
        </w:rPr>
        <w:t>7</w:t>
      </w:r>
      <w:r>
        <w:rPr>
          <w:rFonts w:ascii="仿宋" w:hAnsi="仿宋"/>
          <w:highlight w:val="none"/>
        </w:rPr>
        <w:fldChar w:fldCharType="end"/>
      </w:r>
      <w:r>
        <w:rPr>
          <w:rFonts w:ascii="仿宋" w:hAnsi="仿宋"/>
          <w:highlight w:val="none"/>
        </w:rPr>
        <w:fldChar w:fldCharType="end"/>
      </w:r>
    </w:p>
    <w:p w14:paraId="4897D4CB">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"_Toc164674178" </w:instrText>
      </w:r>
      <w:r>
        <w:rPr>
          <w:highlight w:val="none"/>
        </w:rPr>
        <w:fldChar w:fldCharType="separate"/>
      </w:r>
      <w:r>
        <w:rPr>
          <w:rStyle w:val="28"/>
          <w:rFonts w:hint="eastAsia" w:ascii="仿宋" w:hAnsi="仿宋"/>
          <w:color w:val="auto"/>
          <w:highlight w:val="none"/>
        </w:rPr>
        <w:t>三、谈判文件</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_Toc164674178 \h </w:instrText>
      </w:r>
      <w:r>
        <w:rPr>
          <w:rFonts w:ascii="仿宋" w:hAnsi="仿宋"/>
          <w:highlight w:val="none"/>
        </w:rPr>
        <w:fldChar w:fldCharType="separate"/>
      </w:r>
      <w:r>
        <w:rPr>
          <w:rFonts w:ascii="仿宋" w:hAnsi="仿宋"/>
          <w:highlight w:val="none"/>
        </w:rPr>
        <w:t>8</w:t>
      </w:r>
      <w:r>
        <w:rPr>
          <w:rFonts w:ascii="仿宋" w:hAnsi="仿宋"/>
          <w:highlight w:val="none"/>
        </w:rPr>
        <w:fldChar w:fldCharType="end"/>
      </w:r>
      <w:r>
        <w:rPr>
          <w:rFonts w:ascii="仿宋" w:hAnsi="仿宋"/>
          <w:highlight w:val="none"/>
        </w:rPr>
        <w:fldChar w:fldCharType="end"/>
      </w:r>
    </w:p>
    <w:p w14:paraId="3AEB38CB">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"_Toc164674179" </w:instrText>
      </w:r>
      <w:r>
        <w:rPr>
          <w:highlight w:val="none"/>
        </w:rPr>
        <w:fldChar w:fldCharType="separate"/>
      </w:r>
      <w:r>
        <w:rPr>
          <w:rStyle w:val="28"/>
          <w:rFonts w:hint="eastAsia" w:ascii="仿宋" w:hAnsi="仿宋"/>
          <w:color w:val="auto"/>
          <w:highlight w:val="none"/>
        </w:rPr>
        <w:t>四、响应文件的编制</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_Toc164674179 \h </w:instrText>
      </w:r>
      <w:r>
        <w:rPr>
          <w:rFonts w:ascii="仿宋" w:hAnsi="仿宋"/>
          <w:highlight w:val="none"/>
        </w:rPr>
        <w:fldChar w:fldCharType="separate"/>
      </w:r>
      <w:r>
        <w:rPr>
          <w:rFonts w:ascii="仿宋" w:hAnsi="仿宋"/>
          <w:highlight w:val="none"/>
        </w:rPr>
        <w:t>11</w:t>
      </w:r>
      <w:r>
        <w:rPr>
          <w:rFonts w:ascii="仿宋" w:hAnsi="仿宋"/>
          <w:highlight w:val="none"/>
        </w:rPr>
        <w:fldChar w:fldCharType="end"/>
      </w:r>
      <w:r>
        <w:rPr>
          <w:rFonts w:ascii="仿宋" w:hAnsi="仿宋"/>
          <w:highlight w:val="none"/>
        </w:rPr>
        <w:fldChar w:fldCharType="end"/>
      </w:r>
    </w:p>
    <w:p w14:paraId="7773F0C8">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"_Toc164674180" </w:instrText>
      </w:r>
      <w:r>
        <w:rPr>
          <w:highlight w:val="none"/>
        </w:rPr>
        <w:fldChar w:fldCharType="separate"/>
      </w:r>
      <w:r>
        <w:rPr>
          <w:rStyle w:val="28"/>
          <w:rFonts w:hint="eastAsia" w:ascii="仿宋" w:hAnsi="仿宋"/>
          <w:color w:val="auto"/>
          <w:highlight w:val="none"/>
        </w:rPr>
        <w:t>五、响应文件的递交</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_Toc164674180 \h </w:instrText>
      </w:r>
      <w:r>
        <w:rPr>
          <w:rFonts w:ascii="仿宋" w:hAnsi="仿宋"/>
          <w:highlight w:val="none"/>
        </w:rPr>
        <w:fldChar w:fldCharType="separate"/>
      </w:r>
      <w:r>
        <w:rPr>
          <w:rFonts w:ascii="仿宋" w:hAnsi="仿宋"/>
          <w:highlight w:val="none"/>
        </w:rPr>
        <w:t>13</w:t>
      </w:r>
      <w:r>
        <w:rPr>
          <w:rFonts w:ascii="仿宋" w:hAnsi="仿宋"/>
          <w:highlight w:val="none"/>
        </w:rPr>
        <w:fldChar w:fldCharType="end"/>
      </w:r>
      <w:r>
        <w:rPr>
          <w:rFonts w:ascii="仿宋" w:hAnsi="仿宋"/>
          <w:highlight w:val="none"/>
        </w:rPr>
        <w:fldChar w:fldCharType="end"/>
      </w:r>
    </w:p>
    <w:p w14:paraId="2B1CCAE7">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"_Toc164674181" </w:instrText>
      </w:r>
      <w:r>
        <w:rPr>
          <w:highlight w:val="none"/>
        </w:rPr>
        <w:fldChar w:fldCharType="separate"/>
      </w:r>
      <w:r>
        <w:rPr>
          <w:rStyle w:val="28"/>
          <w:rFonts w:hint="eastAsia" w:ascii="仿宋" w:hAnsi="仿宋"/>
          <w:color w:val="auto"/>
          <w:highlight w:val="none"/>
        </w:rPr>
        <w:t>六、谈判</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_Toc164674181 \h </w:instrText>
      </w:r>
      <w:r>
        <w:rPr>
          <w:rFonts w:ascii="仿宋" w:hAnsi="仿宋"/>
          <w:highlight w:val="none"/>
        </w:rPr>
        <w:fldChar w:fldCharType="separate"/>
      </w:r>
      <w:r>
        <w:rPr>
          <w:rFonts w:ascii="仿宋" w:hAnsi="仿宋"/>
          <w:highlight w:val="none"/>
        </w:rPr>
        <w:t>13</w:t>
      </w:r>
      <w:r>
        <w:rPr>
          <w:rFonts w:ascii="仿宋" w:hAnsi="仿宋"/>
          <w:highlight w:val="none"/>
        </w:rPr>
        <w:fldChar w:fldCharType="end"/>
      </w:r>
      <w:r>
        <w:rPr>
          <w:rFonts w:ascii="仿宋" w:hAnsi="仿宋"/>
          <w:highlight w:val="none"/>
        </w:rPr>
        <w:fldChar w:fldCharType="end"/>
      </w:r>
    </w:p>
    <w:p w14:paraId="6622F2DC">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"_Toc164674182" </w:instrText>
      </w:r>
      <w:r>
        <w:rPr>
          <w:highlight w:val="none"/>
        </w:rPr>
        <w:fldChar w:fldCharType="separate"/>
      </w:r>
      <w:r>
        <w:rPr>
          <w:rStyle w:val="28"/>
          <w:rFonts w:hint="eastAsia" w:ascii="仿宋" w:hAnsi="仿宋"/>
          <w:color w:val="auto"/>
          <w:highlight w:val="none"/>
        </w:rPr>
        <w:t>七、推荐成交候选供应商、确定成交供应商</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_Toc164674182 \h </w:instrText>
      </w:r>
      <w:r>
        <w:rPr>
          <w:rFonts w:ascii="仿宋" w:hAnsi="仿宋"/>
          <w:highlight w:val="none"/>
        </w:rPr>
        <w:fldChar w:fldCharType="separate"/>
      </w:r>
      <w:r>
        <w:rPr>
          <w:rFonts w:ascii="仿宋" w:hAnsi="仿宋"/>
          <w:highlight w:val="none"/>
        </w:rPr>
        <w:t>16</w:t>
      </w:r>
      <w:r>
        <w:rPr>
          <w:rFonts w:ascii="仿宋" w:hAnsi="仿宋"/>
          <w:highlight w:val="none"/>
        </w:rPr>
        <w:fldChar w:fldCharType="end"/>
      </w:r>
      <w:r>
        <w:rPr>
          <w:rFonts w:ascii="仿宋" w:hAnsi="仿宋"/>
          <w:highlight w:val="none"/>
        </w:rPr>
        <w:fldChar w:fldCharType="end"/>
      </w:r>
    </w:p>
    <w:p w14:paraId="1009085C">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"_Toc164674183" </w:instrText>
      </w:r>
      <w:r>
        <w:rPr>
          <w:highlight w:val="none"/>
        </w:rPr>
        <w:fldChar w:fldCharType="separate"/>
      </w:r>
      <w:r>
        <w:rPr>
          <w:rStyle w:val="28"/>
          <w:rFonts w:hint="eastAsia" w:ascii="仿宋" w:hAnsi="仿宋"/>
          <w:color w:val="auto"/>
          <w:highlight w:val="none"/>
        </w:rPr>
        <w:t>八、成交结果公告、成交通知书</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_Toc164674183 \h </w:instrText>
      </w:r>
      <w:r>
        <w:rPr>
          <w:rFonts w:ascii="仿宋" w:hAnsi="仿宋"/>
          <w:highlight w:val="none"/>
        </w:rPr>
        <w:fldChar w:fldCharType="separate"/>
      </w:r>
      <w:r>
        <w:rPr>
          <w:rFonts w:ascii="仿宋" w:hAnsi="仿宋"/>
          <w:highlight w:val="none"/>
        </w:rPr>
        <w:t>16</w:t>
      </w:r>
      <w:r>
        <w:rPr>
          <w:rFonts w:ascii="仿宋" w:hAnsi="仿宋"/>
          <w:highlight w:val="none"/>
        </w:rPr>
        <w:fldChar w:fldCharType="end"/>
      </w:r>
      <w:r>
        <w:rPr>
          <w:rFonts w:ascii="仿宋" w:hAnsi="仿宋"/>
          <w:highlight w:val="none"/>
        </w:rPr>
        <w:fldChar w:fldCharType="end"/>
      </w:r>
    </w:p>
    <w:p w14:paraId="2B487B35">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"_Toc164674184" </w:instrText>
      </w:r>
      <w:r>
        <w:rPr>
          <w:highlight w:val="none"/>
        </w:rPr>
        <w:fldChar w:fldCharType="separate"/>
      </w:r>
      <w:r>
        <w:rPr>
          <w:rStyle w:val="28"/>
          <w:rFonts w:hint="eastAsia" w:ascii="仿宋" w:hAnsi="仿宋"/>
          <w:color w:val="auto"/>
          <w:highlight w:val="none"/>
        </w:rPr>
        <w:t>九、履约保证金、签订合同</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_Toc164674184 \h </w:instrText>
      </w:r>
      <w:r>
        <w:rPr>
          <w:rFonts w:ascii="仿宋" w:hAnsi="仿宋"/>
          <w:highlight w:val="none"/>
        </w:rPr>
        <w:fldChar w:fldCharType="separate"/>
      </w:r>
      <w:r>
        <w:rPr>
          <w:rFonts w:ascii="仿宋" w:hAnsi="仿宋"/>
          <w:highlight w:val="none"/>
        </w:rPr>
        <w:t>16</w:t>
      </w:r>
      <w:r>
        <w:rPr>
          <w:rFonts w:ascii="仿宋" w:hAnsi="仿宋"/>
          <w:highlight w:val="none"/>
        </w:rPr>
        <w:fldChar w:fldCharType="end"/>
      </w:r>
      <w:r>
        <w:rPr>
          <w:rFonts w:ascii="仿宋" w:hAnsi="仿宋"/>
          <w:highlight w:val="none"/>
        </w:rPr>
        <w:fldChar w:fldCharType="end"/>
      </w:r>
    </w:p>
    <w:p w14:paraId="452FABD9">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"_Toc164674185" </w:instrText>
      </w:r>
      <w:r>
        <w:rPr>
          <w:highlight w:val="none"/>
        </w:rPr>
        <w:fldChar w:fldCharType="separate"/>
      </w:r>
      <w:r>
        <w:rPr>
          <w:rStyle w:val="28"/>
          <w:rFonts w:hint="eastAsia" w:ascii="仿宋" w:hAnsi="仿宋"/>
          <w:color w:val="auto"/>
          <w:highlight w:val="none"/>
        </w:rPr>
        <w:t>十、询问和质疑</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_Toc164674185 \h </w:instrText>
      </w:r>
      <w:r>
        <w:rPr>
          <w:rFonts w:ascii="仿宋" w:hAnsi="仿宋"/>
          <w:highlight w:val="none"/>
        </w:rPr>
        <w:fldChar w:fldCharType="separate"/>
      </w:r>
      <w:r>
        <w:rPr>
          <w:rFonts w:ascii="仿宋" w:hAnsi="仿宋"/>
          <w:highlight w:val="none"/>
        </w:rPr>
        <w:t>17</w:t>
      </w:r>
      <w:r>
        <w:rPr>
          <w:rFonts w:ascii="仿宋" w:hAnsi="仿宋"/>
          <w:highlight w:val="none"/>
        </w:rPr>
        <w:fldChar w:fldCharType="end"/>
      </w:r>
      <w:r>
        <w:rPr>
          <w:rFonts w:ascii="仿宋" w:hAnsi="仿宋"/>
          <w:highlight w:val="none"/>
        </w:rPr>
        <w:fldChar w:fldCharType="end"/>
      </w:r>
    </w:p>
    <w:p w14:paraId="4A3B5A5F">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"_Toc164674186" </w:instrText>
      </w:r>
      <w:r>
        <w:rPr>
          <w:highlight w:val="none"/>
        </w:rPr>
        <w:fldChar w:fldCharType="separate"/>
      </w:r>
      <w:r>
        <w:rPr>
          <w:rStyle w:val="28"/>
          <w:rFonts w:hint="eastAsia" w:ascii="仿宋" w:hAnsi="仿宋"/>
          <w:color w:val="auto"/>
          <w:highlight w:val="none"/>
        </w:rPr>
        <w:t>十一、采购代理服务费</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_Toc164674186 \h </w:instrText>
      </w:r>
      <w:r>
        <w:rPr>
          <w:rFonts w:ascii="仿宋" w:hAnsi="仿宋"/>
          <w:highlight w:val="none"/>
        </w:rPr>
        <w:fldChar w:fldCharType="separate"/>
      </w:r>
      <w:r>
        <w:rPr>
          <w:rFonts w:ascii="仿宋" w:hAnsi="仿宋"/>
          <w:highlight w:val="none"/>
        </w:rPr>
        <w:t>18</w:t>
      </w:r>
      <w:r>
        <w:rPr>
          <w:rFonts w:ascii="仿宋" w:hAnsi="仿宋"/>
          <w:highlight w:val="none"/>
        </w:rPr>
        <w:fldChar w:fldCharType="end"/>
      </w:r>
      <w:r>
        <w:rPr>
          <w:rFonts w:ascii="仿宋" w:hAnsi="仿宋"/>
          <w:highlight w:val="none"/>
        </w:rPr>
        <w:fldChar w:fldCharType="end"/>
      </w:r>
    </w:p>
    <w:p w14:paraId="5F88D74C">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"_Toc164674187" </w:instrText>
      </w:r>
      <w:r>
        <w:rPr>
          <w:highlight w:val="none"/>
        </w:rPr>
        <w:fldChar w:fldCharType="separate"/>
      </w:r>
      <w:r>
        <w:rPr>
          <w:rStyle w:val="28"/>
          <w:rFonts w:hint="eastAsia" w:ascii="仿宋" w:hAnsi="仿宋"/>
          <w:color w:val="auto"/>
          <w:highlight w:val="none"/>
        </w:rPr>
        <w:t>十二、附则</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_Toc164674187 \h </w:instrText>
      </w:r>
      <w:r>
        <w:rPr>
          <w:rFonts w:ascii="仿宋" w:hAnsi="仿宋"/>
          <w:highlight w:val="none"/>
        </w:rPr>
        <w:fldChar w:fldCharType="separate"/>
      </w:r>
      <w:r>
        <w:rPr>
          <w:rFonts w:ascii="仿宋" w:hAnsi="仿宋"/>
          <w:highlight w:val="none"/>
        </w:rPr>
        <w:t>18</w:t>
      </w:r>
      <w:r>
        <w:rPr>
          <w:rFonts w:ascii="仿宋" w:hAnsi="仿宋"/>
          <w:highlight w:val="none"/>
        </w:rPr>
        <w:fldChar w:fldCharType="end"/>
      </w:r>
      <w:r>
        <w:rPr>
          <w:rFonts w:ascii="仿宋" w:hAnsi="仿宋"/>
          <w:highlight w:val="none"/>
        </w:rPr>
        <w:fldChar w:fldCharType="end"/>
      </w:r>
    </w:p>
    <w:p w14:paraId="20913809">
      <w:pPr>
        <w:pStyle w:val="13"/>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"_Toc164674188" </w:instrText>
      </w:r>
      <w:r>
        <w:rPr>
          <w:highlight w:val="none"/>
        </w:rPr>
        <w:fldChar w:fldCharType="separate"/>
      </w:r>
      <w:r>
        <w:rPr>
          <w:rStyle w:val="28"/>
          <w:rFonts w:hint="eastAsia" w:ascii="仿宋" w:hAnsi="仿宋"/>
          <w:color w:val="auto"/>
          <w:highlight w:val="none"/>
        </w:rPr>
        <w:t>第三章　拟签订的合同文本</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_Toc164674188 \h </w:instrText>
      </w:r>
      <w:r>
        <w:rPr>
          <w:rFonts w:ascii="仿宋" w:hAnsi="仿宋"/>
          <w:highlight w:val="none"/>
        </w:rPr>
        <w:fldChar w:fldCharType="separate"/>
      </w:r>
      <w:r>
        <w:rPr>
          <w:rFonts w:ascii="仿宋" w:hAnsi="仿宋"/>
          <w:highlight w:val="none"/>
        </w:rPr>
        <w:t>19</w:t>
      </w:r>
      <w:r>
        <w:rPr>
          <w:rFonts w:ascii="仿宋" w:hAnsi="仿宋"/>
          <w:highlight w:val="none"/>
        </w:rPr>
        <w:fldChar w:fldCharType="end"/>
      </w:r>
      <w:r>
        <w:rPr>
          <w:rFonts w:ascii="仿宋" w:hAnsi="仿宋"/>
          <w:highlight w:val="none"/>
        </w:rPr>
        <w:fldChar w:fldCharType="end"/>
      </w:r>
    </w:p>
    <w:p w14:paraId="542A9A80">
      <w:pPr>
        <w:pStyle w:val="13"/>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"_Toc164674189" </w:instrText>
      </w:r>
      <w:r>
        <w:rPr>
          <w:highlight w:val="none"/>
        </w:rPr>
        <w:fldChar w:fldCharType="separate"/>
      </w:r>
      <w:r>
        <w:rPr>
          <w:rStyle w:val="28"/>
          <w:rFonts w:hint="eastAsia" w:ascii="仿宋" w:hAnsi="仿宋"/>
          <w:color w:val="auto"/>
          <w:highlight w:val="none"/>
        </w:rPr>
        <w:t>第四章</w:t>
      </w:r>
      <w:r>
        <w:rPr>
          <w:rStyle w:val="28"/>
          <w:rFonts w:ascii="仿宋" w:hAnsi="仿宋"/>
          <w:color w:val="auto"/>
          <w:highlight w:val="none"/>
        </w:rPr>
        <w:t xml:space="preserve">  </w:t>
      </w:r>
      <w:r>
        <w:rPr>
          <w:rStyle w:val="28"/>
          <w:rFonts w:hint="eastAsia" w:ascii="仿宋" w:hAnsi="仿宋"/>
          <w:color w:val="auto"/>
          <w:highlight w:val="none"/>
        </w:rPr>
        <w:t>响应文件格式</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_Toc164674189 \h </w:instrText>
      </w:r>
      <w:r>
        <w:rPr>
          <w:rFonts w:ascii="仿宋" w:hAnsi="仿宋"/>
          <w:highlight w:val="none"/>
        </w:rPr>
        <w:fldChar w:fldCharType="separate"/>
      </w:r>
      <w:r>
        <w:rPr>
          <w:rFonts w:ascii="仿宋" w:hAnsi="仿宋"/>
          <w:highlight w:val="none"/>
        </w:rPr>
        <w:t>23</w:t>
      </w:r>
      <w:r>
        <w:rPr>
          <w:rFonts w:ascii="仿宋" w:hAnsi="仿宋"/>
          <w:highlight w:val="none"/>
        </w:rPr>
        <w:fldChar w:fldCharType="end"/>
      </w:r>
      <w:r>
        <w:rPr>
          <w:rFonts w:ascii="仿宋" w:hAnsi="仿宋"/>
          <w:highlight w:val="none"/>
        </w:rPr>
        <w:fldChar w:fldCharType="end"/>
      </w:r>
    </w:p>
    <w:p w14:paraId="09CC9E69">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"_Toc164674190" </w:instrText>
      </w:r>
      <w:r>
        <w:rPr>
          <w:highlight w:val="none"/>
        </w:rPr>
        <w:fldChar w:fldCharType="separate"/>
      </w:r>
      <w:r>
        <w:rPr>
          <w:rStyle w:val="28"/>
          <w:rFonts w:hint="eastAsia" w:ascii="仿宋" w:hAnsi="仿宋"/>
          <w:color w:val="auto"/>
          <w:highlight w:val="none"/>
        </w:rPr>
        <w:t>格式</w:t>
      </w:r>
      <w:r>
        <w:rPr>
          <w:rStyle w:val="28"/>
          <w:rFonts w:ascii="仿宋" w:hAnsi="仿宋"/>
          <w:color w:val="auto"/>
          <w:highlight w:val="none"/>
        </w:rPr>
        <w:t xml:space="preserve">1. </w:t>
      </w:r>
      <w:r>
        <w:rPr>
          <w:rStyle w:val="28"/>
          <w:rFonts w:hint="eastAsia" w:ascii="仿宋" w:hAnsi="仿宋"/>
          <w:color w:val="auto"/>
          <w:highlight w:val="none"/>
        </w:rPr>
        <w:t>谈判响应书</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_Toc164674190 \h </w:instrText>
      </w:r>
      <w:r>
        <w:rPr>
          <w:rFonts w:ascii="仿宋" w:hAnsi="仿宋"/>
          <w:highlight w:val="none"/>
        </w:rPr>
        <w:fldChar w:fldCharType="separate"/>
      </w:r>
      <w:r>
        <w:rPr>
          <w:rFonts w:ascii="仿宋" w:hAnsi="仿宋"/>
          <w:highlight w:val="none"/>
        </w:rPr>
        <w:t>24</w:t>
      </w:r>
      <w:r>
        <w:rPr>
          <w:rFonts w:ascii="仿宋" w:hAnsi="仿宋"/>
          <w:highlight w:val="none"/>
        </w:rPr>
        <w:fldChar w:fldCharType="end"/>
      </w:r>
      <w:r>
        <w:rPr>
          <w:rFonts w:ascii="仿宋" w:hAnsi="仿宋"/>
          <w:highlight w:val="none"/>
        </w:rPr>
        <w:fldChar w:fldCharType="end"/>
      </w:r>
    </w:p>
    <w:p w14:paraId="279A1B42">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"_Toc164674191" </w:instrText>
      </w:r>
      <w:r>
        <w:rPr>
          <w:highlight w:val="none"/>
        </w:rPr>
        <w:fldChar w:fldCharType="separate"/>
      </w:r>
      <w:r>
        <w:rPr>
          <w:rStyle w:val="28"/>
          <w:rFonts w:hint="eastAsia" w:ascii="仿宋" w:hAnsi="仿宋"/>
          <w:color w:val="auto"/>
          <w:highlight w:val="none"/>
        </w:rPr>
        <w:t>格式</w:t>
      </w:r>
      <w:r>
        <w:rPr>
          <w:rStyle w:val="28"/>
          <w:rFonts w:ascii="仿宋" w:hAnsi="仿宋"/>
          <w:color w:val="auto"/>
          <w:highlight w:val="none"/>
        </w:rPr>
        <w:t>2</w:t>
      </w:r>
      <w:r>
        <w:rPr>
          <w:rStyle w:val="28"/>
          <w:rFonts w:hint="eastAsia" w:ascii="仿宋" w:hAnsi="仿宋"/>
          <w:color w:val="auto"/>
          <w:highlight w:val="none"/>
        </w:rPr>
        <w:t>．报价表</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_Toc164674191 \h </w:instrText>
      </w:r>
      <w:r>
        <w:rPr>
          <w:rFonts w:ascii="仿宋" w:hAnsi="仿宋"/>
          <w:highlight w:val="none"/>
        </w:rPr>
        <w:fldChar w:fldCharType="separate"/>
      </w:r>
      <w:r>
        <w:rPr>
          <w:rFonts w:ascii="仿宋" w:hAnsi="仿宋"/>
          <w:highlight w:val="none"/>
        </w:rPr>
        <w:t>25</w:t>
      </w:r>
      <w:r>
        <w:rPr>
          <w:rFonts w:ascii="仿宋" w:hAnsi="仿宋"/>
          <w:highlight w:val="none"/>
        </w:rPr>
        <w:fldChar w:fldCharType="end"/>
      </w:r>
      <w:r>
        <w:rPr>
          <w:rFonts w:ascii="仿宋" w:hAnsi="仿宋"/>
          <w:highlight w:val="none"/>
        </w:rPr>
        <w:fldChar w:fldCharType="end"/>
      </w:r>
    </w:p>
    <w:p w14:paraId="6444A8B2">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"_Toc164674192" </w:instrText>
      </w:r>
      <w:r>
        <w:rPr>
          <w:highlight w:val="none"/>
        </w:rPr>
        <w:fldChar w:fldCharType="separate"/>
      </w:r>
      <w:r>
        <w:rPr>
          <w:rStyle w:val="28"/>
          <w:rFonts w:hint="eastAsia" w:ascii="仿宋" w:hAnsi="仿宋"/>
          <w:color w:val="auto"/>
          <w:highlight w:val="none"/>
        </w:rPr>
        <w:t>格式</w:t>
      </w:r>
      <w:r>
        <w:rPr>
          <w:rStyle w:val="28"/>
          <w:rFonts w:ascii="仿宋" w:hAnsi="仿宋"/>
          <w:color w:val="auto"/>
          <w:highlight w:val="none"/>
        </w:rPr>
        <w:t>3</w:t>
      </w:r>
      <w:r>
        <w:rPr>
          <w:rStyle w:val="28"/>
          <w:rFonts w:hint="eastAsia" w:ascii="仿宋" w:hAnsi="仿宋"/>
          <w:color w:val="auto"/>
          <w:highlight w:val="none"/>
        </w:rPr>
        <w:t>．分项报价表</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_Toc164674192 \h </w:instrText>
      </w:r>
      <w:r>
        <w:rPr>
          <w:rFonts w:ascii="仿宋" w:hAnsi="仿宋"/>
          <w:highlight w:val="none"/>
        </w:rPr>
        <w:fldChar w:fldCharType="separate"/>
      </w:r>
      <w:r>
        <w:rPr>
          <w:rFonts w:ascii="仿宋" w:hAnsi="仿宋"/>
          <w:highlight w:val="none"/>
        </w:rPr>
        <w:t>26</w:t>
      </w:r>
      <w:r>
        <w:rPr>
          <w:rFonts w:ascii="仿宋" w:hAnsi="仿宋"/>
          <w:highlight w:val="none"/>
        </w:rPr>
        <w:fldChar w:fldCharType="end"/>
      </w:r>
      <w:r>
        <w:rPr>
          <w:rFonts w:ascii="仿宋" w:hAnsi="仿宋"/>
          <w:highlight w:val="none"/>
        </w:rPr>
        <w:fldChar w:fldCharType="end"/>
      </w:r>
    </w:p>
    <w:p w14:paraId="6088B5A3">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"_Toc164674193" </w:instrText>
      </w:r>
      <w:r>
        <w:rPr>
          <w:highlight w:val="none"/>
        </w:rPr>
        <w:fldChar w:fldCharType="separate"/>
      </w:r>
      <w:r>
        <w:rPr>
          <w:rStyle w:val="28"/>
          <w:rFonts w:hint="eastAsia" w:ascii="仿宋" w:hAnsi="仿宋"/>
          <w:color w:val="auto"/>
          <w:highlight w:val="none"/>
        </w:rPr>
        <w:t>格式</w:t>
      </w:r>
      <w:r>
        <w:rPr>
          <w:rStyle w:val="28"/>
          <w:rFonts w:ascii="仿宋" w:hAnsi="仿宋"/>
          <w:color w:val="auto"/>
          <w:highlight w:val="none"/>
        </w:rPr>
        <w:t xml:space="preserve">4. </w:t>
      </w:r>
      <w:r>
        <w:rPr>
          <w:rStyle w:val="28"/>
          <w:rFonts w:hint="eastAsia" w:ascii="仿宋" w:hAnsi="仿宋"/>
          <w:color w:val="auto"/>
          <w:highlight w:val="none"/>
        </w:rPr>
        <w:t>技术规格响应/偏离表</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_Toc164674193 \h </w:instrText>
      </w:r>
      <w:r>
        <w:rPr>
          <w:rFonts w:ascii="仿宋" w:hAnsi="仿宋"/>
          <w:highlight w:val="none"/>
        </w:rPr>
        <w:fldChar w:fldCharType="separate"/>
      </w:r>
      <w:r>
        <w:rPr>
          <w:rFonts w:ascii="仿宋" w:hAnsi="仿宋"/>
          <w:highlight w:val="none"/>
        </w:rPr>
        <w:t>27</w:t>
      </w:r>
      <w:r>
        <w:rPr>
          <w:rFonts w:ascii="仿宋" w:hAnsi="仿宋"/>
          <w:highlight w:val="none"/>
        </w:rPr>
        <w:fldChar w:fldCharType="end"/>
      </w:r>
      <w:r>
        <w:rPr>
          <w:rFonts w:ascii="仿宋" w:hAnsi="仿宋"/>
          <w:highlight w:val="none"/>
        </w:rPr>
        <w:fldChar w:fldCharType="end"/>
      </w:r>
    </w:p>
    <w:p w14:paraId="72019744">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"_Toc164674194" </w:instrText>
      </w:r>
      <w:r>
        <w:rPr>
          <w:highlight w:val="none"/>
        </w:rPr>
        <w:fldChar w:fldCharType="separate"/>
      </w:r>
      <w:r>
        <w:rPr>
          <w:rStyle w:val="28"/>
          <w:rFonts w:hint="eastAsia" w:ascii="仿宋" w:hAnsi="仿宋"/>
          <w:color w:val="auto"/>
          <w:highlight w:val="none"/>
        </w:rPr>
        <w:t>格式</w:t>
      </w:r>
      <w:r>
        <w:rPr>
          <w:rStyle w:val="28"/>
          <w:rFonts w:ascii="仿宋" w:hAnsi="仿宋"/>
          <w:color w:val="auto"/>
          <w:highlight w:val="none"/>
        </w:rPr>
        <w:t xml:space="preserve">5. </w:t>
      </w:r>
      <w:r>
        <w:rPr>
          <w:rStyle w:val="28"/>
          <w:rFonts w:hint="eastAsia" w:ascii="仿宋" w:hAnsi="仿宋"/>
          <w:color w:val="auto"/>
          <w:highlight w:val="none"/>
        </w:rPr>
        <w:t>商务要求响应</w:t>
      </w:r>
      <w:r>
        <w:rPr>
          <w:rStyle w:val="28"/>
          <w:rFonts w:ascii="仿宋" w:hAnsi="仿宋"/>
          <w:color w:val="auto"/>
          <w:highlight w:val="none"/>
        </w:rPr>
        <w:t>/</w:t>
      </w:r>
      <w:r>
        <w:rPr>
          <w:rStyle w:val="28"/>
          <w:rFonts w:hint="eastAsia" w:ascii="仿宋" w:hAnsi="仿宋"/>
          <w:color w:val="auto"/>
          <w:highlight w:val="none"/>
        </w:rPr>
        <w:t>偏离表</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_Toc164674194 \h </w:instrText>
      </w:r>
      <w:r>
        <w:rPr>
          <w:rFonts w:ascii="仿宋" w:hAnsi="仿宋"/>
          <w:highlight w:val="none"/>
        </w:rPr>
        <w:fldChar w:fldCharType="separate"/>
      </w:r>
      <w:r>
        <w:rPr>
          <w:rFonts w:ascii="仿宋" w:hAnsi="仿宋"/>
          <w:highlight w:val="none"/>
        </w:rPr>
        <w:t>28</w:t>
      </w:r>
      <w:r>
        <w:rPr>
          <w:rFonts w:ascii="仿宋" w:hAnsi="仿宋"/>
          <w:highlight w:val="none"/>
        </w:rPr>
        <w:fldChar w:fldCharType="end"/>
      </w:r>
      <w:r>
        <w:rPr>
          <w:rFonts w:ascii="仿宋" w:hAnsi="仿宋"/>
          <w:highlight w:val="none"/>
        </w:rPr>
        <w:fldChar w:fldCharType="end"/>
      </w:r>
    </w:p>
    <w:p w14:paraId="4DC3D5C6">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"_Toc164674195" </w:instrText>
      </w:r>
      <w:r>
        <w:rPr>
          <w:highlight w:val="none"/>
        </w:rPr>
        <w:fldChar w:fldCharType="separate"/>
      </w:r>
      <w:r>
        <w:rPr>
          <w:rStyle w:val="28"/>
          <w:rFonts w:ascii="仿宋" w:hAnsi="仿宋"/>
          <w:color w:val="auto"/>
          <w:highlight w:val="none"/>
        </w:rPr>
        <w:t xml:space="preserve">6. </w:t>
      </w:r>
      <w:r>
        <w:rPr>
          <w:rStyle w:val="28"/>
          <w:rFonts w:hint="eastAsia" w:ascii="仿宋" w:hAnsi="仿宋"/>
          <w:color w:val="auto"/>
          <w:highlight w:val="none"/>
        </w:rPr>
        <w:t>其他证明资料</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_Toc164674195 \h </w:instrText>
      </w:r>
      <w:r>
        <w:rPr>
          <w:rFonts w:ascii="仿宋" w:hAnsi="仿宋"/>
          <w:highlight w:val="none"/>
        </w:rPr>
        <w:fldChar w:fldCharType="separate"/>
      </w:r>
      <w:r>
        <w:rPr>
          <w:rFonts w:ascii="仿宋" w:hAnsi="仿宋"/>
          <w:highlight w:val="none"/>
        </w:rPr>
        <w:t>29</w:t>
      </w:r>
      <w:r>
        <w:rPr>
          <w:rFonts w:ascii="仿宋" w:hAnsi="仿宋"/>
          <w:highlight w:val="none"/>
        </w:rPr>
        <w:fldChar w:fldCharType="end"/>
      </w:r>
      <w:r>
        <w:rPr>
          <w:rFonts w:ascii="仿宋" w:hAnsi="仿宋"/>
          <w:highlight w:val="none"/>
        </w:rPr>
        <w:fldChar w:fldCharType="end"/>
      </w:r>
    </w:p>
    <w:p w14:paraId="6048EBCC">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"_Toc164674196" </w:instrText>
      </w:r>
      <w:r>
        <w:rPr>
          <w:highlight w:val="none"/>
        </w:rPr>
        <w:fldChar w:fldCharType="separate"/>
      </w:r>
      <w:r>
        <w:rPr>
          <w:rStyle w:val="28"/>
          <w:rFonts w:ascii="仿宋" w:hAnsi="仿宋"/>
          <w:color w:val="auto"/>
          <w:highlight w:val="none"/>
        </w:rPr>
        <w:t xml:space="preserve">7. </w:t>
      </w:r>
      <w:r>
        <w:rPr>
          <w:rStyle w:val="28"/>
          <w:rFonts w:hint="eastAsia" w:ascii="仿宋" w:hAnsi="仿宋"/>
          <w:color w:val="auto"/>
          <w:highlight w:val="none"/>
        </w:rPr>
        <w:t>技术文件</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_Toc164674196 \h </w:instrText>
      </w:r>
      <w:r>
        <w:rPr>
          <w:rFonts w:ascii="仿宋" w:hAnsi="仿宋"/>
          <w:highlight w:val="none"/>
        </w:rPr>
        <w:fldChar w:fldCharType="separate"/>
      </w:r>
      <w:r>
        <w:rPr>
          <w:rFonts w:ascii="仿宋" w:hAnsi="仿宋"/>
          <w:highlight w:val="none"/>
        </w:rPr>
        <w:t>30</w:t>
      </w:r>
      <w:r>
        <w:rPr>
          <w:rFonts w:ascii="仿宋" w:hAnsi="仿宋"/>
          <w:highlight w:val="none"/>
        </w:rPr>
        <w:fldChar w:fldCharType="end"/>
      </w:r>
      <w:r>
        <w:rPr>
          <w:rFonts w:ascii="仿宋" w:hAnsi="仿宋"/>
          <w:highlight w:val="none"/>
        </w:rPr>
        <w:fldChar w:fldCharType="end"/>
      </w:r>
    </w:p>
    <w:p w14:paraId="11EA7A1F">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"_Toc164674197" </w:instrText>
      </w:r>
      <w:r>
        <w:rPr>
          <w:highlight w:val="none"/>
        </w:rPr>
        <w:fldChar w:fldCharType="separate"/>
      </w:r>
      <w:r>
        <w:rPr>
          <w:rStyle w:val="28"/>
          <w:rFonts w:ascii="仿宋" w:hAnsi="仿宋"/>
          <w:color w:val="auto"/>
          <w:highlight w:val="none"/>
        </w:rPr>
        <w:t xml:space="preserve">8. </w:t>
      </w:r>
      <w:r>
        <w:rPr>
          <w:rStyle w:val="28"/>
          <w:rFonts w:hint="eastAsia" w:ascii="仿宋" w:hAnsi="仿宋"/>
          <w:color w:val="auto"/>
          <w:highlight w:val="none"/>
        </w:rPr>
        <w:t>资格证明文件</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_Toc164674197 \h </w:instrText>
      </w:r>
      <w:r>
        <w:rPr>
          <w:rFonts w:ascii="仿宋" w:hAnsi="仿宋"/>
          <w:highlight w:val="none"/>
        </w:rPr>
        <w:fldChar w:fldCharType="separate"/>
      </w:r>
      <w:r>
        <w:rPr>
          <w:rFonts w:ascii="仿宋" w:hAnsi="仿宋"/>
          <w:highlight w:val="none"/>
        </w:rPr>
        <w:t>31</w:t>
      </w:r>
      <w:r>
        <w:rPr>
          <w:rFonts w:ascii="仿宋" w:hAnsi="仿宋"/>
          <w:highlight w:val="none"/>
        </w:rPr>
        <w:fldChar w:fldCharType="end"/>
      </w:r>
      <w:r>
        <w:rPr>
          <w:rFonts w:ascii="仿宋" w:hAnsi="仿宋"/>
          <w:highlight w:val="none"/>
        </w:rPr>
        <w:fldChar w:fldCharType="end"/>
      </w:r>
    </w:p>
    <w:p w14:paraId="381D80DF">
      <w:pPr>
        <w:pStyle w:val="13"/>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"_Toc164674198" </w:instrText>
      </w:r>
      <w:r>
        <w:rPr>
          <w:highlight w:val="none"/>
        </w:rPr>
        <w:fldChar w:fldCharType="separate"/>
      </w:r>
      <w:r>
        <w:rPr>
          <w:rStyle w:val="28"/>
          <w:rFonts w:hint="eastAsia" w:ascii="仿宋" w:hAnsi="仿宋"/>
          <w:color w:val="auto"/>
          <w:highlight w:val="none"/>
        </w:rPr>
        <w:t>第五章</w:t>
      </w:r>
      <w:r>
        <w:rPr>
          <w:rStyle w:val="28"/>
          <w:rFonts w:ascii="仿宋" w:hAnsi="仿宋"/>
          <w:color w:val="auto"/>
          <w:highlight w:val="none"/>
        </w:rPr>
        <w:t xml:space="preserve">  </w:t>
      </w:r>
      <w:r>
        <w:rPr>
          <w:rStyle w:val="28"/>
          <w:rFonts w:hint="eastAsia" w:ascii="仿宋" w:hAnsi="仿宋"/>
          <w:color w:val="auto"/>
          <w:highlight w:val="none"/>
        </w:rPr>
        <w:t>采购需求一览表及采购要求</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_Toc164674198 \h </w:instrText>
      </w:r>
      <w:r>
        <w:rPr>
          <w:rFonts w:ascii="仿宋" w:hAnsi="仿宋"/>
          <w:highlight w:val="none"/>
        </w:rPr>
        <w:fldChar w:fldCharType="separate"/>
      </w:r>
      <w:r>
        <w:rPr>
          <w:rFonts w:ascii="仿宋" w:hAnsi="仿宋"/>
          <w:highlight w:val="none"/>
        </w:rPr>
        <w:t>38</w:t>
      </w:r>
      <w:r>
        <w:rPr>
          <w:rFonts w:ascii="仿宋" w:hAnsi="仿宋"/>
          <w:highlight w:val="none"/>
        </w:rPr>
        <w:fldChar w:fldCharType="end"/>
      </w:r>
      <w:r>
        <w:rPr>
          <w:rFonts w:ascii="仿宋" w:hAnsi="仿宋"/>
          <w:highlight w:val="none"/>
        </w:rPr>
        <w:fldChar w:fldCharType="end"/>
      </w:r>
    </w:p>
    <w:p w14:paraId="0B6A85B1">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"_Toc164674199" </w:instrText>
      </w:r>
      <w:r>
        <w:rPr>
          <w:highlight w:val="none"/>
        </w:rPr>
        <w:fldChar w:fldCharType="separate"/>
      </w:r>
      <w:r>
        <w:rPr>
          <w:rStyle w:val="28"/>
          <w:rFonts w:hint="eastAsia" w:ascii="仿宋" w:hAnsi="仿宋"/>
          <w:color w:val="auto"/>
          <w:highlight w:val="none"/>
        </w:rPr>
        <w:t>一、采购需求一览表</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_Toc164674199 \h </w:instrText>
      </w:r>
      <w:r>
        <w:rPr>
          <w:rFonts w:ascii="仿宋" w:hAnsi="仿宋"/>
          <w:highlight w:val="none"/>
        </w:rPr>
        <w:fldChar w:fldCharType="separate"/>
      </w:r>
      <w:r>
        <w:rPr>
          <w:rFonts w:ascii="仿宋" w:hAnsi="仿宋"/>
          <w:highlight w:val="none"/>
        </w:rPr>
        <w:t>38</w:t>
      </w:r>
      <w:r>
        <w:rPr>
          <w:rFonts w:ascii="仿宋" w:hAnsi="仿宋"/>
          <w:highlight w:val="none"/>
        </w:rPr>
        <w:fldChar w:fldCharType="end"/>
      </w:r>
      <w:r>
        <w:rPr>
          <w:rFonts w:ascii="仿宋" w:hAnsi="仿宋"/>
          <w:highlight w:val="none"/>
        </w:rPr>
        <w:fldChar w:fldCharType="end"/>
      </w:r>
    </w:p>
    <w:p w14:paraId="1E2D32E0">
      <w:pPr>
        <w:pStyle w:val="14"/>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"_Toc164674200" </w:instrText>
      </w:r>
      <w:r>
        <w:rPr>
          <w:highlight w:val="none"/>
        </w:rPr>
        <w:fldChar w:fldCharType="separate"/>
      </w:r>
      <w:r>
        <w:rPr>
          <w:rStyle w:val="28"/>
          <w:rFonts w:hint="eastAsia" w:ascii="仿宋" w:hAnsi="仿宋" w:cs="仿宋"/>
          <w:color w:val="auto"/>
          <w:highlight w:val="none"/>
        </w:rPr>
        <w:t>二、采购需求</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_Toc164674200 \h </w:instrText>
      </w:r>
      <w:r>
        <w:rPr>
          <w:rFonts w:ascii="仿宋" w:hAnsi="仿宋"/>
          <w:highlight w:val="none"/>
        </w:rPr>
        <w:fldChar w:fldCharType="separate"/>
      </w:r>
      <w:r>
        <w:rPr>
          <w:rFonts w:ascii="仿宋" w:hAnsi="仿宋"/>
          <w:highlight w:val="none"/>
        </w:rPr>
        <w:t>39</w:t>
      </w:r>
      <w:r>
        <w:rPr>
          <w:rFonts w:ascii="仿宋" w:hAnsi="仿宋"/>
          <w:highlight w:val="none"/>
        </w:rPr>
        <w:fldChar w:fldCharType="end"/>
      </w:r>
      <w:r>
        <w:rPr>
          <w:rFonts w:ascii="仿宋" w:hAnsi="仿宋"/>
          <w:highlight w:val="none"/>
        </w:rPr>
        <w:fldChar w:fldCharType="end"/>
      </w:r>
    </w:p>
    <w:p w14:paraId="3472D2B1">
      <w:pPr>
        <w:pStyle w:val="9"/>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"_Toc164674201" </w:instrText>
      </w:r>
      <w:r>
        <w:rPr>
          <w:highlight w:val="none"/>
        </w:rPr>
        <w:fldChar w:fldCharType="separate"/>
      </w:r>
      <w:r>
        <w:rPr>
          <w:rStyle w:val="28"/>
          <w:rFonts w:hint="eastAsia" w:ascii="仿宋" w:hAnsi="仿宋" w:cs="仿宋"/>
          <w:b/>
          <w:bCs/>
          <w:color w:val="auto"/>
          <w:highlight w:val="none"/>
        </w:rPr>
        <w:t>（一）技术需求</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_Toc164674201 \h </w:instrText>
      </w:r>
      <w:r>
        <w:rPr>
          <w:rFonts w:ascii="仿宋" w:hAnsi="仿宋"/>
          <w:highlight w:val="none"/>
        </w:rPr>
        <w:fldChar w:fldCharType="separate"/>
      </w:r>
      <w:r>
        <w:rPr>
          <w:rFonts w:ascii="仿宋" w:hAnsi="仿宋"/>
          <w:highlight w:val="none"/>
        </w:rPr>
        <w:t>39</w:t>
      </w:r>
      <w:r>
        <w:rPr>
          <w:rFonts w:ascii="仿宋" w:hAnsi="仿宋"/>
          <w:highlight w:val="none"/>
        </w:rPr>
        <w:fldChar w:fldCharType="end"/>
      </w:r>
      <w:r>
        <w:rPr>
          <w:rFonts w:ascii="仿宋" w:hAnsi="仿宋"/>
          <w:highlight w:val="none"/>
        </w:rPr>
        <w:fldChar w:fldCharType="end"/>
      </w:r>
    </w:p>
    <w:p w14:paraId="354C6C66">
      <w:pPr>
        <w:pStyle w:val="9"/>
        <w:tabs>
          <w:tab w:val="right" w:leader="dot" w:pos="9913"/>
        </w:tabs>
        <w:spacing w:line="320" w:lineRule="exact"/>
        <w:rPr>
          <w:rFonts w:ascii="仿宋" w:hAnsi="仿宋" w:cstheme="minorBidi"/>
          <w:szCs w:val="22"/>
          <w:highlight w:val="none"/>
        </w:rPr>
      </w:pPr>
      <w:r>
        <w:rPr>
          <w:highlight w:val="none"/>
        </w:rPr>
        <w:fldChar w:fldCharType="begin"/>
      </w:r>
      <w:r>
        <w:rPr>
          <w:highlight w:val="none"/>
        </w:rPr>
        <w:instrText xml:space="preserve"> HYPERLINK \l "_Toc164674202" </w:instrText>
      </w:r>
      <w:r>
        <w:rPr>
          <w:highlight w:val="none"/>
        </w:rPr>
        <w:fldChar w:fldCharType="separate"/>
      </w:r>
      <w:r>
        <w:rPr>
          <w:rStyle w:val="28"/>
          <w:rFonts w:hint="eastAsia" w:ascii="仿宋" w:hAnsi="仿宋" w:cs="仿宋"/>
          <w:b/>
          <w:bCs/>
          <w:color w:val="auto"/>
          <w:highlight w:val="none"/>
        </w:rPr>
        <w:t>（二）商务需求</w:t>
      </w:r>
      <w:r>
        <w:rPr>
          <w:rFonts w:ascii="仿宋" w:hAnsi="仿宋"/>
          <w:highlight w:val="none"/>
        </w:rPr>
        <w:tab/>
      </w:r>
      <w:r>
        <w:rPr>
          <w:rFonts w:ascii="仿宋" w:hAnsi="仿宋"/>
          <w:highlight w:val="none"/>
        </w:rPr>
        <w:fldChar w:fldCharType="begin"/>
      </w:r>
      <w:r>
        <w:rPr>
          <w:rFonts w:ascii="仿宋" w:hAnsi="仿宋"/>
          <w:highlight w:val="none"/>
        </w:rPr>
        <w:instrText xml:space="preserve"> PAGEREF _Toc164674202 \h </w:instrText>
      </w:r>
      <w:r>
        <w:rPr>
          <w:rFonts w:ascii="仿宋" w:hAnsi="仿宋"/>
          <w:highlight w:val="none"/>
        </w:rPr>
        <w:fldChar w:fldCharType="separate"/>
      </w:r>
      <w:r>
        <w:rPr>
          <w:rFonts w:ascii="仿宋" w:hAnsi="仿宋"/>
          <w:highlight w:val="none"/>
        </w:rPr>
        <w:t>39</w:t>
      </w:r>
      <w:r>
        <w:rPr>
          <w:rFonts w:ascii="仿宋" w:hAnsi="仿宋"/>
          <w:highlight w:val="none"/>
        </w:rPr>
        <w:fldChar w:fldCharType="end"/>
      </w:r>
      <w:r>
        <w:rPr>
          <w:rFonts w:ascii="仿宋" w:hAnsi="仿宋"/>
          <w:highlight w:val="none"/>
        </w:rPr>
        <w:fldChar w:fldCharType="end"/>
      </w:r>
    </w:p>
    <w:p w14:paraId="37F34CE9">
      <w:pPr>
        <w:tabs>
          <w:tab w:val="right" w:leader="dot" w:pos="9913"/>
        </w:tabs>
        <w:spacing w:line="360" w:lineRule="auto"/>
        <w:jc w:val="center"/>
        <w:rPr>
          <w:rFonts w:ascii="仿宋" w:hAnsi="仿宋" w:eastAsia="仿宋" w:cs="仿宋"/>
          <w:highlight w:val="none"/>
          <w:shd w:val="pct10" w:color="auto" w:fill="FFFFFF"/>
        </w:rPr>
      </w:pPr>
      <w:r>
        <w:rPr>
          <w:rFonts w:hint="eastAsia" w:ascii="仿宋" w:hAnsi="仿宋" w:eastAsia="仿宋" w:cs="仿宋"/>
          <w:highlight w:val="none"/>
          <w:shd w:val="pct10" w:color="auto" w:fill="FFFFFF"/>
        </w:rPr>
        <w:fldChar w:fldCharType="end"/>
      </w:r>
    </w:p>
    <w:p w14:paraId="52D26C95">
      <w:pPr>
        <w:rPr>
          <w:rFonts w:ascii="仿宋" w:hAnsi="仿宋" w:eastAsia="仿宋" w:cs="仿宋"/>
          <w:highlight w:val="none"/>
          <w:shd w:val="pct10" w:color="auto" w:fill="FFFFFF"/>
        </w:rPr>
      </w:pPr>
    </w:p>
    <w:p w14:paraId="2B40889D">
      <w:pPr>
        <w:rPr>
          <w:rFonts w:ascii="仿宋" w:hAnsi="仿宋" w:eastAsia="仿宋" w:cs="仿宋"/>
          <w:highlight w:val="none"/>
          <w:shd w:val="pct10" w:color="auto" w:fill="FFFFFF"/>
        </w:rPr>
      </w:pPr>
    </w:p>
    <w:p w14:paraId="1C48A200">
      <w:pPr>
        <w:rPr>
          <w:rFonts w:ascii="仿宋" w:hAnsi="仿宋" w:eastAsia="仿宋" w:cs="仿宋"/>
          <w:highlight w:val="none"/>
          <w:shd w:val="pct10" w:color="auto" w:fill="FFFFFF"/>
        </w:rPr>
      </w:pPr>
    </w:p>
    <w:p w14:paraId="63F0EE73">
      <w:pPr>
        <w:pStyle w:val="40"/>
        <w:spacing w:line="460" w:lineRule="exact"/>
        <w:rPr>
          <w:rFonts w:hint="default"/>
          <w:highlight w:val="none"/>
        </w:rPr>
      </w:pPr>
      <w:bookmarkStart w:id="0" w:name="_Toc164674168"/>
      <w:r>
        <w:rPr>
          <w:highlight w:val="none"/>
        </w:rPr>
        <w:t>第一章  谈判邀请</w:t>
      </w:r>
      <w:bookmarkEnd w:id="0"/>
    </w:p>
    <w:p w14:paraId="51FBEC21">
      <w:pPr>
        <w:pStyle w:val="16"/>
        <w:ind w:firstLine="210"/>
        <w:rPr>
          <w:highlight w:val="none"/>
        </w:rPr>
      </w:pPr>
    </w:p>
    <w:p w14:paraId="24F0AEB5">
      <w:pPr>
        <w:pBdr>
          <w:top w:val="single" w:color="auto" w:sz="4" w:space="1"/>
          <w:left w:val="single" w:color="auto" w:sz="4" w:space="4"/>
          <w:bottom w:val="single" w:color="auto" w:sz="4" w:space="1"/>
          <w:right w:val="single" w:color="auto" w:sz="4" w:space="4"/>
        </w:pBdr>
        <w:spacing w:line="460" w:lineRule="exact"/>
        <w:rPr>
          <w:rFonts w:ascii="仿宋" w:hAnsi="仿宋" w:eastAsia="仿宋" w:cs="仿宋"/>
          <w:b/>
          <w:bCs/>
          <w:sz w:val="24"/>
          <w:szCs w:val="24"/>
          <w:highlight w:val="none"/>
        </w:rPr>
      </w:pPr>
      <w:r>
        <w:rPr>
          <w:rFonts w:hint="eastAsia" w:ascii="仿宋" w:hAnsi="仿宋" w:eastAsia="仿宋" w:cs="仿宋"/>
          <w:b/>
          <w:bCs/>
          <w:sz w:val="24"/>
          <w:szCs w:val="24"/>
          <w:highlight w:val="none"/>
        </w:rPr>
        <w:t>项目概况</w:t>
      </w:r>
    </w:p>
    <w:p w14:paraId="19447205">
      <w:pPr>
        <w:pBdr>
          <w:top w:val="single" w:color="auto" w:sz="4" w:space="1"/>
          <w:left w:val="single" w:color="auto" w:sz="4" w:space="4"/>
          <w:bottom w:val="single" w:color="auto" w:sz="4" w:space="1"/>
          <w:right w:val="single" w:color="auto" w:sz="4" w:space="4"/>
        </w:pBdr>
        <w:spacing w:line="4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本项目的潜在供应商应在东乡区人民政府网（公共资源交易）下载获取谈判文件。并于</w:t>
      </w:r>
      <w:r>
        <w:rPr>
          <w:rFonts w:hint="eastAsia" w:ascii="仿宋" w:hAnsi="仿宋" w:eastAsia="仿宋" w:cs="仿宋"/>
          <w:sz w:val="24"/>
          <w:szCs w:val="24"/>
          <w:highlight w:val="none"/>
          <w:lang w:eastAsia="zh-CN"/>
        </w:rPr>
        <w:t>2025年02月</w:t>
      </w:r>
      <w:r>
        <w:rPr>
          <w:rFonts w:hint="eastAsia" w:ascii="仿宋" w:hAnsi="仿宋" w:eastAsia="仿宋" w:cs="仿宋"/>
          <w:sz w:val="24"/>
          <w:szCs w:val="24"/>
          <w:highlight w:val="none"/>
          <w:lang w:val="en-US" w:eastAsia="zh-CN"/>
        </w:rPr>
        <w:t>26</w:t>
      </w:r>
      <w:r>
        <w:rPr>
          <w:rFonts w:hint="eastAsia" w:ascii="仿宋" w:hAnsi="仿宋" w:eastAsia="仿宋" w:cs="仿宋"/>
          <w:sz w:val="24"/>
          <w:szCs w:val="24"/>
          <w:highlight w:val="none"/>
          <w:lang w:eastAsia="zh-CN"/>
        </w:rPr>
        <w:t>日上午10点00分</w:t>
      </w:r>
      <w:r>
        <w:rPr>
          <w:rFonts w:hint="eastAsia" w:ascii="仿宋" w:hAnsi="仿宋" w:eastAsia="仿宋" w:cs="仿宋"/>
          <w:sz w:val="24"/>
          <w:szCs w:val="24"/>
          <w:highlight w:val="none"/>
        </w:rPr>
        <w:t>（北京时间）前提交响应文件。</w:t>
      </w:r>
    </w:p>
    <w:p w14:paraId="6A7F5B27">
      <w:pPr>
        <w:pStyle w:val="41"/>
        <w:spacing w:before="0" w:beforeLines="0" w:line="460" w:lineRule="exact"/>
        <w:rPr>
          <w:rFonts w:hint="default"/>
          <w:highlight w:val="none"/>
        </w:rPr>
      </w:pPr>
      <w:bookmarkStart w:id="1" w:name="_Toc27129"/>
      <w:bookmarkStart w:id="2" w:name="_Toc35393790"/>
      <w:bookmarkStart w:id="3" w:name="_Toc28359079"/>
      <w:bookmarkStart w:id="4" w:name="_Toc35393621"/>
      <w:bookmarkStart w:id="5" w:name="_Toc164674169"/>
      <w:bookmarkStart w:id="6" w:name="_Toc28359002"/>
      <w:bookmarkStart w:id="7" w:name="_Hlk24379207"/>
      <w:r>
        <w:rPr>
          <w:highlight w:val="none"/>
        </w:rPr>
        <w:t>一、项目基本情况</w:t>
      </w:r>
      <w:bookmarkEnd w:id="1"/>
      <w:bookmarkEnd w:id="2"/>
      <w:bookmarkEnd w:id="3"/>
      <w:bookmarkEnd w:id="4"/>
      <w:bookmarkEnd w:id="5"/>
      <w:bookmarkEnd w:id="6"/>
    </w:p>
    <w:p w14:paraId="65CDABCC">
      <w:pPr>
        <w:pStyle w:val="45"/>
        <w:spacing w:line="460" w:lineRule="exact"/>
        <w:rPr>
          <w:rFonts w:hint="eastAsia" w:eastAsia="仿宋"/>
          <w:highlight w:val="none"/>
          <w:lang w:eastAsia="zh-CN"/>
        </w:rPr>
      </w:pPr>
      <w:r>
        <w:rPr>
          <w:highlight w:val="none"/>
        </w:rPr>
        <w:t>项目编号：</w:t>
      </w:r>
      <w:r>
        <w:rPr>
          <w:rFonts w:hint="eastAsia"/>
          <w:highlight w:val="none"/>
          <w:lang w:eastAsia="zh-CN"/>
        </w:rPr>
        <w:t>寰信-DX2025001</w:t>
      </w:r>
    </w:p>
    <w:p w14:paraId="6F39F0AC">
      <w:pPr>
        <w:pStyle w:val="45"/>
        <w:spacing w:line="460" w:lineRule="exact"/>
        <w:rPr>
          <w:rFonts w:hint="eastAsia" w:eastAsia="仿宋"/>
          <w:highlight w:val="none"/>
          <w:lang w:eastAsia="zh-CN"/>
        </w:rPr>
      </w:pPr>
      <w:r>
        <w:rPr>
          <w:highlight w:val="none"/>
        </w:rPr>
        <w:t>项目名称：</w:t>
      </w:r>
      <w:r>
        <w:rPr>
          <w:rFonts w:hint="eastAsia"/>
          <w:spacing w:val="-10"/>
          <w:highlight w:val="none"/>
          <w:lang w:eastAsia="zh-CN"/>
        </w:rPr>
        <w:t>东乡区公安局业务技术用房电梯采购项目</w:t>
      </w:r>
    </w:p>
    <w:bookmarkEnd w:id="7"/>
    <w:p w14:paraId="6189CF53">
      <w:pPr>
        <w:pStyle w:val="45"/>
        <w:spacing w:line="460" w:lineRule="exact"/>
        <w:rPr>
          <w:rFonts w:hint="default"/>
          <w:highlight w:val="none"/>
        </w:rPr>
      </w:pPr>
      <w:r>
        <w:rPr>
          <w:highlight w:val="none"/>
        </w:rPr>
        <w:t>采购需求：</w:t>
      </w:r>
    </w:p>
    <w:tbl>
      <w:tblPr>
        <w:tblStyle w:val="17"/>
        <w:tblW w:w="504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973"/>
        <w:gridCol w:w="1263"/>
        <w:gridCol w:w="1566"/>
        <w:gridCol w:w="3230"/>
      </w:tblGrid>
      <w:tr w14:paraId="3B9800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1980" w:type="pct"/>
            <w:shd w:val="clear" w:color="auto" w:fill="auto"/>
            <w:vAlign w:val="center"/>
          </w:tcPr>
          <w:p w14:paraId="713ECE21">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采购条目名称</w:t>
            </w:r>
          </w:p>
        </w:tc>
        <w:tc>
          <w:tcPr>
            <w:tcW w:w="629" w:type="pct"/>
            <w:shd w:val="clear" w:color="auto" w:fill="auto"/>
            <w:vAlign w:val="center"/>
          </w:tcPr>
          <w:p w14:paraId="61FFD949">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数量</w:t>
            </w:r>
          </w:p>
        </w:tc>
        <w:tc>
          <w:tcPr>
            <w:tcW w:w="780" w:type="pct"/>
            <w:shd w:val="clear" w:color="auto" w:fill="auto"/>
            <w:vAlign w:val="center"/>
          </w:tcPr>
          <w:p w14:paraId="1B245555">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单位</w:t>
            </w:r>
          </w:p>
        </w:tc>
        <w:tc>
          <w:tcPr>
            <w:tcW w:w="1609" w:type="pct"/>
            <w:shd w:val="clear" w:color="auto" w:fill="auto"/>
            <w:vAlign w:val="center"/>
          </w:tcPr>
          <w:p w14:paraId="623E70CF">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采购预算（人民币）</w:t>
            </w:r>
          </w:p>
        </w:tc>
      </w:tr>
      <w:tr w14:paraId="5150A6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0" w:hRule="atLeast"/>
          <w:jc w:val="center"/>
        </w:trPr>
        <w:tc>
          <w:tcPr>
            <w:tcW w:w="1980" w:type="pct"/>
            <w:shd w:val="clear" w:color="auto" w:fill="auto"/>
            <w:vAlign w:val="center"/>
          </w:tcPr>
          <w:p w14:paraId="418B1C15">
            <w:pPr>
              <w:widowControl/>
              <w:spacing w:line="460" w:lineRule="exact"/>
              <w:jc w:val="center"/>
              <w:rPr>
                <w:rFonts w:ascii="仿宋" w:hAnsi="仿宋" w:eastAsia="仿宋" w:cs="仿宋"/>
                <w:sz w:val="24"/>
                <w:szCs w:val="24"/>
                <w:highlight w:val="none"/>
              </w:rPr>
            </w:pPr>
            <w:r>
              <w:rPr>
                <w:rFonts w:hint="eastAsia" w:ascii="仿宋" w:hAnsi="仿宋" w:eastAsia="仿宋" w:cs="仿宋"/>
                <w:sz w:val="24"/>
                <w:szCs w:val="24"/>
                <w:highlight w:val="none"/>
                <w:lang w:eastAsia="zh-CN"/>
              </w:rPr>
              <w:t>东乡区公安局业务技术用房电梯采购项目</w:t>
            </w:r>
          </w:p>
        </w:tc>
        <w:tc>
          <w:tcPr>
            <w:tcW w:w="629" w:type="pct"/>
            <w:shd w:val="clear" w:color="auto" w:fill="auto"/>
            <w:vAlign w:val="center"/>
          </w:tcPr>
          <w:p w14:paraId="696F4C73">
            <w:pPr>
              <w:widowControl/>
              <w:spacing w:line="46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1</w:t>
            </w:r>
          </w:p>
        </w:tc>
        <w:tc>
          <w:tcPr>
            <w:tcW w:w="780" w:type="pct"/>
            <w:shd w:val="clear" w:color="auto" w:fill="auto"/>
            <w:vAlign w:val="center"/>
          </w:tcPr>
          <w:p w14:paraId="3E1E2F33">
            <w:pPr>
              <w:widowControl/>
              <w:spacing w:line="46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批</w:t>
            </w:r>
          </w:p>
        </w:tc>
        <w:tc>
          <w:tcPr>
            <w:tcW w:w="1609" w:type="pct"/>
            <w:shd w:val="clear" w:color="auto" w:fill="auto"/>
            <w:vAlign w:val="center"/>
          </w:tcPr>
          <w:p w14:paraId="0A64CC4B">
            <w:pPr>
              <w:widowControl/>
              <w:spacing w:line="460" w:lineRule="exact"/>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44.8万元</w:t>
            </w:r>
          </w:p>
        </w:tc>
      </w:tr>
    </w:tbl>
    <w:p w14:paraId="3042A781">
      <w:pPr>
        <w:pStyle w:val="45"/>
        <w:spacing w:line="460" w:lineRule="exact"/>
        <w:rPr>
          <w:rFonts w:hint="default"/>
          <w:highlight w:val="none"/>
        </w:rPr>
      </w:pPr>
      <w:r>
        <w:rPr>
          <w:highlight w:val="none"/>
        </w:rPr>
        <w:t>合同履行期限：</w:t>
      </w:r>
      <w:r>
        <w:rPr>
          <w:rFonts w:hint="eastAsia"/>
          <w:highlight w:val="none"/>
          <w:lang w:eastAsia="zh-CN"/>
        </w:rPr>
        <w:t>合同签订之日起15天内完成供货并交付使用</w:t>
      </w:r>
      <w:r>
        <w:rPr>
          <w:highlight w:val="none"/>
        </w:rPr>
        <w:t>。</w:t>
      </w:r>
    </w:p>
    <w:p w14:paraId="01206A84">
      <w:pPr>
        <w:pStyle w:val="45"/>
        <w:spacing w:line="460" w:lineRule="exact"/>
        <w:rPr>
          <w:rFonts w:hint="default"/>
          <w:highlight w:val="none"/>
        </w:rPr>
      </w:pPr>
      <w:r>
        <w:rPr>
          <w:highlight w:val="none"/>
        </w:rPr>
        <w:t>本项目（是/否）接受联合体参加谈判：否</w:t>
      </w:r>
    </w:p>
    <w:p w14:paraId="47F76871">
      <w:pPr>
        <w:pStyle w:val="41"/>
        <w:spacing w:before="0" w:beforeLines="0" w:line="460" w:lineRule="exact"/>
        <w:rPr>
          <w:rFonts w:hint="default"/>
          <w:highlight w:val="none"/>
        </w:rPr>
      </w:pPr>
      <w:bookmarkStart w:id="8" w:name="_Toc26529"/>
      <w:bookmarkStart w:id="9" w:name="_Toc35393622"/>
      <w:bookmarkStart w:id="10" w:name="_Toc35393791"/>
      <w:bookmarkStart w:id="11" w:name="_Toc28359080"/>
      <w:bookmarkStart w:id="12" w:name="_Toc164674170"/>
      <w:bookmarkStart w:id="13" w:name="_Toc28359003"/>
      <w:r>
        <w:rPr>
          <w:highlight w:val="none"/>
        </w:rPr>
        <w:t>二、申请人的资格要求</w:t>
      </w:r>
      <w:bookmarkEnd w:id="8"/>
      <w:bookmarkEnd w:id="9"/>
      <w:bookmarkEnd w:id="10"/>
      <w:bookmarkEnd w:id="11"/>
      <w:bookmarkEnd w:id="12"/>
      <w:bookmarkEnd w:id="13"/>
    </w:p>
    <w:p w14:paraId="55229227">
      <w:pPr>
        <w:pStyle w:val="45"/>
        <w:spacing w:line="460" w:lineRule="exact"/>
        <w:rPr>
          <w:rFonts w:hint="default"/>
          <w:highlight w:val="none"/>
        </w:rPr>
      </w:pPr>
      <w:r>
        <w:rPr>
          <w:highlight w:val="none"/>
        </w:rPr>
        <w:t>1.具有独立承担民事责任的能力</w:t>
      </w:r>
    </w:p>
    <w:p w14:paraId="55BE2A34">
      <w:pPr>
        <w:pStyle w:val="45"/>
        <w:spacing w:line="460" w:lineRule="exact"/>
        <w:rPr>
          <w:rFonts w:hint="default"/>
          <w:highlight w:val="none"/>
        </w:rPr>
      </w:pPr>
      <w:r>
        <w:rPr>
          <w:highlight w:val="none"/>
        </w:rPr>
        <w:t xml:space="preserve">2.具有良好的商业信誉和健全的财务会计制度 </w:t>
      </w:r>
    </w:p>
    <w:p w14:paraId="3D860191">
      <w:pPr>
        <w:pStyle w:val="45"/>
        <w:spacing w:line="460" w:lineRule="exact"/>
        <w:rPr>
          <w:rFonts w:hint="default"/>
          <w:highlight w:val="none"/>
        </w:rPr>
      </w:pPr>
      <w:r>
        <w:rPr>
          <w:highlight w:val="none"/>
        </w:rPr>
        <w:t xml:space="preserve">3.具有履行合同所必须的设备和专业技术能力 </w:t>
      </w:r>
    </w:p>
    <w:p w14:paraId="058B0282">
      <w:pPr>
        <w:pStyle w:val="45"/>
        <w:spacing w:line="460" w:lineRule="exact"/>
        <w:rPr>
          <w:rFonts w:hint="default"/>
          <w:highlight w:val="none"/>
        </w:rPr>
      </w:pPr>
      <w:r>
        <w:rPr>
          <w:highlight w:val="none"/>
        </w:rPr>
        <w:t>4.有依法缴纳税收和社会保障资金的良好记录</w:t>
      </w:r>
    </w:p>
    <w:p w14:paraId="1DC9B52B">
      <w:pPr>
        <w:pStyle w:val="45"/>
        <w:spacing w:line="460" w:lineRule="exact"/>
        <w:rPr>
          <w:rFonts w:hint="default"/>
          <w:highlight w:val="none"/>
        </w:rPr>
      </w:pPr>
      <w:r>
        <w:rPr>
          <w:highlight w:val="none"/>
        </w:rPr>
        <w:t>5.参加采购活动前三年内,在经营活动中没有重大违法记录</w:t>
      </w:r>
    </w:p>
    <w:p w14:paraId="21A03D54">
      <w:pPr>
        <w:pStyle w:val="45"/>
        <w:spacing w:line="460" w:lineRule="exact"/>
        <w:rPr>
          <w:rFonts w:hint="default"/>
          <w:highlight w:val="none"/>
        </w:rPr>
      </w:pPr>
      <w:r>
        <w:rPr>
          <w:highlight w:val="none"/>
        </w:rPr>
        <w:t>6.法律、行政法规规定的其他条件。</w:t>
      </w:r>
    </w:p>
    <w:p w14:paraId="1BAA3901">
      <w:pPr>
        <w:pStyle w:val="45"/>
        <w:spacing w:line="460" w:lineRule="exact"/>
        <w:rPr>
          <w:rFonts w:hint="default"/>
          <w:highlight w:val="none"/>
        </w:rPr>
      </w:pPr>
      <w:r>
        <w:rPr>
          <w:highlight w:val="none"/>
        </w:rPr>
        <w:t>7.单位负责人为同一人或者存在直接控股、管理关系的不同供应商，不得参加同一合同项下的采购活动。</w:t>
      </w:r>
    </w:p>
    <w:p w14:paraId="0A3EF01F">
      <w:pPr>
        <w:pStyle w:val="45"/>
        <w:spacing w:line="460" w:lineRule="exact"/>
        <w:rPr>
          <w:rFonts w:hint="eastAsia" w:eastAsia="仿宋"/>
          <w:highlight w:val="none"/>
          <w:lang w:eastAsia="zh-CN"/>
        </w:rPr>
      </w:pPr>
      <w:r>
        <w:rPr>
          <w:highlight w:val="none"/>
        </w:rPr>
        <w:t>8.</w:t>
      </w:r>
      <w:r>
        <w:rPr>
          <w:rFonts w:hint="default"/>
          <w:highlight w:val="none"/>
        </w:rPr>
        <w:t xml:space="preserve"> </w:t>
      </w:r>
      <w:r>
        <w:rPr>
          <w:highlight w:val="none"/>
        </w:rPr>
        <w:t>投标人须提供法人代表授权委托书、被授权人身份证复印件加盖公章</w:t>
      </w:r>
      <w:r>
        <w:rPr>
          <w:b/>
          <w:highlight w:val="none"/>
        </w:rPr>
        <w:t>（提供原件）</w:t>
      </w:r>
      <w:r>
        <w:rPr>
          <w:rFonts w:hint="eastAsia"/>
          <w:b/>
          <w:highlight w:val="none"/>
          <w:lang w:eastAsia="zh-CN"/>
        </w:rPr>
        <w:t>。</w:t>
      </w:r>
    </w:p>
    <w:p w14:paraId="163DA539">
      <w:pPr>
        <w:pStyle w:val="45"/>
        <w:spacing w:line="460" w:lineRule="exact"/>
        <w:rPr>
          <w:rFonts w:hint="default"/>
          <w:highlight w:val="none"/>
        </w:rPr>
      </w:pPr>
      <w:r>
        <w:rPr>
          <w:highlight w:val="none"/>
        </w:rPr>
        <w:t>9. 通过“信用中国”或“中国政府采购网”查询相关主体信用记录，被列入失信被执行人、重大税收违法失信主体、政府采购严重违法失信行为记录名单的供应商（处罚期限尚未届满的），不得参与本项目的采购活动。</w:t>
      </w:r>
    </w:p>
    <w:p w14:paraId="5ABCD564">
      <w:pPr>
        <w:pStyle w:val="45"/>
        <w:spacing w:line="460" w:lineRule="exact"/>
        <w:rPr>
          <w:highlight w:val="none"/>
        </w:rPr>
      </w:pPr>
      <w:r>
        <w:rPr>
          <w:highlight w:val="none"/>
        </w:rPr>
        <w:t>10.本项目不接受联合体。</w:t>
      </w:r>
    </w:p>
    <w:p w14:paraId="536EA97C">
      <w:pPr>
        <w:pStyle w:val="45"/>
        <w:spacing w:line="460" w:lineRule="exact"/>
        <w:rPr>
          <w:rFonts w:hint="eastAsia"/>
          <w:highlight w:val="none"/>
        </w:rPr>
      </w:pPr>
      <w:r>
        <w:rPr>
          <w:rFonts w:hint="eastAsia"/>
          <w:highlight w:val="none"/>
          <w:lang w:val="en-US" w:eastAsia="zh-CN"/>
        </w:rPr>
        <w:t>11</w:t>
      </w:r>
      <w:r>
        <w:rPr>
          <w:rFonts w:hint="eastAsia"/>
          <w:highlight w:val="none"/>
        </w:rPr>
        <w:t>.本项目的特定资格要求：</w:t>
      </w:r>
    </w:p>
    <w:p w14:paraId="454BB013">
      <w:pPr>
        <w:pStyle w:val="45"/>
        <w:spacing w:line="460" w:lineRule="exact"/>
        <w:rPr>
          <w:rFonts w:hint="eastAsia"/>
          <w:highlight w:val="none"/>
        </w:rPr>
      </w:pPr>
      <w:r>
        <w:rPr>
          <w:rFonts w:hint="eastAsia"/>
          <w:highlight w:val="none"/>
        </w:rPr>
        <w:t>投标人如为所投电梯品牌的制造商，须同时满足以下(1)、(2)许可;投标人如为非所投电梯产品制造商，须满足以下(2)许可且其所投电梯品牌的制造商须同时满足以下(1)、(2)许可:</w:t>
      </w:r>
    </w:p>
    <w:p w14:paraId="09FED4EC">
      <w:pPr>
        <w:pStyle w:val="45"/>
        <w:spacing w:line="460" w:lineRule="exact"/>
        <w:rPr>
          <w:rFonts w:hint="eastAsia"/>
          <w:highlight w:val="none"/>
        </w:rPr>
      </w:pPr>
      <w:r>
        <w:rPr>
          <w:rFonts w:hint="eastAsia"/>
          <w:highlight w:val="none"/>
        </w:rPr>
        <w:t>(1)有效的制造资质</w:t>
      </w:r>
    </w:p>
    <w:p w14:paraId="18583ED5">
      <w:pPr>
        <w:pStyle w:val="45"/>
        <w:spacing w:line="460" w:lineRule="exact"/>
        <w:rPr>
          <w:rFonts w:hint="eastAsia"/>
          <w:highlight w:val="none"/>
        </w:rPr>
      </w:pPr>
      <w:r>
        <w:rPr>
          <w:rFonts w:hint="eastAsia"/>
          <w:highlight w:val="none"/>
        </w:rPr>
        <w:t>新版资质为具有《中华人民共和国特种设备生产许可证》(电梯制造)曳引驱动乘客电梯B级(含)以上许可;或旧版资质为具有《中华人民共和国特种设备制造许可证》(曳引驱动乘客电梯)B级(含)以上许可;</w:t>
      </w:r>
    </w:p>
    <w:p w14:paraId="005A25A7">
      <w:pPr>
        <w:pStyle w:val="45"/>
        <w:spacing w:line="460" w:lineRule="exact"/>
        <w:rPr>
          <w:rFonts w:hint="default"/>
          <w:highlight w:val="none"/>
        </w:rPr>
      </w:pPr>
      <w:r>
        <w:rPr>
          <w:rFonts w:hint="default"/>
          <w:highlight w:val="none"/>
        </w:rPr>
        <w:t>(2)有效的安装资质</w:t>
      </w:r>
    </w:p>
    <w:p w14:paraId="7335D755">
      <w:pPr>
        <w:pStyle w:val="45"/>
        <w:spacing w:line="460" w:lineRule="exact"/>
        <w:rPr>
          <w:rFonts w:hint="default"/>
          <w:highlight w:val="none"/>
        </w:rPr>
      </w:pPr>
      <w:r>
        <w:rPr>
          <w:rFonts w:hint="default"/>
          <w:highlight w:val="none"/>
        </w:rPr>
        <w:t>新版资质为具有《中华人民共和国特种设备生产许可证》(电梯安装)曳引驱动乘客电梯B级(含)以上许可;或旧版资质为具有《中华人民共和国特种设备安装改造维修许可证》(曳引驱动乘客电梯)(安装)B级(含)以上许可;</w:t>
      </w:r>
    </w:p>
    <w:p w14:paraId="43CFDC70">
      <w:pPr>
        <w:pStyle w:val="45"/>
        <w:spacing w:line="460" w:lineRule="exact"/>
        <w:rPr>
          <w:rFonts w:hint="default" w:eastAsia="仿宋"/>
          <w:highlight w:val="none"/>
          <w:lang w:val="en-US" w:eastAsia="zh-CN"/>
        </w:rPr>
      </w:pPr>
      <w:r>
        <w:rPr>
          <w:rFonts w:hint="eastAsia"/>
          <w:highlight w:val="none"/>
          <w:lang w:val="en-US" w:eastAsia="zh-CN"/>
        </w:rPr>
        <w:t>12、</w:t>
      </w:r>
      <w:r>
        <w:rPr>
          <w:rFonts w:hint="eastAsia" w:ascii="宋体" w:hAnsi="宋体" w:cs="宋体"/>
          <w:sz w:val="24"/>
          <w:szCs w:val="24"/>
          <w:highlight w:val="none"/>
        </w:rPr>
        <w:t>落实中小企业采购政府：</w:t>
      </w:r>
      <w:r>
        <w:rPr>
          <w:rFonts w:hint="eastAsia" w:ascii="宋体" w:hAnsi="宋体" w:cs="宋体"/>
          <w:sz w:val="24"/>
          <w:szCs w:val="24"/>
          <w:highlight w:val="none"/>
          <w:u w:val="single"/>
        </w:rPr>
        <w:t>本项目非专门面向中小企业采购。</w:t>
      </w:r>
    </w:p>
    <w:p w14:paraId="67EF729F">
      <w:pPr>
        <w:pStyle w:val="41"/>
        <w:spacing w:before="0" w:beforeLines="0" w:line="460" w:lineRule="exact"/>
        <w:rPr>
          <w:rFonts w:hint="default"/>
          <w:highlight w:val="none"/>
        </w:rPr>
      </w:pPr>
      <w:bookmarkStart w:id="14" w:name="_Toc164674171"/>
      <w:r>
        <w:rPr>
          <w:highlight w:val="none"/>
        </w:rPr>
        <w:t>三、竞争性谈判文件的获取时间：</w:t>
      </w:r>
      <w:bookmarkEnd w:id="14"/>
    </w:p>
    <w:p w14:paraId="6771CEF1">
      <w:pPr>
        <w:spacing w:line="46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时间：2025年0</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19</w:t>
      </w:r>
      <w:r>
        <w:rPr>
          <w:rFonts w:hint="eastAsia" w:ascii="仿宋" w:hAnsi="仿宋" w:eastAsia="仿宋" w:cs="仿宋"/>
          <w:sz w:val="24"/>
          <w:szCs w:val="24"/>
          <w:highlight w:val="none"/>
        </w:rPr>
        <w:t>日至2025年0</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25</w:t>
      </w:r>
      <w:r>
        <w:rPr>
          <w:rFonts w:hint="eastAsia" w:ascii="仿宋" w:hAnsi="仿宋" w:eastAsia="仿宋" w:cs="仿宋"/>
          <w:sz w:val="24"/>
          <w:szCs w:val="24"/>
          <w:highlight w:val="none"/>
        </w:rPr>
        <w:t>日（北京时间，法定节假日除外）</w:t>
      </w:r>
    </w:p>
    <w:p w14:paraId="66374D0E">
      <w:pPr>
        <w:spacing w:line="46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地点：东乡区人民政府网、</w:t>
      </w:r>
      <w:r>
        <w:rPr>
          <w:rFonts w:hint="eastAsia" w:ascii="仿宋" w:hAnsi="仿宋" w:eastAsia="仿宋" w:cs="仿宋"/>
          <w:sz w:val="24"/>
          <w:szCs w:val="24"/>
          <w:highlight w:val="none"/>
          <w:lang w:eastAsia="zh-CN"/>
        </w:rPr>
        <w:t>抚州市东乡区工业与科技创新投资集团有限公司</w:t>
      </w:r>
      <w:r>
        <w:rPr>
          <w:rFonts w:hint="eastAsia" w:ascii="仿宋" w:hAnsi="仿宋" w:eastAsia="仿宋" w:cs="仿宋"/>
          <w:sz w:val="24"/>
          <w:szCs w:val="24"/>
          <w:highlight w:val="none"/>
        </w:rPr>
        <w:t>官网</w:t>
      </w:r>
    </w:p>
    <w:p w14:paraId="091478BF">
      <w:pPr>
        <w:spacing w:line="46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方式：自行下载获取谈判文件</w:t>
      </w:r>
    </w:p>
    <w:p w14:paraId="23CB42D0">
      <w:pPr>
        <w:spacing w:line="46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售价：</w:t>
      </w:r>
      <w:r>
        <w:rPr>
          <w:rFonts w:ascii="仿宋" w:hAnsi="仿宋" w:eastAsia="仿宋" w:cs="仿宋"/>
          <w:sz w:val="24"/>
          <w:szCs w:val="24"/>
          <w:highlight w:val="none"/>
          <w:u w:val="single"/>
        </w:rPr>
        <w:t>0</w:t>
      </w:r>
      <w:r>
        <w:rPr>
          <w:rFonts w:hint="eastAsia" w:ascii="仿宋" w:hAnsi="仿宋" w:eastAsia="仿宋" w:cs="仿宋"/>
          <w:sz w:val="24"/>
          <w:szCs w:val="24"/>
          <w:highlight w:val="none"/>
        </w:rPr>
        <w:t>元人民币</w:t>
      </w:r>
    </w:p>
    <w:p w14:paraId="24A9785C">
      <w:pPr>
        <w:pStyle w:val="41"/>
        <w:spacing w:before="0" w:beforeLines="0" w:line="460" w:lineRule="exact"/>
        <w:rPr>
          <w:rFonts w:hint="default"/>
          <w:highlight w:val="none"/>
        </w:rPr>
      </w:pPr>
      <w:bookmarkStart w:id="15" w:name="_Toc164674172"/>
      <w:r>
        <w:rPr>
          <w:highlight w:val="none"/>
        </w:rPr>
        <w:t>四、提交响应文件截止时间、谈判时间和地点：</w:t>
      </w:r>
      <w:bookmarkEnd w:id="15"/>
    </w:p>
    <w:p w14:paraId="37196354">
      <w:pPr>
        <w:spacing w:line="460" w:lineRule="exact"/>
        <w:ind w:firstLine="600" w:firstLineChars="250"/>
        <w:jc w:val="left"/>
        <w:rPr>
          <w:rFonts w:ascii="仿宋" w:hAnsi="仿宋" w:eastAsia="仿宋" w:cs="仿宋"/>
          <w:bCs/>
          <w:sz w:val="24"/>
          <w:highlight w:val="none"/>
        </w:rPr>
      </w:pPr>
      <w:bookmarkStart w:id="16" w:name="_Toc12960"/>
      <w:bookmarkStart w:id="17" w:name="_Toc28359084"/>
      <w:bookmarkStart w:id="18" w:name="_Toc28359007"/>
      <w:bookmarkStart w:id="19" w:name="_Toc35393794"/>
      <w:bookmarkStart w:id="20" w:name="_Toc35393625"/>
      <w:r>
        <w:rPr>
          <w:rFonts w:hint="eastAsia" w:ascii="仿宋" w:hAnsi="仿宋" w:eastAsia="仿宋" w:cs="仿宋"/>
          <w:bCs/>
          <w:sz w:val="24"/>
          <w:highlight w:val="none"/>
        </w:rPr>
        <w:t>谈判时间：2025年0</w:t>
      </w:r>
      <w:r>
        <w:rPr>
          <w:rFonts w:hint="eastAsia" w:ascii="仿宋" w:hAnsi="仿宋" w:eastAsia="仿宋" w:cs="仿宋"/>
          <w:bCs/>
          <w:sz w:val="24"/>
          <w:highlight w:val="none"/>
          <w:lang w:val="en-US" w:eastAsia="zh-CN"/>
        </w:rPr>
        <w:t>2</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26</w:t>
      </w:r>
      <w:r>
        <w:rPr>
          <w:rFonts w:hint="eastAsia" w:ascii="仿宋" w:hAnsi="仿宋" w:eastAsia="仿宋" w:cs="仿宋"/>
          <w:bCs/>
          <w:sz w:val="24"/>
          <w:highlight w:val="none"/>
        </w:rPr>
        <w:t>日10点</w:t>
      </w:r>
    </w:p>
    <w:p w14:paraId="31E371DE">
      <w:pPr>
        <w:spacing w:line="460" w:lineRule="exact"/>
        <w:jc w:val="left"/>
        <w:rPr>
          <w:rFonts w:ascii="仿宋" w:hAnsi="仿宋" w:eastAsia="仿宋" w:cs="仿宋"/>
          <w:bCs/>
          <w:sz w:val="24"/>
          <w:szCs w:val="24"/>
          <w:highlight w:val="none"/>
        </w:rPr>
      </w:pPr>
      <w:r>
        <w:rPr>
          <w:rFonts w:hint="eastAsia" w:ascii="仿宋" w:hAnsi="仿宋" w:eastAsia="仿宋" w:cs="仿宋"/>
          <w:bCs/>
          <w:sz w:val="24"/>
          <w:szCs w:val="24"/>
          <w:highlight w:val="none"/>
        </w:rPr>
        <w:t xml:space="preserve"> </w:t>
      </w:r>
      <w:r>
        <w:rPr>
          <w:rFonts w:ascii="仿宋" w:hAnsi="仿宋" w:eastAsia="仿宋" w:cs="仿宋"/>
          <w:bCs/>
          <w:sz w:val="24"/>
          <w:szCs w:val="24"/>
          <w:highlight w:val="none"/>
        </w:rPr>
        <w:t xml:space="preserve">    </w:t>
      </w:r>
      <w:r>
        <w:rPr>
          <w:rFonts w:hint="eastAsia" w:ascii="仿宋" w:hAnsi="仿宋" w:eastAsia="仿宋" w:cs="仿宋"/>
          <w:bCs/>
          <w:sz w:val="24"/>
          <w:szCs w:val="24"/>
          <w:highlight w:val="none"/>
        </w:rPr>
        <w:t>谈判地点：抚州市公共资源交易中心东乡分中心（地址：东乡区政务服务中心大楼4楼（状元路以北、华芸路以东、区行政中心后面）</w:t>
      </w:r>
      <w:r>
        <w:rPr>
          <w:rFonts w:ascii="仿宋" w:hAnsi="仿宋" w:eastAsia="仿宋" w:cs="仿宋"/>
          <w:bCs/>
          <w:sz w:val="24"/>
          <w:szCs w:val="24"/>
          <w:highlight w:val="none"/>
        </w:rPr>
        <w:t xml:space="preserve"> </w:t>
      </w:r>
    </w:p>
    <w:p w14:paraId="78F98C23">
      <w:pPr>
        <w:pStyle w:val="41"/>
        <w:spacing w:before="0" w:beforeLines="0" w:line="460" w:lineRule="exact"/>
        <w:rPr>
          <w:rFonts w:hint="default"/>
          <w:highlight w:val="none"/>
        </w:rPr>
      </w:pPr>
      <w:bookmarkStart w:id="21" w:name="_Toc164674173"/>
      <w:r>
        <w:rPr>
          <w:highlight w:val="none"/>
        </w:rPr>
        <w:t>五、公告期限</w:t>
      </w:r>
      <w:bookmarkEnd w:id="16"/>
      <w:bookmarkEnd w:id="17"/>
      <w:bookmarkEnd w:id="18"/>
      <w:bookmarkEnd w:id="19"/>
      <w:bookmarkEnd w:id="20"/>
      <w:bookmarkEnd w:id="21"/>
    </w:p>
    <w:p w14:paraId="145D238F">
      <w:pPr>
        <w:pStyle w:val="45"/>
        <w:spacing w:line="460" w:lineRule="exact"/>
        <w:rPr>
          <w:rFonts w:hint="default"/>
          <w:highlight w:val="none"/>
        </w:rPr>
      </w:pPr>
      <w:r>
        <w:rPr>
          <w:highlight w:val="none"/>
        </w:rPr>
        <w:t>自本公告发布之日起3个工作日。</w:t>
      </w:r>
    </w:p>
    <w:p w14:paraId="2AB37F0E">
      <w:pPr>
        <w:pStyle w:val="41"/>
        <w:spacing w:before="0" w:beforeLines="0" w:line="460" w:lineRule="exact"/>
        <w:rPr>
          <w:rFonts w:hint="default"/>
          <w:highlight w:val="none"/>
        </w:rPr>
      </w:pPr>
      <w:bookmarkStart w:id="22" w:name="_Toc25456"/>
      <w:bookmarkStart w:id="23" w:name="_Toc28359008"/>
      <w:bookmarkStart w:id="24" w:name="_Toc28359085"/>
      <w:bookmarkStart w:id="25" w:name="_Toc35393627"/>
      <w:bookmarkStart w:id="26" w:name="_Toc35393796"/>
      <w:bookmarkStart w:id="27" w:name="_Toc164674174"/>
      <w:r>
        <w:rPr>
          <w:highlight w:val="none"/>
        </w:rPr>
        <w:t>六、对本次采购提出询问，请按以下方式联系</w:t>
      </w:r>
      <w:bookmarkEnd w:id="22"/>
      <w:bookmarkEnd w:id="23"/>
      <w:bookmarkEnd w:id="24"/>
      <w:bookmarkEnd w:id="25"/>
      <w:bookmarkEnd w:id="26"/>
      <w:bookmarkEnd w:id="27"/>
    </w:p>
    <w:p w14:paraId="53E41C26">
      <w:pPr>
        <w:spacing w:line="4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1.采购人信息</w:t>
      </w:r>
    </w:p>
    <w:p w14:paraId="64B7BDE7">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名    称：抚州市东乡区国有资产运营管理有限公司</w:t>
      </w:r>
    </w:p>
    <w:p w14:paraId="368ADE47">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地    址：抚州市东乡区</w:t>
      </w:r>
    </w:p>
    <w:p w14:paraId="3C9894AA">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联系方式：07944226816</w:t>
      </w:r>
    </w:p>
    <w:p w14:paraId="17149682">
      <w:pPr>
        <w:spacing w:line="4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2.采购代理机构信息</w:t>
      </w:r>
    </w:p>
    <w:p w14:paraId="1D71DC7F">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名 称：</w:t>
      </w:r>
      <w:r>
        <w:rPr>
          <w:rFonts w:hint="eastAsia" w:ascii="仿宋" w:hAnsi="仿宋" w:eastAsia="仿宋" w:cs="仿宋"/>
          <w:sz w:val="24"/>
          <w:szCs w:val="24"/>
          <w:highlight w:val="none"/>
          <w:lang w:eastAsia="zh-CN"/>
        </w:rPr>
        <w:t>江西寰信工程造价咨询有限责任公司</w:t>
      </w:r>
    </w:p>
    <w:p w14:paraId="41027767">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地　址：</w:t>
      </w:r>
      <w:r>
        <w:rPr>
          <w:rFonts w:hint="eastAsia" w:ascii="仿宋" w:hAnsi="仿宋" w:eastAsia="仿宋" w:cs="仿宋"/>
          <w:sz w:val="24"/>
          <w:szCs w:val="24"/>
          <w:highlight w:val="none"/>
          <w:lang w:eastAsia="zh-CN"/>
        </w:rPr>
        <w:t>江西省南昌市红谷滩区九龙湖管理处绿地卢塞恩小镇17栋</w:t>
      </w:r>
    </w:p>
    <w:p w14:paraId="7029F1FE">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项目联系人：</w:t>
      </w:r>
      <w:r>
        <w:rPr>
          <w:rFonts w:hint="eastAsia" w:ascii="仿宋" w:hAnsi="仿宋" w:eastAsia="仿宋" w:cs="仿宋"/>
          <w:sz w:val="24"/>
          <w:szCs w:val="24"/>
          <w:highlight w:val="none"/>
          <w:lang w:eastAsia="zh-CN"/>
        </w:rPr>
        <w:t>邹小姐</w:t>
      </w:r>
    </w:p>
    <w:p w14:paraId="3E2702BA">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电　话：</w:t>
      </w:r>
      <w:r>
        <w:rPr>
          <w:rFonts w:hint="eastAsia" w:ascii="仿宋" w:hAnsi="仿宋" w:eastAsia="仿宋" w:cs="仿宋"/>
          <w:sz w:val="24"/>
          <w:szCs w:val="24"/>
          <w:highlight w:val="none"/>
          <w:lang w:eastAsia="zh-CN"/>
        </w:rPr>
        <w:t>13870070707</w:t>
      </w:r>
    </w:p>
    <w:p w14:paraId="7E7CCFF7">
      <w:pPr>
        <w:spacing w:line="460" w:lineRule="exact"/>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电子函件：</w:t>
      </w:r>
      <w:r>
        <w:rPr>
          <w:rFonts w:hint="eastAsia" w:ascii="仿宋" w:hAnsi="仿宋" w:eastAsia="仿宋" w:cs="仿宋"/>
          <w:sz w:val="24"/>
          <w:szCs w:val="24"/>
          <w:highlight w:val="none"/>
          <w:lang w:eastAsia="zh-CN"/>
        </w:rPr>
        <w:t>35532518@qq.com</w:t>
      </w:r>
    </w:p>
    <w:p w14:paraId="61A08193">
      <w:pPr>
        <w:spacing w:line="360" w:lineRule="auto"/>
        <w:rPr>
          <w:rFonts w:ascii="仿宋" w:hAnsi="仿宋" w:eastAsia="仿宋" w:cs="仿宋"/>
          <w:sz w:val="24"/>
          <w:szCs w:val="24"/>
          <w:highlight w:val="none"/>
          <w:u w:val="single"/>
        </w:rPr>
      </w:pPr>
    </w:p>
    <w:p w14:paraId="361A2DB7">
      <w:pPr>
        <w:rPr>
          <w:rFonts w:ascii="仿宋" w:hAnsi="仿宋" w:eastAsia="仿宋" w:cs="仿宋"/>
          <w:bCs/>
          <w:sz w:val="24"/>
          <w:szCs w:val="24"/>
          <w:highlight w:val="none"/>
        </w:rPr>
      </w:pPr>
    </w:p>
    <w:p w14:paraId="36C4F15C">
      <w:pPr>
        <w:rPr>
          <w:rFonts w:ascii="仿宋" w:hAnsi="仿宋" w:eastAsia="仿宋" w:cs="仿宋"/>
          <w:bCs/>
          <w:sz w:val="24"/>
          <w:szCs w:val="24"/>
          <w:highlight w:val="none"/>
        </w:rPr>
      </w:pPr>
    </w:p>
    <w:p w14:paraId="3F34AC90">
      <w:pPr>
        <w:rPr>
          <w:rFonts w:ascii="仿宋" w:hAnsi="仿宋" w:eastAsia="仿宋" w:cs="仿宋"/>
          <w:highlight w:val="none"/>
        </w:rPr>
      </w:pPr>
    </w:p>
    <w:p w14:paraId="7C23D92B">
      <w:pPr>
        <w:rPr>
          <w:rFonts w:ascii="仿宋" w:hAnsi="仿宋" w:eastAsia="仿宋" w:cs="仿宋"/>
          <w:highlight w:val="none"/>
        </w:rPr>
      </w:pPr>
    </w:p>
    <w:p w14:paraId="572824D5">
      <w:pPr>
        <w:rPr>
          <w:rFonts w:ascii="仿宋" w:hAnsi="仿宋" w:eastAsia="仿宋" w:cs="仿宋"/>
          <w:highlight w:val="none"/>
        </w:rPr>
      </w:pPr>
    </w:p>
    <w:p w14:paraId="60FFA16D">
      <w:pPr>
        <w:rPr>
          <w:rFonts w:ascii="仿宋" w:hAnsi="仿宋" w:eastAsia="仿宋" w:cs="仿宋"/>
          <w:highlight w:val="none"/>
        </w:rPr>
      </w:pPr>
    </w:p>
    <w:p w14:paraId="5E94854F">
      <w:pPr>
        <w:rPr>
          <w:rFonts w:ascii="仿宋" w:hAnsi="仿宋" w:eastAsia="仿宋" w:cs="仿宋"/>
          <w:highlight w:val="none"/>
        </w:rPr>
      </w:pPr>
    </w:p>
    <w:p w14:paraId="4154B7B7">
      <w:pPr>
        <w:rPr>
          <w:rFonts w:ascii="仿宋" w:hAnsi="仿宋" w:eastAsia="仿宋" w:cs="仿宋"/>
          <w:highlight w:val="none"/>
        </w:rPr>
      </w:pPr>
    </w:p>
    <w:p w14:paraId="147E0A65">
      <w:pPr>
        <w:widowControl/>
        <w:jc w:val="left"/>
        <w:rPr>
          <w:rFonts w:ascii="仿宋" w:hAnsi="仿宋" w:eastAsia="仿宋" w:cs="仿宋"/>
          <w:highlight w:val="none"/>
        </w:rPr>
      </w:pPr>
      <w:r>
        <w:rPr>
          <w:rFonts w:hint="eastAsia" w:ascii="仿宋" w:hAnsi="仿宋" w:eastAsia="仿宋" w:cs="仿宋"/>
          <w:highlight w:val="none"/>
        </w:rPr>
        <w:br w:type="page"/>
      </w:r>
    </w:p>
    <w:p w14:paraId="18AFEE74">
      <w:pPr>
        <w:pStyle w:val="40"/>
        <w:rPr>
          <w:rFonts w:hint="default"/>
          <w:highlight w:val="none"/>
        </w:rPr>
      </w:pPr>
      <w:bookmarkStart w:id="28" w:name="_Toc164674175"/>
      <w:r>
        <w:rPr>
          <w:highlight w:val="none"/>
        </w:rPr>
        <w:t>第二章  供应商须知</w:t>
      </w:r>
      <w:bookmarkEnd w:id="28"/>
    </w:p>
    <w:p w14:paraId="71BE0913">
      <w:pPr>
        <w:pStyle w:val="42"/>
        <w:spacing w:before="240"/>
        <w:rPr>
          <w:rFonts w:hint="default"/>
          <w:highlight w:val="none"/>
        </w:rPr>
      </w:pPr>
      <w:bookmarkStart w:id="29" w:name="_Toc220257383"/>
      <w:bookmarkStart w:id="30" w:name="_Toc164674176"/>
      <w:bookmarkStart w:id="31" w:name="_Toc220403898"/>
      <w:bookmarkStart w:id="32" w:name="_Toc221335709"/>
      <w:r>
        <w:rPr>
          <w:highlight w:val="none"/>
        </w:rPr>
        <w:t>一、供应商须知前附表</w:t>
      </w:r>
      <w:bookmarkEnd w:id="29"/>
      <w:bookmarkEnd w:id="30"/>
      <w:bookmarkEnd w:id="31"/>
      <w:bookmarkEnd w:id="32"/>
    </w:p>
    <w:tbl>
      <w:tblPr>
        <w:tblStyle w:val="17"/>
        <w:tblW w:w="101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076"/>
        <w:gridCol w:w="4211"/>
        <w:gridCol w:w="3979"/>
      </w:tblGrid>
      <w:tr w14:paraId="474E9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tcPr>
          <w:p w14:paraId="15354864">
            <w:pPr>
              <w:spacing w:line="360" w:lineRule="auto"/>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序号</w:t>
            </w:r>
          </w:p>
        </w:tc>
        <w:tc>
          <w:tcPr>
            <w:tcW w:w="1076" w:type="dxa"/>
          </w:tcPr>
          <w:p w14:paraId="0ACDA462">
            <w:pPr>
              <w:spacing w:line="360" w:lineRule="auto"/>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条款号</w:t>
            </w:r>
          </w:p>
        </w:tc>
        <w:tc>
          <w:tcPr>
            <w:tcW w:w="8190" w:type="dxa"/>
            <w:gridSpan w:val="2"/>
          </w:tcPr>
          <w:p w14:paraId="04936AB2">
            <w:pPr>
              <w:spacing w:line="360" w:lineRule="auto"/>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内容</w:t>
            </w:r>
          </w:p>
        </w:tc>
      </w:tr>
      <w:tr w14:paraId="3494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67227C33">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w:t>
            </w:r>
          </w:p>
        </w:tc>
        <w:tc>
          <w:tcPr>
            <w:tcW w:w="1076" w:type="dxa"/>
            <w:vAlign w:val="center"/>
          </w:tcPr>
          <w:p w14:paraId="762EBEC2">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1.1</w:t>
            </w:r>
          </w:p>
        </w:tc>
        <w:tc>
          <w:tcPr>
            <w:tcW w:w="8190" w:type="dxa"/>
            <w:gridSpan w:val="2"/>
            <w:vAlign w:val="center"/>
          </w:tcPr>
          <w:p w14:paraId="3001B8D7">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项目名称及项目编号：详见“第一章谈判邀请”</w:t>
            </w:r>
          </w:p>
        </w:tc>
      </w:tr>
      <w:tr w14:paraId="2192C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2106DDDE">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2</w:t>
            </w:r>
          </w:p>
        </w:tc>
        <w:tc>
          <w:tcPr>
            <w:tcW w:w="1076" w:type="dxa"/>
            <w:vAlign w:val="center"/>
          </w:tcPr>
          <w:p w14:paraId="500A8098">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2.1</w:t>
            </w:r>
          </w:p>
        </w:tc>
        <w:tc>
          <w:tcPr>
            <w:tcW w:w="8190" w:type="dxa"/>
            <w:gridSpan w:val="2"/>
            <w:vAlign w:val="center"/>
          </w:tcPr>
          <w:p w14:paraId="71AFA0F9">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采购人名称：详见“第一章谈判邀请”</w:t>
            </w:r>
          </w:p>
        </w:tc>
      </w:tr>
      <w:tr w14:paraId="375B6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0F8A448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w:t>
            </w:r>
          </w:p>
        </w:tc>
        <w:tc>
          <w:tcPr>
            <w:tcW w:w="1076" w:type="dxa"/>
            <w:vAlign w:val="center"/>
          </w:tcPr>
          <w:p w14:paraId="7BA4D4D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2.2</w:t>
            </w:r>
          </w:p>
        </w:tc>
        <w:tc>
          <w:tcPr>
            <w:tcW w:w="8190" w:type="dxa"/>
            <w:gridSpan w:val="2"/>
            <w:vAlign w:val="center"/>
          </w:tcPr>
          <w:p w14:paraId="66CF097F">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采购代理机构：详见“第一章谈判邀请”</w:t>
            </w:r>
          </w:p>
        </w:tc>
      </w:tr>
      <w:tr w14:paraId="72B14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1869DED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4</w:t>
            </w:r>
          </w:p>
        </w:tc>
        <w:tc>
          <w:tcPr>
            <w:tcW w:w="1076" w:type="dxa"/>
            <w:vAlign w:val="center"/>
          </w:tcPr>
          <w:p w14:paraId="0C903AB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3.2.1</w:t>
            </w:r>
          </w:p>
        </w:tc>
        <w:tc>
          <w:tcPr>
            <w:tcW w:w="8190" w:type="dxa"/>
            <w:gridSpan w:val="2"/>
          </w:tcPr>
          <w:p w14:paraId="1E770FB5">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本项目是否接受联合体参加竞争性谈判：详见“第一章谈判邀请”</w:t>
            </w:r>
          </w:p>
        </w:tc>
      </w:tr>
      <w:tr w14:paraId="43CD2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42525F0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5</w:t>
            </w:r>
          </w:p>
        </w:tc>
        <w:tc>
          <w:tcPr>
            <w:tcW w:w="1076" w:type="dxa"/>
            <w:vAlign w:val="center"/>
          </w:tcPr>
          <w:p w14:paraId="6EAA69FC">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8</w:t>
            </w:r>
          </w:p>
        </w:tc>
        <w:tc>
          <w:tcPr>
            <w:tcW w:w="8190" w:type="dxa"/>
            <w:gridSpan w:val="2"/>
          </w:tcPr>
          <w:p w14:paraId="494CBE06">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供应商应当提交的资格、资信证明文件</w:t>
            </w:r>
          </w:p>
        </w:tc>
      </w:tr>
      <w:tr w14:paraId="561DD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Merge w:val="restart"/>
            <w:vAlign w:val="center"/>
          </w:tcPr>
          <w:p w14:paraId="70817308">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6</w:t>
            </w:r>
          </w:p>
        </w:tc>
        <w:tc>
          <w:tcPr>
            <w:tcW w:w="1076" w:type="dxa"/>
            <w:vMerge w:val="restart"/>
            <w:vAlign w:val="center"/>
          </w:tcPr>
          <w:p w14:paraId="42829C0E">
            <w:pPr>
              <w:spacing w:line="36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9</w:t>
            </w:r>
          </w:p>
        </w:tc>
        <w:tc>
          <w:tcPr>
            <w:tcW w:w="8190" w:type="dxa"/>
            <w:gridSpan w:val="2"/>
          </w:tcPr>
          <w:p w14:paraId="1FFE3867">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本项目是否适宜由中小企业提供：</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 xml:space="preserve">是    </w:t>
            </w:r>
            <w:r>
              <w:rPr>
                <w:rFonts w:hint="eastAsia" w:ascii="仿宋" w:hAnsi="仿宋" w:eastAsia="仿宋" w:cs="仿宋"/>
                <w:b/>
                <w:sz w:val="24"/>
                <w:szCs w:val="24"/>
                <w:highlight w:val="none"/>
                <w:lang w:eastAsia="zh-CN"/>
              </w:rPr>
              <w:t>☑</w:t>
            </w:r>
            <w:r>
              <w:rPr>
                <w:rFonts w:hint="eastAsia" w:ascii="仿宋" w:hAnsi="仿宋" w:eastAsia="仿宋" w:cs="仿宋"/>
                <w:sz w:val="24"/>
                <w:szCs w:val="24"/>
                <w:highlight w:val="none"/>
              </w:rPr>
              <w:t>否</w:t>
            </w:r>
          </w:p>
          <w:p w14:paraId="05030237">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是否专门面向中小企业：</w:t>
            </w:r>
            <w:r>
              <w:rPr>
                <w:rFonts w:hint="eastAsia" w:ascii="仿宋" w:hAnsi="仿宋" w:eastAsia="仿宋" w:cs="仿宋"/>
                <w:b/>
                <w:sz w:val="24"/>
                <w:szCs w:val="24"/>
                <w:highlight w:val="none"/>
                <w:lang w:eastAsia="zh-CN"/>
              </w:rPr>
              <w:t>□</w:t>
            </w:r>
            <w:r>
              <w:rPr>
                <w:rFonts w:hint="eastAsia" w:ascii="仿宋" w:hAnsi="仿宋" w:eastAsia="仿宋" w:cs="仿宋"/>
                <w:sz w:val="24"/>
                <w:szCs w:val="24"/>
                <w:highlight w:val="none"/>
              </w:rPr>
              <w:t xml:space="preserve">是    </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否</w:t>
            </w:r>
          </w:p>
          <w:p w14:paraId="6F836DC5">
            <w:pPr>
              <w:spacing w:line="420" w:lineRule="exact"/>
              <w:rPr>
                <w:rFonts w:hint="eastAsia" w:ascii="仿宋" w:hAnsi="仿宋" w:eastAsia="仿宋" w:cs="仿宋"/>
                <w:sz w:val="24"/>
                <w:szCs w:val="24"/>
                <w:highlight w:val="none"/>
                <w:u w:val="single"/>
                <w:lang w:eastAsia="zh-CN"/>
              </w:rPr>
            </w:pPr>
            <w:r>
              <w:rPr>
                <w:rFonts w:hint="eastAsia" w:ascii="仿宋" w:hAnsi="仿宋" w:eastAsia="仿宋" w:cs="仿宋"/>
                <w:sz w:val="24"/>
                <w:szCs w:val="24"/>
                <w:highlight w:val="none"/>
              </w:rPr>
              <w:t>预留方式及比例：</w:t>
            </w:r>
            <w:r>
              <w:rPr>
                <w:rFonts w:hint="eastAsia" w:ascii="仿宋" w:hAnsi="仿宋" w:eastAsia="仿宋" w:cs="仿宋"/>
                <w:sz w:val="24"/>
                <w:szCs w:val="24"/>
                <w:highlight w:val="none"/>
                <w:u w:val="single"/>
                <w:lang w:val="en-US" w:eastAsia="zh-CN"/>
              </w:rPr>
              <w:t>/</w:t>
            </w:r>
          </w:p>
          <w:p w14:paraId="01C4B696">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是否专门面向小微企业：</w:t>
            </w:r>
            <w:r>
              <w:rPr>
                <w:rFonts w:hint="eastAsia" w:ascii="仿宋" w:hAnsi="仿宋" w:eastAsia="仿宋" w:cs="仿宋"/>
                <w:b/>
                <w:sz w:val="24"/>
                <w:szCs w:val="24"/>
                <w:highlight w:val="none"/>
              </w:rPr>
              <w:t>□</w:t>
            </w:r>
            <w:r>
              <w:rPr>
                <w:rFonts w:hint="eastAsia" w:ascii="仿宋" w:hAnsi="仿宋" w:eastAsia="仿宋" w:cs="仿宋"/>
                <w:sz w:val="24"/>
                <w:szCs w:val="24"/>
                <w:highlight w:val="none"/>
              </w:rPr>
              <w:t>是    ☑否</w:t>
            </w:r>
          </w:p>
          <w:p w14:paraId="36012A0E">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所属行业：工业（制造业）</w:t>
            </w:r>
          </w:p>
          <w:p w14:paraId="670F6F18">
            <w:pPr>
              <w:spacing w:line="360" w:lineRule="auto"/>
              <w:rPr>
                <w:rFonts w:hint="eastAsia" w:ascii="仿宋" w:hAnsi="仿宋" w:eastAsia="仿宋" w:cs="仿宋"/>
                <w:b/>
                <w:sz w:val="24"/>
                <w:szCs w:val="24"/>
                <w:highlight w:val="none"/>
              </w:rPr>
            </w:pPr>
            <w:r>
              <w:rPr>
                <w:rFonts w:hint="eastAsia" w:ascii="仿宋" w:hAnsi="仿宋" w:eastAsia="仿宋" w:cs="仿宋"/>
                <w:sz w:val="24"/>
                <w:szCs w:val="24"/>
                <w:highlight w:val="none"/>
              </w:rPr>
              <w:t>价格评审优惠政策执行以下，第【</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】项。</w:t>
            </w:r>
          </w:p>
        </w:tc>
      </w:tr>
      <w:tr w14:paraId="702F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Merge w:val="continue"/>
            <w:vAlign w:val="center"/>
          </w:tcPr>
          <w:p w14:paraId="386320E5">
            <w:pPr>
              <w:spacing w:line="360" w:lineRule="auto"/>
              <w:jc w:val="center"/>
              <w:rPr>
                <w:rFonts w:hint="eastAsia" w:ascii="仿宋" w:hAnsi="仿宋" w:eastAsia="仿宋" w:cs="仿宋"/>
                <w:sz w:val="24"/>
                <w:szCs w:val="24"/>
                <w:highlight w:val="none"/>
              </w:rPr>
            </w:pPr>
          </w:p>
        </w:tc>
        <w:tc>
          <w:tcPr>
            <w:tcW w:w="1076" w:type="dxa"/>
            <w:vMerge w:val="continue"/>
            <w:vAlign w:val="center"/>
          </w:tcPr>
          <w:p w14:paraId="2EB60ACC">
            <w:pPr>
              <w:spacing w:line="360" w:lineRule="auto"/>
              <w:jc w:val="center"/>
              <w:rPr>
                <w:rFonts w:hint="eastAsia" w:ascii="仿宋" w:hAnsi="仿宋" w:eastAsia="仿宋" w:cs="仿宋"/>
                <w:sz w:val="24"/>
                <w:szCs w:val="24"/>
                <w:highlight w:val="none"/>
                <w:lang w:val="en-US" w:eastAsia="zh-CN"/>
              </w:rPr>
            </w:pPr>
          </w:p>
        </w:tc>
        <w:tc>
          <w:tcPr>
            <w:tcW w:w="8190" w:type="dxa"/>
            <w:gridSpan w:val="2"/>
            <w:shd w:val="clear" w:color="auto" w:fill="auto"/>
            <w:vAlign w:val="top"/>
          </w:tcPr>
          <w:p w14:paraId="309F8876">
            <w:pPr>
              <w:spacing w:line="420" w:lineRule="exact"/>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【1】专门面向中小企业采购，不再执行价格评审优惠的扶持政策。</w:t>
            </w:r>
          </w:p>
        </w:tc>
      </w:tr>
      <w:tr w14:paraId="4236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Merge w:val="continue"/>
            <w:vAlign w:val="center"/>
          </w:tcPr>
          <w:p w14:paraId="3447444B">
            <w:pPr>
              <w:spacing w:line="360" w:lineRule="auto"/>
              <w:jc w:val="center"/>
              <w:rPr>
                <w:rFonts w:hint="eastAsia" w:ascii="仿宋" w:hAnsi="仿宋" w:eastAsia="仿宋" w:cs="仿宋"/>
                <w:sz w:val="24"/>
                <w:szCs w:val="24"/>
                <w:highlight w:val="none"/>
              </w:rPr>
            </w:pPr>
          </w:p>
        </w:tc>
        <w:tc>
          <w:tcPr>
            <w:tcW w:w="1076" w:type="dxa"/>
            <w:vMerge w:val="continue"/>
            <w:vAlign w:val="center"/>
          </w:tcPr>
          <w:p w14:paraId="5BC7CA46">
            <w:pPr>
              <w:spacing w:line="360" w:lineRule="auto"/>
              <w:jc w:val="center"/>
              <w:rPr>
                <w:rFonts w:hint="eastAsia" w:ascii="仿宋" w:hAnsi="仿宋" w:eastAsia="仿宋" w:cs="仿宋"/>
                <w:sz w:val="24"/>
                <w:szCs w:val="24"/>
                <w:highlight w:val="none"/>
                <w:lang w:val="en-US" w:eastAsia="zh-CN"/>
              </w:rPr>
            </w:pPr>
          </w:p>
        </w:tc>
        <w:tc>
          <w:tcPr>
            <w:tcW w:w="8190" w:type="dxa"/>
            <w:gridSpan w:val="2"/>
            <w:shd w:val="clear" w:color="auto" w:fill="auto"/>
            <w:vAlign w:val="top"/>
          </w:tcPr>
          <w:p w14:paraId="0426CD5E">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【2】不专门面向中小企业采购，享受价格评审优惠的扶持政策：</w:t>
            </w:r>
          </w:p>
          <w:p w14:paraId="0FB278A4">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 对小型和微型企业、监狱企业、残疾人福利性单位参加投标享受的政策：</w:t>
            </w:r>
          </w:p>
          <w:p w14:paraId="678A8447">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9.1 对小型和微型企业的价格给予10%的扣除，用扣除后的价格参与评审。</w:t>
            </w:r>
          </w:p>
          <w:p w14:paraId="2B324A6B">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9.2 监狱企业视同小型、微型企业，享受评审中价格扣除等政府促进中小企业发展的政府采购政策。</w:t>
            </w:r>
          </w:p>
          <w:p w14:paraId="5AFDE39A">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9.3 残疾人福利性单位视同小型、微型企业，享受评审中价格扣除等政府促进中小企业发展的政府采购政策；福利性单位属于小型、微型企业的，不重复享受政策。</w:t>
            </w:r>
          </w:p>
          <w:p w14:paraId="127CF276">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9.4 鼓励大中型企业和其他自然人、法人或者其他组织与小型、微型企业组成联合体共同参加非专门面向中小企业的政府采购活动。联合协议中约定，小型、微型企业的协议合同金额占到联合体协议合同总金额 40%以上的，可给予联合体4%的价格扣除。 (适用于联合体投标)</w:t>
            </w:r>
          </w:p>
          <w:p w14:paraId="4C1BE6CC">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联合体各方均为小型、微型企业的，联合体视同为小型、微型企业。 (适用于联合体投标)</w:t>
            </w:r>
          </w:p>
          <w:p w14:paraId="576AC1CE">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组成联合体的大中型企业和其他自然人、法人或者其他组织，与小型、微型企业之间不得存在投资关系。(适用于联合体投标)</w:t>
            </w:r>
          </w:p>
        </w:tc>
      </w:tr>
      <w:tr w14:paraId="077AB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75" w:type="dxa"/>
            <w:vAlign w:val="center"/>
          </w:tcPr>
          <w:p w14:paraId="214B154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7</w:t>
            </w:r>
          </w:p>
        </w:tc>
        <w:tc>
          <w:tcPr>
            <w:tcW w:w="1076" w:type="dxa"/>
            <w:vAlign w:val="center"/>
          </w:tcPr>
          <w:p w14:paraId="3732478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15</w:t>
            </w:r>
          </w:p>
        </w:tc>
        <w:tc>
          <w:tcPr>
            <w:tcW w:w="8190" w:type="dxa"/>
            <w:gridSpan w:val="2"/>
            <w:vAlign w:val="center"/>
          </w:tcPr>
          <w:p w14:paraId="192658A7">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谈判保证金：</w:t>
            </w:r>
          </w:p>
          <w:p w14:paraId="03E28E8A">
            <w:pPr>
              <w:spacing w:line="360" w:lineRule="auto"/>
              <w:ind w:firstLine="480" w:firstLineChars="200"/>
              <w:rPr>
                <w:rFonts w:ascii="仿宋" w:hAnsi="仿宋" w:eastAsia="仿宋" w:cs="仿宋"/>
                <w:bCs/>
                <w:sz w:val="24"/>
                <w:szCs w:val="24"/>
                <w:highlight w:val="none"/>
              </w:rPr>
            </w:pPr>
            <w:r>
              <w:rPr>
                <w:rFonts w:hint="eastAsia" w:ascii="仿宋" w:hAnsi="仿宋" w:eastAsia="仿宋" w:cs="仿宋"/>
                <w:bCs/>
                <w:sz w:val="24"/>
                <w:szCs w:val="24"/>
                <w:highlight w:val="none"/>
              </w:rPr>
              <w:t>谈判保证金必须在谈判截止时间前到达谈判保证金账户（到账时间以提交的银行到账单为准）。谈判保证金必须从谈判企业法定代表人营业执照注册所在地本单位基本帐户一次性（不含企业的分公司或办事处的帐户）转入下列招标人指定帐户，不能提交现金。</w:t>
            </w:r>
          </w:p>
          <w:p w14:paraId="7CE27624">
            <w:pPr>
              <w:spacing w:line="360" w:lineRule="auto"/>
              <w:rPr>
                <w:rFonts w:ascii="仿宋" w:hAnsi="仿宋" w:eastAsia="仿宋" w:cs="仿宋"/>
                <w:b/>
                <w:bCs/>
                <w:sz w:val="24"/>
                <w:szCs w:val="24"/>
                <w:highlight w:val="none"/>
              </w:rPr>
            </w:pPr>
            <w:r>
              <w:rPr>
                <w:rFonts w:hint="eastAsia" w:ascii="仿宋" w:hAnsi="仿宋" w:eastAsia="仿宋" w:cs="仿宋"/>
                <w:b/>
                <w:sz w:val="24"/>
                <w:szCs w:val="24"/>
                <w:highlight w:val="none"/>
              </w:rPr>
              <w:t>谈判保证金:</w:t>
            </w:r>
            <w:r>
              <w:rPr>
                <w:rFonts w:hint="eastAsia" w:ascii="仿宋" w:hAnsi="仿宋" w:eastAsia="仿宋" w:cs="仿宋"/>
                <w:b/>
                <w:bCs/>
                <w:sz w:val="24"/>
                <w:szCs w:val="24"/>
                <w:highlight w:val="none"/>
              </w:rPr>
              <w:t>人民币</w:t>
            </w:r>
            <w:r>
              <w:rPr>
                <w:rFonts w:hint="eastAsia" w:ascii="仿宋" w:hAnsi="仿宋" w:eastAsia="仿宋" w:cs="仿宋"/>
                <w:b/>
                <w:bCs/>
                <w:sz w:val="24"/>
                <w:szCs w:val="24"/>
                <w:highlight w:val="none"/>
                <w:lang w:val="en-US" w:eastAsia="zh-CN"/>
              </w:rPr>
              <w:t>玖</w:t>
            </w:r>
            <w:r>
              <w:rPr>
                <w:rFonts w:hint="eastAsia" w:ascii="仿宋" w:hAnsi="仿宋" w:eastAsia="仿宋" w:cs="仿宋"/>
                <w:b/>
                <w:bCs/>
                <w:sz w:val="24"/>
                <w:szCs w:val="24"/>
                <w:highlight w:val="none"/>
              </w:rPr>
              <w:t>仟元整（小写：</w:t>
            </w:r>
            <w:r>
              <w:rPr>
                <w:rFonts w:hint="eastAsia" w:ascii="仿宋" w:hAnsi="仿宋" w:eastAsia="仿宋" w:cs="仿宋"/>
                <w:b/>
                <w:bCs/>
                <w:sz w:val="24"/>
                <w:szCs w:val="24"/>
                <w:highlight w:val="none"/>
                <w:lang w:val="en-US" w:eastAsia="zh-CN"/>
              </w:rPr>
              <w:t>9</w:t>
            </w:r>
            <w:r>
              <w:rPr>
                <w:rFonts w:hint="eastAsia" w:ascii="仿宋" w:hAnsi="仿宋" w:eastAsia="仿宋" w:cs="仿宋"/>
                <w:b/>
                <w:bCs/>
                <w:sz w:val="24"/>
                <w:szCs w:val="24"/>
                <w:highlight w:val="none"/>
              </w:rPr>
              <w:t>000.00元）；</w:t>
            </w:r>
            <w:r>
              <w:rPr>
                <w:rFonts w:ascii="仿宋" w:hAnsi="仿宋" w:eastAsia="仿宋" w:cs="仿宋"/>
                <w:b/>
                <w:bCs/>
                <w:sz w:val="24"/>
                <w:szCs w:val="24"/>
                <w:highlight w:val="none"/>
              </w:rPr>
              <w:t xml:space="preserve"> </w:t>
            </w:r>
          </w:p>
          <w:p w14:paraId="11A3B8D6">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谈判保证金转入账户：</w:t>
            </w:r>
            <w:r>
              <w:rPr>
                <w:rFonts w:ascii="仿宋" w:hAnsi="仿宋" w:eastAsia="仿宋" w:cs="仿宋"/>
                <w:b/>
                <w:sz w:val="24"/>
                <w:szCs w:val="24"/>
                <w:highlight w:val="none"/>
              </w:rPr>
              <w:t xml:space="preserve"> </w:t>
            </w:r>
          </w:p>
          <w:p w14:paraId="16267035">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1.账户名：抚州市公共资源交易中心东乡分中心</w:t>
            </w:r>
          </w:p>
          <w:p w14:paraId="42BCB591">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开户行：工商银行东乡支行</w:t>
            </w:r>
            <w:r>
              <w:rPr>
                <w:rFonts w:ascii="仿宋" w:hAnsi="仿宋" w:eastAsia="仿宋" w:cs="仿宋"/>
                <w:b/>
                <w:sz w:val="24"/>
                <w:szCs w:val="24"/>
                <w:highlight w:val="none"/>
              </w:rPr>
              <w:t xml:space="preserve"> </w:t>
            </w:r>
          </w:p>
          <w:p w14:paraId="5E6AF2C8">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银行账号：</w:t>
            </w:r>
            <w:r>
              <w:rPr>
                <w:rFonts w:ascii="仿宋" w:hAnsi="仿宋" w:eastAsia="仿宋" w:cs="仿宋"/>
                <w:b/>
                <w:sz w:val="24"/>
                <w:szCs w:val="24"/>
                <w:highlight w:val="none"/>
              </w:rPr>
              <w:t>1511207029200052687</w:t>
            </w:r>
          </w:p>
          <w:p w14:paraId="3384822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2.账户名：抚州市公共资源交易中心东乡分中心</w:t>
            </w:r>
          </w:p>
          <w:p w14:paraId="4333332A">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开户行：农业银行东乡支行</w:t>
            </w:r>
          </w:p>
          <w:p w14:paraId="66699288">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银行账号：</w:t>
            </w:r>
            <w:r>
              <w:rPr>
                <w:rFonts w:ascii="仿宋" w:hAnsi="仿宋" w:eastAsia="仿宋" w:cs="仿宋"/>
                <w:b/>
                <w:sz w:val="24"/>
                <w:szCs w:val="24"/>
                <w:highlight w:val="none"/>
              </w:rPr>
              <w:t xml:space="preserve">14-055101040023616  </w:t>
            </w:r>
          </w:p>
          <w:p w14:paraId="260B800A">
            <w:pPr>
              <w:spacing w:line="360" w:lineRule="auto"/>
              <w:rPr>
                <w:rFonts w:ascii="仿宋" w:hAnsi="仿宋" w:eastAsia="仿宋" w:cs="仿宋"/>
                <w:b/>
                <w:sz w:val="24"/>
                <w:szCs w:val="24"/>
                <w:highlight w:val="none"/>
              </w:rPr>
            </w:pPr>
            <w:r>
              <w:rPr>
                <w:rFonts w:ascii="仿宋" w:hAnsi="仿宋" w:eastAsia="仿宋" w:cs="仿宋"/>
                <w:b/>
                <w:sz w:val="24"/>
                <w:szCs w:val="24"/>
                <w:highlight w:val="none"/>
              </w:rPr>
              <w:t>3</w:t>
            </w:r>
            <w:r>
              <w:rPr>
                <w:rFonts w:hint="eastAsia" w:ascii="仿宋" w:hAnsi="仿宋" w:eastAsia="仿宋" w:cs="仿宋"/>
                <w:b/>
                <w:sz w:val="24"/>
                <w:szCs w:val="24"/>
                <w:highlight w:val="none"/>
              </w:rPr>
              <w:t>.账户名：抚州市公共资源交易中心东乡分中心</w:t>
            </w:r>
          </w:p>
          <w:p w14:paraId="5784AF02">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开户行：中国银行东乡支行</w:t>
            </w:r>
          </w:p>
          <w:p w14:paraId="564A0EA3">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银行账号：</w:t>
            </w:r>
            <w:r>
              <w:rPr>
                <w:rFonts w:ascii="仿宋" w:hAnsi="仿宋" w:eastAsia="仿宋" w:cs="仿宋"/>
                <w:b/>
                <w:sz w:val="24"/>
                <w:szCs w:val="24"/>
                <w:highlight w:val="none"/>
              </w:rPr>
              <w:t>194717127051</w:t>
            </w:r>
          </w:p>
          <w:p w14:paraId="3C9844BE">
            <w:pPr>
              <w:spacing w:line="360" w:lineRule="auto"/>
              <w:rPr>
                <w:rFonts w:ascii="仿宋" w:hAnsi="仿宋" w:eastAsia="仿宋" w:cs="仿宋"/>
                <w:b/>
                <w:sz w:val="24"/>
                <w:szCs w:val="24"/>
                <w:highlight w:val="none"/>
              </w:rPr>
            </w:pPr>
            <w:r>
              <w:rPr>
                <w:rFonts w:ascii="仿宋" w:hAnsi="仿宋" w:eastAsia="仿宋" w:cs="仿宋"/>
                <w:b/>
                <w:sz w:val="24"/>
                <w:szCs w:val="24"/>
                <w:highlight w:val="none"/>
              </w:rPr>
              <w:t>4</w:t>
            </w:r>
            <w:r>
              <w:rPr>
                <w:rFonts w:hint="eastAsia" w:ascii="仿宋" w:hAnsi="仿宋" w:eastAsia="仿宋" w:cs="仿宋"/>
                <w:b/>
                <w:sz w:val="24"/>
                <w:szCs w:val="24"/>
                <w:highlight w:val="none"/>
              </w:rPr>
              <w:t>.账户名：抚州市公共资源交易中心东乡分中心</w:t>
            </w:r>
          </w:p>
          <w:p w14:paraId="54A7FE3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开户行：建设银行东乡支行</w:t>
            </w:r>
          </w:p>
          <w:p w14:paraId="071A6839">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帐号：36001551210052503110</w:t>
            </w:r>
          </w:p>
          <w:p w14:paraId="3800F813">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5</w:t>
            </w:r>
            <w:r>
              <w:rPr>
                <w:rFonts w:ascii="仿宋" w:hAnsi="仿宋" w:eastAsia="仿宋" w:cs="仿宋"/>
                <w:b/>
                <w:sz w:val="24"/>
                <w:szCs w:val="24"/>
                <w:highlight w:val="none"/>
              </w:rPr>
              <w:t>.</w:t>
            </w:r>
            <w:r>
              <w:rPr>
                <w:rFonts w:hint="eastAsia" w:ascii="仿宋" w:hAnsi="仿宋" w:eastAsia="仿宋" w:cs="仿宋"/>
                <w:b/>
                <w:sz w:val="24"/>
                <w:szCs w:val="24"/>
                <w:highlight w:val="none"/>
              </w:rPr>
              <w:t>账户名：抚州市公共资源交易中心东乡分中心</w:t>
            </w:r>
          </w:p>
          <w:p w14:paraId="37154A7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开户行：上饶银行东乡支行</w:t>
            </w:r>
          </w:p>
          <w:p w14:paraId="58770C1E">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帐号：206603110000000178</w:t>
            </w:r>
          </w:p>
          <w:p w14:paraId="6A4D59F5">
            <w:pPr>
              <w:spacing w:line="360" w:lineRule="auto"/>
              <w:ind w:firstLine="482" w:firstLineChars="200"/>
              <w:rPr>
                <w:rFonts w:hint="eastAsia" w:ascii="仿宋" w:hAnsi="仿宋" w:eastAsia="仿宋" w:cs="仿宋"/>
                <w:b/>
                <w:sz w:val="24"/>
                <w:szCs w:val="24"/>
                <w:highlight w:val="none"/>
              </w:rPr>
            </w:pPr>
          </w:p>
          <w:p w14:paraId="2D72B286">
            <w:pPr>
              <w:spacing w:line="360" w:lineRule="auto"/>
              <w:ind w:firstLine="482" w:firstLineChars="200"/>
              <w:rPr>
                <w:rFonts w:hint="eastAsia" w:ascii="仿宋" w:hAnsi="仿宋" w:eastAsia="仿宋" w:cs="仿宋"/>
                <w:b/>
                <w:sz w:val="24"/>
                <w:szCs w:val="24"/>
                <w:highlight w:val="none"/>
              </w:rPr>
            </w:pPr>
          </w:p>
          <w:p w14:paraId="42419297">
            <w:pPr>
              <w:spacing w:line="360" w:lineRule="auto"/>
              <w:ind w:firstLine="482" w:firstLineChars="200"/>
              <w:rPr>
                <w:rFonts w:hint="eastAsia" w:ascii="仿宋" w:hAnsi="仿宋" w:eastAsia="仿宋"/>
                <w:b/>
                <w:sz w:val="24"/>
                <w:highlight w:val="none"/>
              </w:rPr>
            </w:pPr>
            <w:r>
              <w:rPr>
                <w:rFonts w:hint="eastAsia" w:ascii="仿宋" w:hAnsi="仿宋" w:eastAsia="仿宋" w:cs="仿宋"/>
                <w:b/>
                <w:sz w:val="24"/>
                <w:szCs w:val="24"/>
                <w:highlight w:val="none"/>
              </w:rPr>
              <w:t>凭证请注明“项目名称”字样；未按要求汇出到账或标注不清，影响谈判的，由谈判人自行负责。</w:t>
            </w:r>
            <w:bookmarkStart w:id="98" w:name="_GoBack"/>
            <w:bookmarkEnd w:id="98"/>
          </w:p>
          <w:p w14:paraId="0DF72F2B">
            <w:pPr>
              <w:spacing w:line="360" w:lineRule="auto"/>
              <w:rPr>
                <w:rFonts w:ascii="仿宋" w:hAnsi="仿宋" w:eastAsia="仿宋"/>
                <w:b/>
                <w:sz w:val="24"/>
                <w:highlight w:val="none"/>
              </w:rPr>
            </w:pPr>
          </w:p>
        </w:tc>
      </w:tr>
      <w:tr w14:paraId="2F64D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75" w:type="dxa"/>
            <w:vAlign w:val="center"/>
          </w:tcPr>
          <w:p w14:paraId="3C3C06B8">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8</w:t>
            </w:r>
          </w:p>
        </w:tc>
        <w:tc>
          <w:tcPr>
            <w:tcW w:w="1076" w:type="dxa"/>
            <w:vAlign w:val="center"/>
          </w:tcPr>
          <w:p w14:paraId="0404814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16</w:t>
            </w:r>
          </w:p>
        </w:tc>
        <w:tc>
          <w:tcPr>
            <w:tcW w:w="8190" w:type="dxa"/>
            <w:gridSpan w:val="2"/>
          </w:tcPr>
          <w:p w14:paraId="29EC710F">
            <w:pPr>
              <w:spacing w:line="360" w:lineRule="auto"/>
              <w:rPr>
                <w:rFonts w:ascii="仿宋" w:hAnsi="仿宋" w:eastAsia="仿宋" w:cs="仿宋"/>
                <w:b/>
                <w:sz w:val="24"/>
                <w:szCs w:val="24"/>
                <w:highlight w:val="none"/>
              </w:rPr>
            </w:pPr>
            <w:r>
              <w:rPr>
                <w:rFonts w:hint="eastAsia" w:ascii="仿宋" w:hAnsi="仿宋" w:eastAsia="仿宋" w:cs="仿宋"/>
                <w:sz w:val="24"/>
                <w:szCs w:val="24"/>
                <w:highlight w:val="none"/>
              </w:rPr>
              <w:t>谈判有效期：自谈判之日起</w:t>
            </w:r>
            <w:r>
              <w:rPr>
                <w:rFonts w:hint="eastAsia" w:ascii="仿宋" w:hAnsi="仿宋" w:eastAsia="仿宋" w:cs="仿宋"/>
                <w:sz w:val="24"/>
                <w:szCs w:val="24"/>
                <w:highlight w:val="none"/>
                <w:u w:val="single"/>
              </w:rPr>
              <w:t xml:space="preserve"> </w:t>
            </w:r>
            <w:r>
              <w:rPr>
                <w:rFonts w:hint="eastAsia" w:ascii="仿宋" w:hAnsi="仿宋" w:eastAsia="仿宋" w:cs="仿宋"/>
                <w:b/>
                <w:sz w:val="24"/>
                <w:szCs w:val="24"/>
                <w:highlight w:val="none"/>
                <w:u w:val="single"/>
              </w:rPr>
              <w:t xml:space="preserve">90 </w:t>
            </w:r>
            <w:r>
              <w:rPr>
                <w:rFonts w:hint="eastAsia" w:ascii="仿宋" w:hAnsi="仿宋" w:eastAsia="仿宋" w:cs="仿宋"/>
                <w:b/>
                <w:sz w:val="24"/>
                <w:szCs w:val="24"/>
                <w:highlight w:val="none"/>
              </w:rPr>
              <w:t>天</w:t>
            </w:r>
          </w:p>
        </w:tc>
      </w:tr>
      <w:tr w14:paraId="613FE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75" w:type="dxa"/>
            <w:vAlign w:val="center"/>
          </w:tcPr>
          <w:p w14:paraId="0FE6593B">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9</w:t>
            </w:r>
          </w:p>
        </w:tc>
        <w:tc>
          <w:tcPr>
            <w:tcW w:w="1076" w:type="dxa"/>
            <w:vAlign w:val="center"/>
          </w:tcPr>
          <w:p w14:paraId="2024C88F">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18</w:t>
            </w:r>
          </w:p>
        </w:tc>
        <w:tc>
          <w:tcPr>
            <w:tcW w:w="8190" w:type="dxa"/>
            <w:gridSpan w:val="2"/>
          </w:tcPr>
          <w:p w14:paraId="2DFD2510">
            <w:pPr>
              <w:spacing w:line="360" w:lineRule="auto"/>
              <w:ind w:left="567" w:hanging="567"/>
              <w:rPr>
                <w:rFonts w:ascii="仿宋" w:hAnsi="仿宋" w:eastAsia="仿宋"/>
                <w:sz w:val="24"/>
                <w:szCs w:val="24"/>
                <w:highlight w:val="none"/>
              </w:rPr>
            </w:pPr>
            <w:r>
              <w:rPr>
                <w:rFonts w:hint="eastAsia" w:ascii="仿宋" w:hAnsi="仿宋" w:eastAsia="仿宋"/>
                <w:sz w:val="24"/>
                <w:szCs w:val="24"/>
                <w:highlight w:val="none"/>
              </w:rPr>
              <w:t>响应文件的份数：正本1份、 副本</w:t>
            </w:r>
            <w:r>
              <w:rPr>
                <w:rFonts w:ascii="仿宋" w:hAnsi="仿宋" w:eastAsia="仿宋"/>
                <w:sz w:val="24"/>
                <w:szCs w:val="24"/>
                <w:highlight w:val="none"/>
              </w:rPr>
              <w:t>2</w:t>
            </w:r>
            <w:r>
              <w:rPr>
                <w:rFonts w:hint="eastAsia" w:ascii="仿宋" w:hAnsi="仿宋" w:eastAsia="仿宋"/>
                <w:sz w:val="24"/>
                <w:szCs w:val="24"/>
                <w:highlight w:val="none"/>
              </w:rPr>
              <w:t>份</w:t>
            </w:r>
          </w:p>
          <w:p w14:paraId="332CC1AB">
            <w:pPr>
              <w:spacing w:line="360" w:lineRule="auto"/>
              <w:rPr>
                <w:rFonts w:ascii="仿宋" w:hAnsi="仿宋" w:eastAsia="仿宋" w:cs="仿宋"/>
                <w:sz w:val="24"/>
                <w:szCs w:val="24"/>
                <w:highlight w:val="none"/>
              </w:rPr>
            </w:pPr>
            <w:r>
              <w:rPr>
                <w:rFonts w:hint="eastAsia" w:ascii="仿宋" w:hAnsi="仿宋" w:eastAsia="仿宋"/>
                <w:b/>
                <w:sz w:val="24"/>
                <w:szCs w:val="24"/>
                <w:highlight w:val="none"/>
              </w:rPr>
              <w:t>注：响应文件正、副本均须胶装</w:t>
            </w:r>
          </w:p>
        </w:tc>
      </w:tr>
      <w:tr w14:paraId="22A79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875" w:type="dxa"/>
            <w:vAlign w:val="center"/>
          </w:tcPr>
          <w:p w14:paraId="0E2A752F">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10</w:t>
            </w:r>
          </w:p>
        </w:tc>
        <w:tc>
          <w:tcPr>
            <w:tcW w:w="1076" w:type="dxa"/>
            <w:vAlign w:val="center"/>
          </w:tcPr>
          <w:p w14:paraId="3EFBE62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19</w:t>
            </w:r>
          </w:p>
        </w:tc>
        <w:tc>
          <w:tcPr>
            <w:tcW w:w="8190" w:type="dxa"/>
            <w:gridSpan w:val="2"/>
            <w:vAlign w:val="center"/>
          </w:tcPr>
          <w:p w14:paraId="587187C3">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响应文件递交截止时间：详见“第一章谈判邀请”</w:t>
            </w:r>
          </w:p>
          <w:p w14:paraId="787DB9AF">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谈判时间：详见“第一章谈判邀请”</w:t>
            </w:r>
          </w:p>
          <w:p w14:paraId="5E2A6C6B">
            <w:pPr>
              <w:spacing w:line="360" w:lineRule="auto"/>
              <w:jc w:val="left"/>
              <w:rPr>
                <w:rFonts w:ascii="仿宋" w:hAnsi="仿宋" w:eastAsia="仿宋" w:cs="仿宋"/>
                <w:sz w:val="24"/>
                <w:szCs w:val="24"/>
                <w:highlight w:val="none"/>
              </w:rPr>
            </w:pPr>
            <w:r>
              <w:rPr>
                <w:rFonts w:hint="eastAsia" w:ascii="仿宋" w:hAnsi="仿宋" w:eastAsia="仿宋" w:cs="仿宋"/>
                <w:sz w:val="24"/>
                <w:szCs w:val="24"/>
                <w:highlight w:val="none"/>
              </w:rPr>
              <w:t>谈判地点：详见“第一章谈判邀请”</w:t>
            </w:r>
          </w:p>
        </w:tc>
      </w:tr>
      <w:tr w14:paraId="52D0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875" w:type="dxa"/>
            <w:vAlign w:val="center"/>
          </w:tcPr>
          <w:p w14:paraId="362BCA25">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11</w:t>
            </w:r>
          </w:p>
        </w:tc>
        <w:tc>
          <w:tcPr>
            <w:tcW w:w="1076" w:type="dxa"/>
            <w:vAlign w:val="center"/>
          </w:tcPr>
          <w:p w14:paraId="3B716B44">
            <w:pPr>
              <w:spacing w:line="360" w:lineRule="auto"/>
              <w:jc w:val="center"/>
              <w:rPr>
                <w:rFonts w:ascii="仿宋" w:hAnsi="仿宋" w:eastAsia="仿宋" w:cs="仿宋"/>
                <w:dstrike/>
                <w:sz w:val="24"/>
                <w:szCs w:val="24"/>
                <w:highlight w:val="none"/>
              </w:rPr>
            </w:pPr>
            <w:r>
              <w:rPr>
                <w:rFonts w:hint="eastAsia" w:ascii="仿宋" w:hAnsi="仿宋" w:eastAsia="仿宋" w:cs="仿宋"/>
                <w:sz w:val="24"/>
                <w:szCs w:val="24"/>
                <w:highlight w:val="none"/>
              </w:rPr>
              <w:t>26</w:t>
            </w:r>
          </w:p>
        </w:tc>
        <w:tc>
          <w:tcPr>
            <w:tcW w:w="8190" w:type="dxa"/>
            <w:gridSpan w:val="2"/>
            <w:vAlign w:val="center"/>
          </w:tcPr>
          <w:p w14:paraId="01214B69">
            <w:pPr>
              <w:adjustRightInd w:val="0"/>
              <w:snapToGrid w:val="0"/>
              <w:spacing w:line="360" w:lineRule="auto"/>
              <w:rPr>
                <w:rFonts w:ascii="仿宋" w:hAnsi="仿宋" w:eastAsia="仿宋" w:cs="仿宋"/>
                <w:b/>
                <w:sz w:val="24"/>
                <w:szCs w:val="24"/>
                <w:highlight w:val="none"/>
                <w:lang w:val="en-GB"/>
              </w:rPr>
            </w:pPr>
            <w:r>
              <w:rPr>
                <w:rFonts w:hint="eastAsia" w:ascii="仿宋" w:hAnsi="仿宋" w:eastAsia="仿宋" w:cs="仿宋"/>
                <w:b/>
                <w:sz w:val="24"/>
                <w:szCs w:val="24"/>
                <w:highlight w:val="none"/>
                <w:lang w:val="en-GB"/>
              </w:rPr>
              <w:t>推荐成交候选供应商方法及提供相同品牌产品的不同供应商参加同一合同项下谈判的，参加评审、获得成交供应商推荐资格的认定：</w:t>
            </w:r>
          </w:p>
          <w:p w14:paraId="1C0C90AF">
            <w:pPr>
              <w:adjustRightInd w:val="0"/>
              <w:snapToGrid w:val="0"/>
              <w:spacing w:line="360" w:lineRule="auto"/>
              <w:rPr>
                <w:rFonts w:ascii="仿宋" w:hAnsi="仿宋" w:eastAsia="仿宋" w:cs="仿宋"/>
                <w:b/>
                <w:sz w:val="24"/>
                <w:szCs w:val="24"/>
                <w:highlight w:val="none"/>
                <w:lang w:val="en-GB"/>
              </w:rPr>
            </w:pPr>
            <w:r>
              <w:rPr>
                <w:rFonts w:hint="eastAsia" w:ascii="仿宋" w:hAnsi="仿宋" w:eastAsia="仿宋" w:cs="仿宋"/>
                <w:b/>
                <w:sz w:val="24"/>
                <w:szCs w:val="24"/>
                <w:highlight w:val="none"/>
                <w:lang w:val="en-GB"/>
              </w:rPr>
              <w:t>提供相同品牌产品的不同供应商参加本项目谈判的，以其中通过资格性审查、符合性审查且最后报价最低的参加评审。报价相同的，由谈判小组随机抽取一个参加评审的供应商， 其他响应文件无效。</w:t>
            </w:r>
          </w:p>
          <w:p w14:paraId="688A9DE8">
            <w:pPr>
              <w:adjustRightInd w:val="0"/>
              <w:snapToGrid w:val="0"/>
              <w:spacing w:line="360" w:lineRule="auto"/>
              <w:rPr>
                <w:rFonts w:hint="eastAsia" w:ascii="仿宋" w:hAnsi="仿宋" w:eastAsia="仿宋" w:cs="仿宋"/>
                <w:b/>
                <w:sz w:val="24"/>
                <w:szCs w:val="24"/>
                <w:highlight w:val="none"/>
                <w:lang w:val="en-GB"/>
              </w:rPr>
            </w:pPr>
            <w:r>
              <w:rPr>
                <w:rFonts w:hint="eastAsia" w:ascii="仿宋" w:hAnsi="仿宋" w:eastAsia="仿宋" w:cs="仿宋"/>
                <w:b/>
                <w:sz w:val="24"/>
                <w:szCs w:val="24"/>
                <w:highlight w:val="none"/>
                <w:lang w:val="en-GB"/>
              </w:rPr>
              <w:t>核心产品：</w:t>
            </w:r>
            <w:r>
              <w:rPr>
                <w:rFonts w:hint="eastAsia" w:ascii="仿宋" w:hAnsi="仿宋" w:eastAsia="仿宋" w:cs="仿宋"/>
                <w:b/>
                <w:sz w:val="24"/>
                <w:szCs w:val="24"/>
                <w:highlight w:val="none"/>
                <w:lang w:val="en-US" w:eastAsia="zh-CN"/>
              </w:rPr>
              <w:t>电梯</w:t>
            </w:r>
            <w:r>
              <w:rPr>
                <w:rFonts w:hint="eastAsia" w:ascii="仿宋" w:hAnsi="仿宋" w:eastAsia="仿宋" w:cs="仿宋"/>
                <w:b/>
                <w:sz w:val="24"/>
                <w:szCs w:val="24"/>
                <w:highlight w:val="none"/>
                <w:lang w:val="en-GB"/>
              </w:rPr>
              <w:t>。</w:t>
            </w:r>
          </w:p>
          <w:p w14:paraId="26322640">
            <w:pPr>
              <w:pStyle w:val="2"/>
              <w:ind w:left="0" w:leftChars="0" w:firstLine="0" w:firstLineChars="0"/>
              <w:rPr>
                <w:rFonts w:hint="default" w:eastAsia="仿宋"/>
                <w:highlight w:val="none"/>
                <w:lang w:val="en-US" w:eastAsia="zh-CN"/>
              </w:rPr>
            </w:pPr>
            <w:r>
              <w:rPr>
                <w:rFonts w:hint="eastAsia" w:ascii="仿宋" w:hAnsi="仿宋" w:eastAsia="仿宋" w:cs="仿宋"/>
                <w:b/>
                <w:sz w:val="24"/>
                <w:szCs w:val="24"/>
                <w:highlight w:val="none"/>
                <w:lang w:val="en-US" w:eastAsia="zh-CN"/>
              </w:rPr>
              <w:t>标的所属行业：工业</w:t>
            </w:r>
          </w:p>
          <w:p w14:paraId="76223928">
            <w:pPr>
              <w:adjustRightInd w:val="0"/>
              <w:snapToGrid w:val="0"/>
              <w:spacing w:line="360" w:lineRule="auto"/>
              <w:rPr>
                <w:rFonts w:ascii="仿宋" w:hAnsi="仿宋" w:eastAsia="仿宋" w:cs="仿宋"/>
                <w:b/>
                <w:sz w:val="24"/>
                <w:szCs w:val="24"/>
                <w:highlight w:val="none"/>
                <w:lang w:val="en-GB"/>
              </w:rPr>
            </w:pPr>
            <w:r>
              <w:rPr>
                <w:rFonts w:hint="eastAsia" w:ascii="仿宋" w:hAnsi="仿宋" w:eastAsia="仿宋" w:cs="仿宋"/>
                <w:b/>
                <w:sz w:val="24"/>
                <w:szCs w:val="24"/>
                <w:highlight w:val="none"/>
                <w:lang w:val="en-GB"/>
              </w:rPr>
              <w:t>成交标准：</w:t>
            </w:r>
          </w:p>
          <w:p w14:paraId="1BAF0F52">
            <w:pPr>
              <w:adjustRightInd w:val="0"/>
              <w:snapToGrid w:val="0"/>
              <w:spacing w:line="360" w:lineRule="auto"/>
              <w:ind w:firstLine="482" w:firstLineChars="200"/>
              <w:rPr>
                <w:rFonts w:ascii="仿宋" w:hAnsi="仿宋" w:eastAsia="仿宋" w:cs="仿宋"/>
                <w:dstrike/>
                <w:sz w:val="24"/>
                <w:szCs w:val="24"/>
                <w:highlight w:val="none"/>
              </w:rPr>
            </w:pPr>
            <w:r>
              <w:rPr>
                <w:rFonts w:hint="eastAsia" w:ascii="仿宋" w:hAnsi="仿宋" w:eastAsia="仿宋" w:cs="仿宋"/>
                <w:b/>
                <w:sz w:val="24"/>
                <w:szCs w:val="24"/>
                <w:highlight w:val="none"/>
                <w:lang w:val="en-GB"/>
              </w:rPr>
              <w:t>根据质量和服务均能满足竞争性谈判文件实质性响应要求且最后报价最低的原则确定成交供应商。</w:t>
            </w:r>
          </w:p>
        </w:tc>
      </w:tr>
      <w:tr w14:paraId="753FC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875" w:type="dxa"/>
            <w:vAlign w:val="center"/>
          </w:tcPr>
          <w:p w14:paraId="4B9B438B">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12</w:t>
            </w:r>
          </w:p>
        </w:tc>
        <w:tc>
          <w:tcPr>
            <w:tcW w:w="1076" w:type="dxa"/>
            <w:vAlign w:val="center"/>
          </w:tcPr>
          <w:p w14:paraId="162C4B1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33</w:t>
            </w:r>
          </w:p>
        </w:tc>
        <w:tc>
          <w:tcPr>
            <w:tcW w:w="8190" w:type="dxa"/>
            <w:gridSpan w:val="2"/>
            <w:vAlign w:val="center"/>
          </w:tcPr>
          <w:p w14:paraId="6F89FD7B">
            <w:pPr>
              <w:spacing w:line="360" w:lineRule="auto"/>
              <w:rPr>
                <w:rFonts w:ascii="仿宋" w:hAnsi="仿宋" w:eastAsia="仿宋" w:cs="仿宋"/>
                <w:sz w:val="24"/>
                <w:szCs w:val="24"/>
                <w:highlight w:val="none"/>
              </w:rPr>
            </w:pPr>
            <w:r>
              <w:rPr>
                <w:rFonts w:hint="eastAsia" w:ascii="仿宋" w:hAnsi="仿宋" w:eastAsia="仿宋" w:cs="仿宋"/>
                <w:b/>
                <w:bCs/>
                <w:sz w:val="24"/>
                <w:szCs w:val="24"/>
                <w:highlight w:val="none"/>
              </w:rPr>
              <w:t>33.1履约保证金金额：</w:t>
            </w:r>
            <w:r>
              <w:rPr>
                <w:rFonts w:hint="eastAsia" w:ascii="仿宋" w:hAnsi="仿宋" w:eastAsia="仿宋" w:cs="仿宋"/>
                <w:bCs/>
                <w:sz w:val="24"/>
                <w:szCs w:val="24"/>
                <w:highlight w:val="none"/>
              </w:rPr>
              <w:t>合同金额的10%，在签订合同前将履约保证金一次性转入招标人指定账户，供货安装完成并验收合格后，中标人进行申请，7个工作日后一次性无息返还履约保证金。</w:t>
            </w:r>
          </w:p>
        </w:tc>
      </w:tr>
      <w:tr w14:paraId="2462A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75" w:type="dxa"/>
            <w:vMerge w:val="restart"/>
            <w:vAlign w:val="center"/>
          </w:tcPr>
          <w:p w14:paraId="43ABFCC9">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13</w:t>
            </w:r>
          </w:p>
        </w:tc>
        <w:tc>
          <w:tcPr>
            <w:tcW w:w="1076" w:type="dxa"/>
            <w:vMerge w:val="restart"/>
            <w:vAlign w:val="center"/>
          </w:tcPr>
          <w:p w14:paraId="4D8480F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37</w:t>
            </w:r>
          </w:p>
        </w:tc>
        <w:tc>
          <w:tcPr>
            <w:tcW w:w="8190" w:type="dxa"/>
            <w:gridSpan w:val="2"/>
            <w:vAlign w:val="center"/>
          </w:tcPr>
          <w:p w14:paraId="37DCB577">
            <w:pPr>
              <w:spacing w:line="360" w:lineRule="auto"/>
              <w:ind w:left="1"/>
              <w:rPr>
                <w:rFonts w:ascii="仿宋" w:hAnsi="仿宋" w:eastAsia="仿宋" w:cs="仿宋"/>
                <w:b/>
                <w:sz w:val="24"/>
                <w:szCs w:val="24"/>
                <w:highlight w:val="none"/>
              </w:rPr>
            </w:pPr>
            <w:r>
              <w:rPr>
                <w:rFonts w:hint="eastAsia" w:ascii="仿宋" w:hAnsi="仿宋" w:eastAsia="仿宋" w:cs="仿宋"/>
                <w:sz w:val="24"/>
                <w:szCs w:val="24"/>
                <w:highlight w:val="none"/>
              </w:rPr>
              <w:t>采购代理服务费：</w:t>
            </w:r>
            <w:r>
              <w:rPr>
                <w:rFonts w:hint="eastAsia" w:ascii="仿宋" w:hAnsi="仿宋" w:eastAsia="仿宋" w:cs="仿宋"/>
                <w:b/>
                <w:sz w:val="24"/>
                <w:szCs w:val="24"/>
                <w:highlight w:val="none"/>
              </w:rPr>
              <w:t>向中标人收取代理服务费。采购代理服务费按差额定率累进法计算收取，收费标准如下表所列：</w:t>
            </w:r>
          </w:p>
          <w:p w14:paraId="213197F7">
            <w:pPr>
              <w:spacing w:line="360" w:lineRule="auto"/>
              <w:rPr>
                <w:rFonts w:ascii="仿宋" w:hAnsi="仿宋" w:eastAsia="仿宋" w:cs="仿宋"/>
                <w:sz w:val="24"/>
                <w:szCs w:val="24"/>
                <w:highlight w:val="none"/>
              </w:rPr>
            </w:pPr>
            <w:r>
              <w:rPr>
                <w:rFonts w:hint="eastAsia" w:ascii="仿宋" w:hAnsi="仿宋" w:eastAsia="仿宋" w:cs="仿宋"/>
                <w:b/>
                <w:sz w:val="24"/>
                <w:szCs w:val="24"/>
                <w:highlight w:val="none"/>
              </w:rPr>
              <w:t>收费标准＝(中标金额×收费费率)</w:t>
            </w:r>
          </w:p>
        </w:tc>
      </w:tr>
      <w:tr w14:paraId="5BDA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875" w:type="dxa"/>
            <w:vMerge w:val="continue"/>
            <w:vAlign w:val="center"/>
          </w:tcPr>
          <w:p w14:paraId="4DB12337">
            <w:pPr>
              <w:spacing w:line="360" w:lineRule="auto"/>
              <w:rPr>
                <w:rFonts w:ascii="仿宋" w:hAnsi="仿宋" w:eastAsia="仿宋"/>
                <w:highlight w:val="none"/>
              </w:rPr>
            </w:pPr>
          </w:p>
        </w:tc>
        <w:tc>
          <w:tcPr>
            <w:tcW w:w="1076" w:type="dxa"/>
            <w:vMerge w:val="continue"/>
            <w:vAlign w:val="center"/>
          </w:tcPr>
          <w:p w14:paraId="4AE0F0C1">
            <w:pPr>
              <w:spacing w:line="360" w:lineRule="auto"/>
              <w:rPr>
                <w:rFonts w:ascii="仿宋" w:hAnsi="仿宋" w:eastAsia="仿宋"/>
                <w:highlight w:val="none"/>
              </w:rPr>
            </w:pPr>
          </w:p>
        </w:tc>
        <w:tc>
          <w:tcPr>
            <w:tcW w:w="4211" w:type="dxa"/>
            <w:vAlign w:val="center"/>
          </w:tcPr>
          <w:p w14:paraId="45EE111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中标金额（万元）</w:t>
            </w:r>
          </w:p>
        </w:tc>
        <w:tc>
          <w:tcPr>
            <w:tcW w:w="3979" w:type="dxa"/>
            <w:vAlign w:val="center"/>
          </w:tcPr>
          <w:p w14:paraId="51FCCA8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货物招标收费费率</w:t>
            </w:r>
          </w:p>
        </w:tc>
      </w:tr>
      <w:tr w14:paraId="3D2CC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875" w:type="dxa"/>
            <w:vMerge w:val="continue"/>
            <w:vAlign w:val="center"/>
          </w:tcPr>
          <w:p w14:paraId="0A562370">
            <w:pPr>
              <w:spacing w:line="360" w:lineRule="auto"/>
              <w:rPr>
                <w:rFonts w:ascii="仿宋" w:hAnsi="仿宋" w:eastAsia="仿宋"/>
                <w:highlight w:val="none"/>
              </w:rPr>
            </w:pPr>
          </w:p>
        </w:tc>
        <w:tc>
          <w:tcPr>
            <w:tcW w:w="1076" w:type="dxa"/>
            <w:vMerge w:val="continue"/>
            <w:vAlign w:val="center"/>
          </w:tcPr>
          <w:p w14:paraId="3A9D34B3">
            <w:pPr>
              <w:spacing w:line="360" w:lineRule="auto"/>
              <w:rPr>
                <w:rFonts w:ascii="仿宋" w:hAnsi="仿宋" w:eastAsia="仿宋"/>
                <w:highlight w:val="none"/>
              </w:rPr>
            </w:pPr>
          </w:p>
        </w:tc>
        <w:tc>
          <w:tcPr>
            <w:tcW w:w="4211" w:type="dxa"/>
            <w:vAlign w:val="center"/>
          </w:tcPr>
          <w:p w14:paraId="00D50C1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100以下</w:t>
            </w:r>
          </w:p>
        </w:tc>
        <w:tc>
          <w:tcPr>
            <w:tcW w:w="3979" w:type="dxa"/>
            <w:vAlign w:val="center"/>
          </w:tcPr>
          <w:p w14:paraId="6BA19C42">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1.5%</w:t>
            </w:r>
          </w:p>
        </w:tc>
      </w:tr>
    </w:tbl>
    <w:p w14:paraId="779C18F8">
      <w:pPr>
        <w:widowControl/>
        <w:jc w:val="left"/>
        <w:rPr>
          <w:rFonts w:ascii="仿宋" w:hAnsi="仿宋" w:eastAsia="仿宋" w:cs="仿宋"/>
          <w:b/>
          <w:bCs/>
          <w:sz w:val="24"/>
          <w:szCs w:val="32"/>
          <w:highlight w:val="none"/>
        </w:rPr>
      </w:pPr>
    </w:p>
    <w:p w14:paraId="5E7340E9">
      <w:pPr>
        <w:pStyle w:val="42"/>
        <w:spacing w:before="240"/>
        <w:rPr>
          <w:rFonts w:hint="default"/>
          <w:highlight w:val="none"/>
        </w:rPr>
      </w:pPr>
      <w:bookmarkStart w:id="33" w:name="_Toc164674177"/>
      <w:r>
        <w:rPr>
          <w:highlight w:val="none"/>
        </w:rPr>
        <w:t>二、说明</w:t>
      </w:r>
      <w:bookmarkEnd w:id="33"/>
    </w:p>
    <w:p w14:paraId="6B0E1C4C">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 适用范围</w:t>
      </w:r>
    </w:p>
    <w:p w14:paraId="4C2C0A8A">
      <w:pPr>
        <w:pStyle w:val="45"/>
        <w:rPr>
          <w:rFonts w:hint="default"/>
          <w:highlight w:val="none"/>
        </w:rPr>
      </w:pPr>
      <w:r>
        <w:rPr>
          <w:highlight w:val="none"/>
        </w:rPr>
        <w:t>本谈判文件仅适用于本“谈判邀请”中所述货物和有关服务的采购。</w:t>
      </w:r>
    </w:p>
    <w:p w14:paraId="0C004940">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 定义</w:t>
      </w:r>
    </w:p>
    <w:p w14:paraId="479A9C11">
      <w:pPr>
        <w:pStyle w:val="45"/>
        <w:rPr>
          <w:rFonts w:hint="default"/>
          <w:highlight w:val="none"/>
        </w:rPr>
      </w:pPr>
      <w:r>
        <w:rPr>
          <w:highlight w:val="none"/>
        </w:rPr>
        <w:t>2.1采购人：详见“供应商须知前附表”</w:t>
      </w:r>
    </w:p>
    <w:p w14:paraId="7D4E9F5E">
      <w:pPr>
        <w:pStyle w:val="45"/>
        <w:rPr>
          <w:rFonts w:hint="eastAsia" w:eastAsia="仿宋"/>
          <w:highlight w:val="none"/>
          <w:lang w:eastAsia="zh-CN"/>
        </w:rPr>
      </w:pPr>
      <w:r>
        <w:rPr>
          <w:highlight w:val="none"/>
        </w:rPr>
        <w:t>2.2采购代理机构：</w:t>
      </w:r>
      <w:r>
        <w:rPr>
          <w:rFonts w:hint="eastAsia"/>
          <w:highlight w:val="none"/>
          <w:lang w:eastAsia="zh-CN"/>
        </w:rPr>
        <w:t>江西寰信工程造价咨询有限责任公司</w:t>
      </w:r>
    </w:p>
    <w:p w14:paraId="41A21F16">
      <w:pPr>
        <w:pStyle w:val="45"/>
        <w:rPr>
          <w:rFonts w:hint="default"/>
          <w:highlight w:val="none"/>
        </w:rPr>
      </w:pPr>
      <w:r>
        <w:rPr>
          <w:highlight w:val="none"/>
        </w:rPr>
        <w:t>2.3供应商：是指向采购人提供“谈判邀请”中采购内容的法人、其它组织或者自然人。</w:t>
      </w:r>
    </w:p>
    <w:p w14:paraId="07B4A23C">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3. 合格供应商</w:t>
      </w:r>
    </w:p>
    <w:p w14:paraId="5E4A4244">
      <w:pPr>
        <w:pStyle w:val="45"/>
        <w:rPr>
          <w:rFonts w:hint="default"/>
          <w:highlight w:val="none"/>
        </w:rPr>
      </w:pPr>
      <w:r>
        <w:rPr>
          <w:highlight w:val="none"/>
        </w:rPr>
        <w:t>3.1供应商的资格条件：详见“谈判邀请”</w:t>
      </w:r>
    </w:p>
    <w:p w14:paraId="485A1084">
      <w:pPr>
        <w:pStyle w:val="45"/>
        <w:rPr>
          <w:rFonts w:hint="default"/>
          <w:highlight w:val="none"/>
        </w:rPr>
      </w:pPr>
      <w:r>
        <w:rPr>
          <w:highlight w:val="none"/>
        </w:rPr>
        <w:t>3.2 联合体参加谈判</w:t>
      </w:r>
    </w:p>
    <w:p w14:paraId="15B56808">
      <w:pPr>
        <w:pStyle w:val="45"/>
        <w:rPr>
          <w:rFonts w:hint="default"/>
          <w:highlight w:val="none"/>
        </w:rPr>
      </w:pPr>
      <w:r>
        <w:rPr>
          <w:highlight w:val="none"/>
        </w:rPr>
        <w:t>3.2.1是否接受联合体参加谈判：详见“谈判邀请”</w:t>
      </w:r>
    </w:p>
    <w:p w14:paraId="65C48FBD">
      <w:pPr>
        <w:pStyle w:val="45"/>
        <w:rPr>
          <w:rFonts w:hint="default"/>
          <w:highlight w:val="none"/>
        </w:rPr>
      </w:pPr>
      <w:r>
        <w:rPr>
          <w:highlight w:val="none"/>
        </w:rPr>
        <w:t>3.2.3联合体各方均应当满足相应的资格条件，项目中有特定资质要求的，联合体当中承担此项工作的供应商必须具备相应的资质。</w:t>
      </w:r>
    </w:p>
    <w:p w14:paraId="2EF2509E">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4. 谈判费用</w:t>
      </w:r>
    </w:p>
    <w:p w14:paraId="316F056B">
      <w:pPr>
        <w:pStyle w:val="45"/>
        <w:rPr>
          <w:rFonts w:hint="default"/>
          <w:highlight w:val="none"/>
        </w:rPr>
      </w:pPr>
      <w:r>
        <w:rPr>
          <w:highlight w:val="none"/>
        </w:rPr>
        <w:t>不论谈判的结果如何，供应商应自行承担所有与准备和参加谈判有关的全部费用。采购代理机构在任何情况下均无义务和责任承担这些费用。</w:t>
      </w:r>
    </w:p>
    <w:p w14:paraId="7817DA18">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5. 供应商代表</w:t>
      </w:r>
    </w:p>
    <w:p w14:paraId="7F7F43EF">
      <w:pPr>
        <w:pStyle w:val="45"/>
        <w:rPr>
          <w:rFonts w:hint="default"/>
          <w:highlight w:val="none"/>
        </w:rPr>
      </w:pPr>
      <w:r>
        <w:rPr>
          <w:highlight w:val="none"/>
        </w:rPr>
        <w:t>指全权代表供应商参加谈判活动并签署响应文件的人。如果供应商代表不是法定代表人，须持有《法定代表人授权书》（格式详见“第四章响应文件格式”）。</w:t>
      </w:r>
    </w:p>
    <w:p w14:paraId="50AECC1B">
      <w:pPr>
        <w:pStyle w:val="42"/>
        <w:spacing w:before="240"/>
        <w:rPr>
          <w:rFonts w:hint="default"/>
          <w:highlight w:val="none"/>
        </w:rPr>
      </w:pPr>
      <w:bookmarkStart w:id="34" w:name="_Toc164674178"/>
      <w:r>
        <w:rPr>
          <w:highlight w:val="none"/>
        </w:rPr>
        <w:t>三、谈判文件</w:t>
      </w:r>
      <w:bookmarkEnd w:id="34"/>
    </w:p>
    <w:p w14:paraId="2BAF45C7">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6. 谈判文件构成</w:t>
      </w:r>
    </w:p>
    <w:p w14:paraId="5194803D">
      <w:pPr>
        <w:pStyle w:val="45"/>
        <w:rPr>
          <w:rFonts w:hint="default"/>
          <w:highlight w:val="none"/>
        </w:rPr>
      </w:pPr>
      <w:r>
        <w:rPr>
          <w:highlight w:val="none"/>
        </w:rPr>
        <w:t>6.1 要求提供的工程和有关服务、谈判过程和合同条款在谈判文件中均有说明。谈判文件共五章，各章的内容如下：</w:t>
      </w:r>
    </w:p>
    <w:p w14:paraId="72F88B7E">
      <w:pPr>
        <w:pStyle w:val="45"/>
        <w:rPr>
          <w:rFonts w:hint="default"/>
          <w:highlight w:val="none"/>
        </w:rPr>
      </w:pPr>
      <w:r>
        <w:rPr>
          <w:highlight w:val="none"/>
        </w:rPr>
        <w:t>第一章 谈判邀请</w:t>
      </w:r>
    </w:p>
    <w:p w14:paraId="6F301332">
      <w:pPr>
        <w:pStyle w:val="45"/>
        <w:rPr>
          <w:rFonts w:hint="default"/>
          <w:highlight w:val="none"/>
        </w:rPr>
      </w:pPr>
      <w:r>
        <w:rPr>
          <w:highlight w:val="none"/>
        </w:rPr>
        <w:t>第二章 供应商须知</w:t>
      </w:r>
    </w:p>
    <w:p w14:paraId="32295924">
      <w:pPr>
        <w:pStyle w:val="45"/>
        <w:rPr>
          <w:rFonts w:hint="default"/>
          <w:highlight w:val="none"/>
        </w:rPr>
      </w:pPr>
      <w:r>
        <w:rPr>
          <w:highlight w:val="none"/>
        </w:rPr>
        <w:t>第三章 拟签订的合同文本</w:t>
      </w:r>
    </w:p>
    <w:p w14:paraId="62965843">
      <w:pPr>
        <w:pStyle w:val="45"/>
        <w:rPr>
          <w:rFonts w:hint="default"/>
          <w:highlight w:val="none"/>
        </w:rPr>
      </w:pPr>
      <w:r>
        <w:rPr>
          <w:highlight w:val="none"/>
        </w:rPr>
        <w:t>第四章 响应文件格式</w:t>
      </w:r>
    </w:p>
    <w:p w14:paraId="000BCFAA">
      <w:pPr>
        <w:pStyle w:val="45"/>
        <w:rPr>
          <w:rFonts w:hint="default"/>
          <w:highlight w:val="none"/>
        </w:rPr>
      </w:pPr>
      <w:r>
        <w:rPr>
          <w:highlight w:val="none"/>
        </w:rPr>
        <w:t>第五章 采购需求一览表及采购要求</w:t>
      </w:r>
    </w:p>
    <w:p w14:paraId="15709502">
      <w:pPr>
        <w:pStyle w:val="45"/>
        <w:rPr>
          <w:rFonts w:hint="default"/>
          <w:highlight w:val="none"/>
        </w:rPr>
      </w:pPr>
      <w:r>
        <w:rPr>
          <w:highlight w:val="none"/>
        </w:rPr>
        <w:t>6.2 除非有特殊要求，谈判文件不单独提供谈判项目的自然环境、气候条件、公用设施等情况，供应商被视为熟悉上述与履行合同有关的一切情况。</w:t>
      </w:r>
    </w:p>
    <w:p w14:paraId="3E1240D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7. 谈判文件的澄清和修改</w:t>
      </w:r>
    </w:p>
    <w:p w14:paraId="36A829BF">
      <w:pPr>
        <w:pStyle w:val="45"/>
        <w:rPr>
          <w:rFonts w:hint="default"/>
          <w:highlight w:val="none"/>
        </w:rPr>
      </w:pPr>
      <w:r>
        <w:rPr>
          <w:highlight w:val="none"/>
        </w:rPr>
        <w:t>7.1 提交首次响应文件截止时间前的任何时候，采购代理机构可以对已发出的谈判文件进行必要的澄清或者修改，澄清或者修改的内容作为谈判文件的组成部分。</w:t>
      </w:r>
    </w:p>
    <w:p w14:paraId="6E861E8D">
      <w:pPr>
        <w:pStyle w:val="45"/>
        <w:rPr>
          <w:rFonts w:hint="default"/>
          <w:highlight w:val="none"/>
        </w:rPr>
      </w:pPr>
      <w:r>
        <w:rPr>
          <w:highlight w:val="none"/>
        </w:rPr>
        <w:t>7.2澄清或者修改的内容可能影响响应文件编制的，采购代理机构应当在提交首次响应文件截止之日3个工作日前，在东乡区人民政府网（公共资源交易）发布更正公告，上传答疑澄清文件。不足3个工作日的，应当顺延提交首次响应文件截止之日。</w:t>
      </w:r>
    </w:p>
    <w:p w14:paraId="04824BD1">
      <w:pPr>
        <w:pStyle w:val="45"/>
        <w:rPr>
          <w:rFonts w:hint="default"/>
          <w:highlight w:val="none"/>
        </w:rPr>
      </w:pPr>
      <w:r>
        <w:rPr>
          <w:highlight w:val="none"/>
        </w:rPr>
        <w:t>7.3已下载谈判文件的供应商必须在东乡区人民政府网（公共资源交易）下载答疑澄清文件。供应商因未下载答疑澄清文件、由此可能引起的响应文件递交失败、解密失败、内容缺失等相关后果由供应商自行承担。</w:t>
      </w:r>
    </w:p>
    <w:p w14:paraId="7C5B97ED">
      <w:pPr>
        <w:spacing w:line="360" w:lineRule="auto"/>
        <w:rPr>
          <w:rFonts w:ascii="仿宋" w:hAnsi="仿宋" w:eastAsia="仿宋" w:cs="仿宋"/>
          <w:b/>
          <w:sz w:val="24"/>
          <w:szCs w:val="24"/>
          <w:highlight w:val="none"/>
        </w:rPr>
      </w:pPr>
      <w:bookmarkStart w:id="35" w:name="_Toc499477410"/>
      <w:bookmarkStart w:id="36" w:name="_Toc501101639"/>
      <w:bookmarkStart w:id="37" w:name="_Toc495487710"/>
      <w:r>
        <w:rPr>
          <w:rFonts w:hint="eastAsia" w:ascii="仿宋" w:hAnsi="仿宋" w:eastAsia="仿宋" w:cs="仿宋"/>
          <w:b/>
          <w:sz w:val="24"/>
          <w:szCs w:val="24"/>
          <w:highlight w:val="none"/>
        </w:rPr>
        <w:t>8.供应商应当提交的资格、资信证明文件</w:t>
      </w:r>
      <w:bookmarkEnd w:id="35"/>
      <w:bookmarkEnd w:id="36"/>
      <w:bookmarkEnd w:id="37"/>
    </w:p>
    <w:p w14:paraId="0022A260">
      <w:pPr>
        <w:pStyle w:val="45"/>
        <w:rPr>
          <w:highlight w:val="none"/>
        </w:rPr>
      </w:pPr>
      <w:r>
        <w:rPr>
          <w:highlight w:val="none"/>
        </w:rPr>
        <w:t>8.1</w:t>
      </w:r>
      <w:r>
        <w:rPr>
          <w:rFonts w:hint="eastAsia"/>
          <w:highlight w:val="none"/>
        </w:rPr>
        <w:t>江西省政府采购供应商资格信用承诺函</w:t>
      </w:r>
    </w:p>
    <w:p w14:paraId="5BF5B3A1">
      <w:pPr>
        <w:pStyle w:val="45"/>
        <w:rPr>
          <w:rFonts w:hint="default"/>
          <w:highlight w:val="none"/>
        </w:rPr>
      </w:pPr>
      <w:r>
        <w:rPr>
          <w:highlight w:val="none"/>
        </w:rPr>
        <w:t>8.2具有独立承担民事责任的能力的资格证明文件</w:t>
      </w:r>
    </w:p>
    <w:p w14:paraId="68843640">
      <w:pPr>
        <w:pStyle w:val="45"/>
        <w:rPr>
          <w:rFonts w:hint="default"/>
          <w:highlight w:val="none"/>
        </w:rPr>
      </w:pPr>
      <w:r>
        <w:rPr>
          <w:highlight w:val="none"/>
        </w:rPr>
        <w:t>8.</w:t>
      </w:r>
      <w:r>
        <w:rPr>
          <w:rFonts w:hint="eastAsia"/>
          <w:highlight w:val="none"/>
          <w:lang w:val="en-US" w:eastAsia="zh-CN"/>
        </w:rPr>
        <w:t>3</w:t>
      </w:r>
      <w:r>
        <w:rPr>
          <w:highlight w:val="none"/>
        </w:rPr>
        <w:t>具有良好的商业信誉和健全的财务会计制度的证明文件</w:t>
      </w:r>
    </w:p>
    <w:p w14:paraId="677CE9B7">
      <w:pPr>
        <w:pStyle w:val="45"/>
        <w:rPr>
          <w:rFonts w:hint="default"/>
          <w:highlight w:val="none"/>
        </w:rPr>
      </w:pPr>
      <w:r>
        <w:rPr>
          <w:highlight w:val="none"/>
        </w:rPr>
        <w:t>8.</w:t>
      </w:r>
      <w:r>
        <w:rPr>
          <w:rFonts w:hint="eastAsia"/>
          <w:highlight w:val="none"/>
          <w:lang w:val="en-US" w:eastAsia="zh-CN"/>
        </w:rPr>
        <w:t>4</w:t>
      </w:r>
      <w:r>
        <w:rPr>
          <w:highlight w:val="none"/>
        </w:rPr>
        <w:t xml:space="preserve"> 具有履行合同所必须的设备和专业技术能力的证明文件</w:t>
      </w:r>
    </w:p>
    <w:p w14:paraId="68873F40">
      <w:pPr>
        <w:pStyle w:val="45"/>
        <w:rPr>
          <w:rFonts w:hint="default"/>
          <w:highlight w:val="none"/>
        </w:rPr>
      </w:pPr>
      <w:r>
        <w:rPr>
          <w:highlight w:val="none"/>
        </w:rPr>
        <w:t>8.</w:t>
      </w:r>
      <w:r>
        <w:rPr>
          <w:rFonts w:hint="eastAsia"/>
          <w:highlight w:val="none"/>
          <w:lang w:val="en-US" w:eastAsia="zh-CN"/>
        </w:rPr>
        <w:t>5</w:t>
      </w:r>
      <w:r>
        <w:rPr>
          <w:highlight w:val="none"/>
        </w:rPr>
        <w:t xml:space="preserve"> 有依法缴纳税收和社会保障资金的良好记录的证明文件</w:t>
      </w:r>
    </w:p>
    <w:p w14:paraId="681352D1">
      <w:pPr>
        <w:pStyle w:val="45"/>
        <w:rPr>
          <w:rFonts w:hint="default"/>
          <w:highlight w:val="none"/>
        </w:rPr>
      </w:pPr>
      <w:r>
        <w:rPr>
          <w:highlight w:val="none"/>
        </w:rPr>
        <w:t>8.</w:t>
      </w:r>
      <w:r>
        <w:rPr>
          <w:rFonts w:hint="eastAsia"/>
          <w:highlight w:val="none"/>
          <w:lang w:val="en-US" w:eastAsia="zh-CN"/>
        </w:rPr>
        <w:t>6</w:t>
      </w:r>
      <w:r>
        <w:rPr>
          <w:highlight w:val="none"/>
        </w:rPr>
        <w:t>参加采购前三年内,在经营活动中没有重大违法记录的证明文件</w:t>
      </w:r>
    </w:p>
    <w:p w14:paraId="192B00DA">
      <w:pPr>
        <w:pStyle w:val="45"/>
        <w:rPr>
          <w:rFonts w:hint="default"/>
          <w:highlight w:val="none"/>
        </w:rPr>
      </w:pPr>
      <w:r>
        <w:rPr>
          <w:highlight w:val="none"/>
        </w:rPr>
        <w:t>8.</w:t>
      </w:r>
      <w:r>
        <w:rPr>
          <w:rFonts w:hint="eastAsia"/>
          <w:highlight w:val="none"/>
          <w:lang w:val="en-US" w:eastAsia="zh-CN"/>
        </w:rPr>
        <w:t>7</w:t>
      </w:r>
      <w:r>
        <w:rPr>
          <w:rFonts w:hint="eastAsia"/>
          <w:highlight w:val="none"/>
        </w:rPr>
        <w:t>其他资格证明材料</w:t>
      </w:r>
    </w:p>
    <w:p w14:paraId="2A96DA12">
      <w:pPr>
        <w:pStyle w:val="45"/>
        <w:rPr>
          <w:highlight w:val="none"/>
        </w:rPr>
      </w:pPr>
      <w:r>
        <w:rPr>
          <w:highlight w:val="none"/>
        </w:rPr>
        <w:t>8.</w:t>
      </w:r>
      <w:r>
        <w:rPr>
          <w:rFonts w:hint="eastAsia"/>
          <w:highlight w:val="none"/>
          <w:lang w:val="en-US" w:eastAsia="zh-CN"/>
        </w:rPr>
        <w:t>8</w:t>
      </w:r>
      <w:r>
        <w:rPr>
          <w:highlight w:val="none"/>
        </w:rPr>
        <w:t>法定代表人授权书</w:t>
      </w:r>
    </w:p>
    <w:p w14:paraId="0E239932">
      <w:pPr>
        <w:pStyle w:val="45"/>
        <w:rPr>
          <w:rFonts w:hint="eastAsia"/>
          <w:highlight w:val="none"/>
        </w:rPr>
      </w:pPr>
      <w:r>
        <w:rPr>
          <w:rFonts w:hint="eastAsia"/>
          <w:highlight w:val="none"/>
        </w:rPr>
        <w:t>8.</w:t>
      </w:r>
      <w:r>
        <w:rPr>
          <w:rFonts w:hint="eastAsia"/>
          <w:highlight w:val="none"/>
          <w:lang w:val="en-US" w:eastAsia="zh-CN"/>
        </w:rPr>
        <w:t>9</w:t>
      </w:r>
      <w:r>
        <w:rPr>
          <w:rFonts w:hint="eastAsia"/>
          <w:highlight w:val="none"/>
        </w:rPr>
        <w:t>供应商的资格声明</w:t>
      </w:r>
    </w:p>
    <w:p w14:paraId="477E202A">
      <w:pPr>
        <w:pStyle w:val="45"/>
        <w:rPr>
          <w:rFonts w:hint="eastAsia"/>
          <w:highlight w:val="none"/>
        </w:rPr>
      </w:pPr>
      <w:r>
        <w:rPr>
          <w:rFonts w:hint="eastAsia"/>
          <w:highlight w:val="none"/>
        </w:rPr>
        <w:t>8-</w:t>
      </w:r>
      <w:r>
        <w:rPr>
          <w:rFonts w:hint="eastAsia"/>
          <w:highlight w:val="none"/>
          <w:lang w:val="en-US" w:eastAsia="zh-CN"/>
        </w:rPr>
        <w:t>10</w:t>
      </w:r>
      <w:r>
        <w:rPr>
          <w:rFonts w:hint="eastAsia"/>
          <w:highlight w:val="none"/>
        </w:rPr>
        <w:t>.谈判文件第一章“谈判邀请”中要求的证明材料</w:t>
      </w:r>
    </w:p>
    <w:p w14:paraId="3A5E4258">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9.</w:t>
      </w:r>
      <w:bookmarkStart w:id="38" w:name="_Toc494138597"/>
      <w:bookmarkStart w:id="39" w:name="_Toc494292886"/>
      <w:bookmarkStart w:id="40" w:name="_Toc157775585"/>
      <w:r>
        <w:rPr>
          <w:rFonts w:hint="eastAsia" w:ascii="仿宋" w:hAnsi="仿宋" w:eastAsia="仿宋" w:cs="仿宋"/>
          <w:b/>
          <w:sz w:val="24"/>
          <w:szCs w:val="24"/>
          <w:highlight w:val="none"/>
        </w:rPr>
        <w:t>为落实政府采购政策，采购标的需满足的要求，以及投标人须提供的证明材料</w:t>
      </w:r>
      <w:bookmarkEnd w:id="38"/>
      <w:bookmarkEnd w:id="39"/>
      <w:bookmarkEnd w:id="40"/>
    </w:p>
    <w:p w14:paraId="5C3926C1">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9</w:t>
      </w:r>
      <w:r>
        <w:rPr>
          <w:rFonts w:hint="eastAsia" w:ascii="仿宋" w:hAnsi="仿宋" w:eastAsia="仿宋" w:cs="仿宋"/>
          <w:b/>
          <w:sz w:val="24"/>
          <w:szCs w:val="24"/>
          <w:highlight w:val="none"/>
        </w:rPr>
        <w:t>.1中小企业（含中型、小型、微型企业，下同）参加投标</w:t>
      </w:r>
    </w:p>
    <w:p w14:paraId="2E4589FD">
      <w:pPr>
        <w:pStyle w:val="45"/>
        <w:rPr>
          <w:rFonts w:hint="eastAsia"/>
          <w:highlight w:val="none"/>
        </w:rPr>
      </w:pPr>
      <w:r>
        <w:rPr>
          <w:rFonts w:hint="eastAsia"/>
          <w:highlight w:val="none"/>
        </w:rPr>
        <w:t>（1）符合国务院批准的中小企业划分标准（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14:paraId="583EF42D">
      <w:pPr>
        <w:pStyle w:val="45"/>
        <w:rPr>
          <w:rFonts w:hint="eastAsia"/>
          <w:highlight w:val="none"/>
        </w:rPr>
      </w:pPr>
      <w:r>
        <w:rPr>
          <w:rFonts w:hint="eastAsia"/>
          <w:highlight w:val="none"/>
        </w:rPr>
        <w:t>（2）货物由中小企业制造，即货物由中小企业生产且使用该中小企业商号或者注册商标；本项所称货物不包括使用大型企业注册商标的货物；</w:t>
      </w:r>
    </w:p>
    <w:p w14:paraId="53F2629E">
      <w:pPr>
        <w:pStyle w:val="45"/>
        <w:rPr>
          <w:rFonts w:hint="eastAsia"/>
          <w:highlight w:val="none"/>
        </w:rPr>
      </w:pPr>
      <w:r>
        <w:rPr>
          <w:rFonts w:hint="eastAsia"/>
          <w:highlight w:val="none"/>
        </w:rPr>
        <w:t>（3）小型、微型企业提供中型企业制造的货物的，视同为中型企业。</w:t>
      </w:r>
    </w:p>
    <w:p w14:paraId="4BCF7981">
      <w:pPr>
        <w:pStyle w:val="45"/>
        <w:rPr>
          <w:rFonts w:hint="eastAsia"/>
          <w:highlight w:val="none"/>
        </w:rPr>
      </w:pPr>
      <w:r>
        <w:rPr>
          <w:rFonts w:hint="eastAsia"/>
          <w:highlight w:val="none"/>
        </w:rPr>
        <w:t>（4）在货物采购项目中，供应商提供的货物既有中小企业制造货物，也有大型企业制造货物的，不享受中小企业扶持政策。</w:t>
      </w:r>
    </w:p>
    <w:p w14:paraId="3CB4A22F">
      <w:pPr>
        <w:pStyle w:val="45"/>
        <w:rPr>
          <w:rFonts w:hint="eastAsia"/>
          <w:highlight w:val="none"/>
        </w:rPr>
      </w:pPr>
      <w:r>
        <w:rPr>
          <w:rFonts w:hint="eastAsia"/>
          <w:highlight w:val="none"/>
        </w:rPr>
        <w:t>（5）在工程采购项目中，工程由中小企业承建，即工程施工单位为中小企业；</w:t>
      </w:r>
    </w:p>
    <w:p w14:paraId="06F7DB54">
      <w:pPr>
        <w:pStyle w:val="45"/>
        <w:rPr>
          <w:rFonts w:hint="eastAsia"/>
          <w:highlight w:val="none"/>
        </w:rPr>
      </w:pPr>
      <w:r>
        <w:rPr>
          <w:rFonts w:hint="eastAsia"/>
          <w:highlight w:val="none"/>
        </w:rPr>
        <w:t>（6）在服务采购项目中，服务由中小企业承接，即提供服务的人员为中小企业依照《中华人民共和国劳动合同法》订立劳动合同的从业人员。</w:t>
      </w:r>
    </w:p>
    <w:p w14:paraId="1382119B">
      <w:pPr>
        <w:pStyle w:val="45"/>
        <w:rPr>
          <w:rFonts w:hint="eastAsia"/>
          <w:highlight w:val="none"/>
        </w:rPr>
      </w:pPr>
      <w:r>
        <w:rPr>
          <w:rFonts w:hint="eastAsia"/>
          <w:highlight w:val="none"/>
        </w:rPr>
        <w:t>（7）以联合体形式参加政府采购活动，联合体各方均为中小企业的，联合体视同中小企业。其中，联合体各方均为小微企业的，联合体视同小微企业。（适用于联合体投标）</w:t>
      </w:r>
    </w:p>
    <w:p w14:paraId="4503F101">
      <w:pPr>
        <w:pStyle w:val="45"/>
        <w:rPr>
          <w:rFonts w:hint="eastAsia"/>
          <w:highlight w:val="none"/>
        </w:rPr>
      </w:pPr>
      <w:r>
        <w:rPr>
          <w:rFonts w:hint="eastAsia"/>
          <w:highlight w:val="none"/>
        </w:rPr>
        <w:t>（8）组成联合体或者接受分包合同的中小企业与联合体内其他企业、分包企业之间不得存在直接控股、管理关系。(适用于涉及中小企业的联合体投标或者允许合同分包的采购项目)</w:t>
      </w:r>
    </w:p>
    <w:p w14:paraId="402E7FF2">
      <w:pPr>
        <w:pStyle w:val="45"/>
        <w:rPr>
          <w:rFonts w:hint="eastAsia"/>
          <w:highlight w:val="none"/>
        </w:rPr>
      </w:pPr>
      <w:r>
        <w:rPr>
          <w:rFonts w:hint="eastAsia"/>
          <w:highlight w:val="none"/>
        </w:rPr>
        <w:t>8.1.2供应商提供的货物为中小企业制造的, 投标时必须提供制造商的《中小企业声明函》。（格式详见“第四章响应文件格式</w:t>
      </w:r>
      <w:r>
        <w:rPr>
          <w:rFonts w:hint="eastAsia"/>
          <w:highlight w:val="none"/>
          <w:lang w:val="en-US" w:eastAsia="zh-CN"/>
        </w:rPr>
        <w:t>9</w:t>
      </w:r>
      <w:r>
        <w:rPr>
          <w:rFonts w:hint="eastAsia"/>
          <w:highlight w:val="none"/>
        </w:rPr>
        <w:t>-1”）</w:t>
      </w:r>
    </w:p>
    <w:p w14:paraId="28B00101">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9</w:t>
      </w:r>
      <w:r>
        <w:rPr>
          <w:rFonts w:hint="eastAsia" w:ascii="仿宋" w:hAnsi="仿宋" w:eastAsia="仿宋" w:cs="仿宋"/>
          <w:b/>
          <w:sz w:val="24"/>
          <w:szCs w:val="24"/>
          <w:highlight w:val="none"/>
        </w:rPr>
        <w:t>.2监狱企业参加投标</w:t>
      </w:r>
    </w:p>
    <w:p w14:paraId="38265739">
      <w:pPr>
        <w:pStyle w:val="45"/>
        <w:rPr>
          <w:rFonts w:hint="eastAsia"/>
          <w:highlight w:val="none"/>
        </w:rPr>
      </w:pPr>
      <w:r>
        <w:rPr>
          <w:rFonts w:hint="eastAsia"/>
          <w:highlight w:val="none"/>
          <w:lang w:val="en-US" w:eastAsia="zh-CN"/>
        </w:rPr>
        <w:t>9</w:t>
      </w:r>
      <w:r>
        <w:rPr>
          <w:rFonts w:hint="eastAsia"/>
          <w:highlight w:val="none"/>
        </w:rPr>
        <w:t>.2.1监狱企业应当符合以下条件：</w:t>
      </w:r>
    </w:p>
    <w:p w14:paraId="24081555">
      <w:pPr>
        <w:pStyle w:val="45"/>
        <w:rPr>
          <w:rFonts w:hint="eastAsia"/>
          <w:highlight w:val="none"/>
        </w:rPr>
      </w:pPr>
      <w:r>
        <w:rPr>
          <w:rFonts w:hint="eastAsia"/>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B63F5A2">
      <w:pPr>
        <w:pStyle w:val="45"/>
        <w:rPr>
          <w:rFonts w:hint="eastAsia"/>
          <w:highlight w:val="none"/>
        </w:rPr>
      </w:pPr>
      <w:r>
        <w:rPr>
          <w:rFonts w:hint="eastAsia"/>
          <w:highlight w:val="none"/>
          <w:lang w:val="en-US" w:eastAsia="zh-CN"/>
        </w:rPr>
        <w:t>9</w:t>
      </w:r>
      <w:r>
        <w:rPr>
          <w:rFonts w:hint="eastAsia"/>
          <w:highlight w:val="none"/>
        </w:rPr>
        <w:t>.2.2监狱企业参加投标须提供的证明材料：</w:t>
      </w:r>
    </w:p>
    <w:p w14:paraId="1984C0E5">
      <w:pPr>
        <w:pStyle w:val="45"/>
        <w:rPr>
          <w:rFonts w:hint="eastAsia" w:ascii="宋体" w:hAnsi="宋体" w:cs="宋体"/>
          <w:b/>
          <w:sz w:val="24"/>
          <w:szCs w:val="24"/>
          <w:highlight w:val="none"/>
        </w:rPr>
      </w:pPr>
      <w:r>
        <w:rPr>
          <w:rFonts w:hint="eastAsia"/>
          <w:highlight w:val="none"/>
        </w:rPr>
        <w:t>监狱企业参加政府采购活动时，应当提供由省级以上监狱管理局、戒毒管理局（含新疆生产建设兵团）出具的属于监狱企业的证明文件。（格式详见“第四章投标文件格式8-2”）</w:t>
      </w:r>
      <w:r>
        <w:rPr>
          <w:rFonts w:hint="eastAsia"/>
          <w:highlight w:val="none"/>
        </w:rPr>
        <w:br w:type="textWrapping"/>
      </w:r>
      <w:r>
        <w:rPr>
          <w:rFonts w:hint="eastAsia" w:ascii="宋体" w:hAnsi="宋体" w:cs="宋体"/>
          <w:b/>
          <w:sz w:val="24"/>
          <w:szCs w:val="24"/>
          <w:highlight w:val="none"/>
          <w:lang w:val="en-US" w:eastAsia="zh-CN"/>
        </w:rPr>
        <w:t>9</w:t>
      </w:r>
      <w:r>
        <w:rPr>
          <w:rFonts w:hint="eastAsia" w:ascii="宋体" w:hAnsi="宋体" w:cs="宋体"/>
          <w:b/>
          <w:sz w:val="24"/>
          <w:szCs w:val="24"/>
          <w:highlight w:val="none"/>
        </w:rPr>
        <w:t>.3残疾人福利性单位参加投标</w:t>
      </w:r>
    </w:p>
    <w:p w14:paraId="75FF481A">
      <w:pPr>
        <w:pStyle w:val="45"/>
        <w:rPr>
          <w:rFonts w:hint="eastAsia"/>
          <w:highlight w:val="none"/>
          <w:lang w:val="en-US" w:eastAsia="zh-CN"/>
        </w:rPr>
      </w:pPr>
      <w:r>
        <w:rPr>
          <w:rFonts w:hint="eastAsia"/>
          <w:highlight w:val="none"/>
          <w:lang w:val="en-US" w:eastAsia="zh-CN"/>
        </w:rPr>
        <w:t>9.3.1享受政府采购支持政策的残疾人福利性单位应当同时满足以下条件：</w:t>
      </w:r>
    </w:p>
    <w:p w14:paraId="0232CCE5">
      <w:pPr>
        <w:pStyle w:val="45"/>
        <w:rPr>
          <w:rFonts w:hint="eastAsia"/>
          <w:highlight w:val="none"/>
          <w:lang w:val="en-US" w:eastAsia="zh-CN"/>
        </w:rPr>
      </w:pPr>
      <w:r>
        <w:rPr>
          <w:rFonts w:hint="eastAsia"/>
          <w:highlight w:val="none"/>
          <w:lang w:val="en-US" w:eastAsia="zh-CN"/>
        </w:rPr>
        <w:t>（1）安置的残疾人占本单位在职职工人数的比例不低于25%（含25%），并且安置的残疾人人数不少于10人（含10人）；</w:t>
      </w:r>
    </w:p>
    <w:p w14:paraId="67F88013">
      <w:pPr>
        <w:pStyle w:val="45"/>
        <w:rPr>
          <w:rFonts w:hint="eastAsia"/>
          <w:highlight w:val="none"/>
          <w:lang w:val="en-US" w:eastAsia="zh-CN"/>
        </w:rPr>
      </w:pPr>
      <w:r>
        <w:rPr>
          <w:rFonts w:hint="eastAsia"/>
          <w:highlight w:val="none"/>
          <w:lang w:val="en-US" w:eastAsia="zh-CN"/>
        </w:rPr>
        <w:t>（2）依法与安置的每位残疾人签订了一年以上（含一年）的劳动合同或服务协议；</w:t>
      </w:r>
    </w:p>
    <w:p w14:paraId="0C1A14A0">
      <w:pPr>
        <w:pStyle w:val="45"/>
        <w:rPr>
          <w:rFonts w:hint="eastAsia"/>
          <w:highlight w:val="none"/>
          <w:lang w:val="en-US" w:eastAsia="zh-CN"/>
        </w:rPr>
      </w:pPr>
      <w:r>
        <w:rPr>
          <w:rFonts w:hint="eastAsia"/>
          <w:highlight w:val="none"/>
          <w:lang w:val="en-US" w:eastAsia="zh-CN"/>
        </w:rPr>
        <w:t>（3）为安置的每位残疾人按月足额缴纳了基本养老保险、基本医疗保险、失业保险、工伤保险和生育保险等社会保险费；</w:t>
      </w:r>
    </w:p>
    <w:p w14:paraId="475F38A5">
      <w:pPr>
        <w:pStyle w:val="45"/>
        <w:rPr>
          <w:rFonts w:hint="eastAsia"/>
          <w:highlight w:val="none"/>
          <w:lang w:val="en-US" w:eastAsia="zh-CN"/>
        </w:rPr>
      </w:pPr>
      <w:r>
        <w:rPr>
          <w:rFonts w:hint="eastAsia"/>
          <w:highlight w:val="none"/>
          <w:lang w:val="en-US" w:eastAsia="zh-CN"/>
        </w:rPr>
        <w:t>（4）通过银行等金融机构向安置的每位残疾人，按月支付了不低于单位所在区县适用的经省级人民政府批准的月最低工资标准的工资；</w:t>
      </w:r>
    </w:p>
    <w:p w14:paraId="5B0FA164">
      <w:pPr>
        <w:pStyle w:val="45"/>
        <w:rPr>
          <w:rFonts w:hint="eastAsia"/>
          <w:highlight w:val="none"/>
          <w:lang w:val="en-US" w:eastAsia="zh-CN"/>
        </w:rPr>
      </w:pPr>
      <w:r>
        <w:rPr>
          <w:rFonts w:hint="eastAsia"/>
          <w:highlight w:val="none"/>
          <w:lang w:val="en-US" w:eastAsia="zh-CN"/>
        </w:rPr>
        <w:t>（5）提供本单位制造的货物、承担的工程或者服务（以下简称产品），或者提供其他残疾人福利性单位制造的货物（不包括使用非残疾人福利性单位注册商标的货物）。</w:t>
      </w:r>
    </w:p>
    <w:p w14:paraId="0332E136">
      <w:pPr>
        <w:pStyle w:val="45"/>
        <w:rPr>
          <w:rFonts w:hint="eastAsia"/>
          <w:highlight w:val="none"/>
          <w:lang w:val="en-US" w:eastAsia="zh-CN"/>
        </w:rPr>
      </w:pPr>
      <w:r>
        <w:rPr>
          <w:rFonts w:hint="eastAsia"/>
          <w:highlight w:val="none"/>
          <w:lang w:val="en-US" w:eastAsia="zh-CN"/>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7778F77F">
      <w:pPr>
        <w:pStyle w:val="45"/>
        <w:rPr>
          <w:rFonts w:hint="eastAsia"/>
          <w:highlight w:val="none"/>
          <w:lang w:val="en-US" w:eastAsia="zh-CN"/>
        </w:rPr>
      </w:pPr>
      <w:r>
        <w:rPr>
          <w:rFonts w:hint="eastAsia"/>
          <w:highlight w:val="none"/>
          <w:lang w:val="en-US" w:eastAsia="zh-CN"/>
        </w:rPr>
        <w:t>9.3.2残疾人福利性单位参加投标须提供的证明材料：</w:t>
      </w:r>
    </w:p>
    <w:p w14:paraId="06BFBCC1">
      <w:pPr>
        <w:pStyle w:val="45"/>
        <w:rPr>
          <w:rFonts w:hint="eastAsia"/>
          <w:highlight w:val="none"/>
          <w:lang w:val="en-US" w:eastAsia="zh-CN"/>
        </w:rPr>
      </w:pPr>
      <w:r>
        <w:rPr>
          <w:rFonts w:hint="eastAsia"/>
          <w:highlight w:val="none"/>
          <w:lang w:val="en-US" w:eastAsia="zh-CN"/>
        </w:rPr>
        <w:t>（1）符合条件的残疾人福利性单位在参加政府采购活动时，应当提供《残疾人福利性单位声明函》（格式详见“第四章投标文件格式8-3”），并对声明的真实性负责。</w:t>
      </w:r>
    </w:p>
    <w:p w14:paraId="6F07EA9B">
      <w:pPr>
        <w:pStyle w:val="45"/>
        <w:rPr>
          <w:rFonts w:hint="eastAsia"/>
          <w:highlight w:val="none"/>
          <w:lang w:val="en-US" w:eastAsia="zh-CN"/>
        </w:rPr>
      </w:pPr>
      <w:r>
        <w:rPr>
          <w:rFonts w:hint="eastAsia"/>
          <w:highlight w:val="none"/>
          <w:lang w:val="en-US" w:eastAsia="zh-CN"/>
        </w:rPr>
        <w:t>（2）投标人提供的《残疾人福利性单位声明函》与事实不符的，依照《政府采购法》第七十七条第一款的规定追究法律责任。</w:t>
      </w:r>
    </w:p>
    <w:p w14:paraId="178DCE46">
      <w:pPr>
        <w:spacing w:line="360" w:lineRule="auto"/>
        <w:rPr>
          <w:rFonts w:ascii="仿宋" w:hAnsi="仿宋" w:eastAsia="仿宋" w:cs="仿宋"/>
          <w:sz w:val="24"/>
          <w:szCs w:val="24"/>
          <w:highlight w:val="none"/>
        </w:rPr>
      </w:pPr>
    </w:p>
    <w:p w14:paraId="527E18A6">
      <w:pPr>
        <w:pStyle w:val="42"/>
        <w:spacing w:before="240"/>
        <w:rPr>
          <w:rFonts w:hint="default"/>
          <w:highlight w:val="none"/>
        </w:rPr>
      </w:pPr>
      <w:bookmarkStart w:id="41" w:name="_Toc164674179"/>
      <w:r>
        <w:rPr>
          <w:highlight w:val="none"/>
        </w:rPr>
        <w:t>四、响应文件的编制</w:t>
      </w:r>
      <w:bookmarkEnd w:id="41"/>
    </w:p>
    <w:p w14:paraId="6E64D264">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10. 提示</w:t>
      </w:r>
    </w:p>
    <w:p w14:paraId="12815F89">
      <w:pPr>
        <w:pStyle w:val="45"/>
        <w:rPr>
          <w:rFonts w:hint="default"/>
          <w:highlight w:val="none"/>
        </w:rPr>
      </w:pPr>
      <w:r>
        <w:rPr>
          <w:highlight w:val="none"/>
        </w:rPr>
        <w:t>10.1 供应商应认真阅读谈判文件的全部内容，按照谈判文件要求提供响应文件和资料。</w:t>
      </w:r>
    </w:p>
    <w:p w14:paraId="3E2FABFE">
      <w:pPr>
        <w:pStyle w:val="45"/>
        <w:rPr>
          <w:rFonts w:hint="default"/>
          <w:highlight w:val="none"/>
        </w:rPr>
      </w:pPr>
      <w:r>
        <w:rPr>
          <w:highlight w:val="none"/>
        </w:rPr>
        <w:t>10.2供应商提交的响应文件以及供应商与采购代理结机构所有来往书面文件均须使用中文。响应文件中如附有外文资料，必须逐一对应翻译成中文。</w:t>
      </w:r>
    </w:p>
    <w:p w14:paraId="426F2ECB">
      <w:pPr>
        <w:pStyle w:val="45"/>
        <w:rPr>
          <w:rFonts w:hint="default"/>
          <w:highlight w:val="none"/>
        </w:rPr>
      </w:pPr>
      <w:r>
        <w:rPr>
          <w:highlight w:val="none"/>
        </w:rPr>
        <w:t>10.3翻译的中文资料与外文资料如果出现差异和矛盾时，以中文为准。</w:t>
      </w:r>
    </w:p>
    <w:p w14:paraId="6A3DA6E0">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11. 响应文件计量单位</w:t>
      </w:r>
      <w:r>
        <w:rPr>
          <w:rFonts w:hint="eastAsia" w:ascii="仿宋" w:hAnsi="仿宋" w:eastAsia="仿宋" w:cs="仿宋"/>
          <w:b/>
          <w:sz w:val="24"/>
          <w:szCs w:val="24"/>
          <w:highlight w:val="none"/>
        </w:rPr>
        <w:tab/>
      </w:r>
    </w:p>
    <w:p w14:paraId="0AE52DA8">
      <w:pPr>
        <w:pStyle w:val="45"/>
        <w:rPr>
          <w:rFonts w:hint="default"/>
          <w:highlight w:val="none"/>
        </w:rPr>
      </w:pPr>
      <w:r>
        <w:rPr>
          <w:highlight w:val="none"/>
        </w:rPr>
        <w:t>响应文件中所使用的计量单位, 除谈判文件中有特殊要求外，应采用国家法定计量单位。</w:t>
      </w:r>
    </w:p>
    <w:p w14:paraId="22186901">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12.响应文件的构成</w:t>
      </w:r>
    </w:p>
    <w:p w14:paraId="153DD236">
      <w:pPr>
        <w:pStyle w:val="45"/>
        <w:rPr>
          <w:rFonts w:hint="default"/>
          <w:highlight w:val="none"/>
        </w:rPr>
      </w:pPr>
      <w:r>
        <w:rPr>
          <w:highlight w:val="none"/>
        </w:rPr>
        <w:t>12.1响应文件应由下列部分构成：</w:t>
      </w:r>
    </w:p>
    <w:p w14:paraId="2D02A01B">
      <w:pPr>
        <w:pStyle w:val="45"/>
        <w:rPr>
          <w:rFonts w:hint="default"/>
          <w:highlight w:val="none"/>
        </w:rPr>
      </w:pPr>
      <w:r>
        <w:rPr>
          <w:highlight w:val="none"/>
        </w:rPr>
        <w:t>(1) 谈判响应书</w:t>
      </w:r>
    </w:p>
    <w:p w14:paraId="01CF36F2">
      <w:pPr>
        <w:pStyle w:val="45"/>
        <w:rPr>
          <w:rFonts w:hint="default"/>
          <w:highlight w:val="none"/>
        </w:rPr>
      </w:pPr>
      <w:r>
        <w:rPr>
          <w:highlight w:val="none"/>
        </w:rPr>
        <w:t>(2) 报价表</w:t>
      </w:r>
    </w:p>
    <w:p w14:paraId="17B16D9F">
      <w:pPr>
        <w:pStyle w:val="45"/>
        <w:rPr>
          <w:rFonts w:hint="default"/>
          <w:highlight w:val="none"/>
        </w:rPr>
      </w:pPr>
      <w:r>
        <w:rPr>
          <w:highlight w:val="none"/>
        </w:rPr>
        <w:t>(3) 分项报价表</w:t>
      </w:r>
    </w:p>
    <w:p w14:paraId="3F7E5297">
      <w:pPr>
        <w:pStyle w:val="45"/>
        <w:rPr>
          <w:rFonts w:hint="default"/>
          <w:highlight w:val="none"/>
        </w:rPr>
      </w:pPr>
      <w:r>
        <w:rPr>
          <w:highlight w:val="none"/>
        </w:rPr>
        <w:t>(4) 技术规格响应</w:t>
      </w:r>
      <w:r>
        <w:rPr>
          <w:highlight w:val="none"/>
          <w:lang w:val="en-GB"/>
        </w:rPr>
        <w:t>/偏离</w:t>
      </w:r>
      <w:r>
        <w:rPr>
          <w:highlight w:val="none"/>
        </w:rPr>
        <w:t>表</w:t>
      </w:r>
    </w:p>
    <w:p w14:paraId="24D2B179">
      <w:pPr>
        <w:pStyle w:val="45"/>
        <w:rPr>
          <w:rFonts w:hint="default"/>
          <w:highlight w:val="none"/>
        </w:rPr>
      </w:pPr>
      <w:r>
        <w:rPr>
          <w:highlight w:val="none"/>
        </w:rPr>
        <w:t>(5) 商务条款响应/偏离表</w:t>
      </w:r>
    </w:p>
    <w:p w14:paraId="34772D21">
      <w:pPr>
        <w:pStyle w:val="45"/>
        <w:rPr>
          <w:rFonts w:hint="default"/>
          <w:highlight w:val="none"/>
        </w:rPr>
      </w:pPr>
      <w:r>
        <w:rPr>
          <w:highlight w:val="none"/>
        </w:rPr>
        <w:t>(6) 供应商情况一览表</w:t>
      </w:r>
    </w:p>
    <w:p w14:paraId="5F772BF8">
      <w:pPr>
        <w:pStyle w:val="45"/>
        <w:rPr>
          <w:rFonts w:hint="default"/>
          <w:highlight w:val="none"/>
        </w:rPr>
      </w:pPr>
      <w:r>
        <w:rPr>
          <w:highlight w:val="none"/>
        </w:rPr>
        <w:t>(7) 技术文件</w:t>
      </w:r>
    </w:p>
    <w:p w14:paraId="6B07B397">
      <w:pPr>
        <w:pStyle w:val="45"/>
        <w:rPr>
          <w:rFonts w:hint="default"/>
          <w:highlight w:val="none"/>
        </w:rPr>
      </w:pPr>
      <w:r>
        <w:rPr>
          <w:highlight w:val="none"/>
        </w:rPr>
        <w:t>(8) 资格证明文件</w:t>
      </w:r>
    </w:p>
    <w:p w14:paraId="57353462">
      <w:pPr>
        <w:pStyle w:val="45"/>
        <w:ind w:firstLine="482"/>
        <w:rPr>
          <w:rFonts w:hint="default"/>
          <w:b/>
          <w:bCs/>
          <w:highlight w:val="none"/>
        </w:rPr>
      </w:pPr>
      <w:r>
        <w:rPr>
          <w:b/>
          <w:bCs/>
          <w:highlight w:val="none"/>
        </w:rPr>
        <w:t>12.2供应商应将响应文件编写目录及页码。</w:t>
      </w:r>
    </w:p>
    <w:p w14:paraId="0D81A057">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13.证明符合谈判文件规定的文件</w:t>
      </w:r>
    </w:p>
    <w:p w14:paraId="5F6BB5BE">
      <w:pPr>
        <w:pStyle w:val="45"/>
        <w:rPr>
          <w:rFonts w:hint="default"/>
          <w:highlight w:val="none"/>
        </w:rPr>
      </w:pPr>
      <w:r>
        <w:rPr>
          <w:highlight w:val="none"/>
        </w:rPr>
        <w:t>13.1 供应商应提交其工程和有关服务符合谈判文件规定的证明，作为响应文件的一部分。</w:t>
      </w:r>
    </w:p>
    <w:p w14:paraId="20FADE0D">
      <w:pPr>
        <w:pStyle w:val="45"/>
        <w:rPr>
          <w:rFonts w:hint="default"/>
          <w:highlight w:val="none"/>
        </w:rPr>
      </w:pPr>
      <w:r>
        <w:rPr>
          <w:highlight w:val="none"/>
        </w:rPr>
        <w:t>13.2 工程和有关服务与谈判文件的要求相一致的证明，可以是文字资料、图纸和数据，包括：</w:t>
      </w:r>
    </w:p>
    <w:p w14:paraId="0A939380">
      <w:pPr>
        <w:pStyle w:val="45"/>
        <w:rPr>
          <w:rFonts w:hint="default"/>
          <w:highlight w:val="none"/>
        </w:rPr>
      </w:pPr>
      <w:r>
        <w:rPr>
          <w:highlight w:val="none"/>
        </w:rPr>
        <w:t>1)对满足采购需求的详细说明。</w:t>
      </w:r>
    </w:p>
    <w:p w14:paraId="7459FA7D">
      <w:pPr>
        <w:pStyle w:val="45"/>
        <w:rPr>
          <w:rFonts w:hint="default"/>
          <w:highlight w:val="none"/>
        </w:rPr>
      </w:pPr>
      <w:r>
        <w:rPr>
          <w:highlight w:val="none"/>
        </w:rPr>
        <w:t>2)对照谈判文件技术规格（工程需求），逐条说明所提供工程和有关服务已对谈判文件的技术规格（工程需求）做出了实质性响应，或申明与技术规格（工程需求）的偏差和例外。特别对于有具体要求的指标，供应商必须提供所投工程的具体指标。</w:t>
      </w:r>
    </w:p>
    <w:p w14:paraId="067CA8FB">
      <w:pPr>
        <w:pStyle w:val="45"/>
        <w:rPr>
          <w:rFonts w:hint="default"/>
          <w:highlight w:val="none"/>
        </w:rPr>
      </w:pPr>
      <w:r>
        <w:rPr>
          <w:highlight w:val="none"/>
        </w:rPr>
        <w:t>3)技术规格（工程需求）条款的偏差和例外。</w:t>
      </w:r>
    </w:p>
    <w:p w14:paraId="6AF6B55F">
      <w:pPr>
        <w:pStyle w:val="45"/>
        <w:rPr>
          <w:rFonts w:hint="default"/>
          <w:highlight w:val="none"/>
        </w:rPr>
      </w:pPr>
      <w:r>
        <w:rPr>
          <w:highlight w:val="none"/>
        </w:rPr>
        <w:t>4)商务条款的偏差和例外。</w:t>
      </w:r>
    </w:p>
    <w:p w14:paraId="77E7DF76">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14. 谈判报价</w:t>
      </w:r>
    </w:p>
    <w:p w14:paraId="1288F770">
      <w:pPr>
        <w:pStyle w:val="45"/>
        <w:rPr>
          <w:rFonts w:hint="default"/>
          <w:highlight w:val="none"/>
        </w:rPr>
      </w:pPr>
      <w:r>
        <w:rPr>
          <w:highlight w:val="none"/>
        </w:rPr>
        <w:t>14.1谈判报价均以人民币报价，报价内容包含本文件规定的货物、货物安装及附属售后服务；备品备件及专用工具；运至最终目的地的运费和保险费、装卸费、代理服务费等完成本项目所需相关费用的最终含税报价。供应商漏报或不报，采购人将视为有关费用已包括在本项目的其它单价及合价中而不予支付。</w:t>
      </w:r>
    </w:p>
    <w:p w14:paraId="71678F47">
      <w:pPr>
        <w:spacing w:line="460" w:lineRule="exact"/>
        <w:rPr>
          <w:rFonts w:ascii="仿宋" w:hAnsi="仿宋" w:eastAsia="仿宋" w:cs="仿宋"/>
          <w:b/>
          <w:sz w:val="24"/>
          <w:szCs w:val="24"/>
          <w:highlight w:val="none"/>
        </w:rPr>
      </w:pPr>
      <w:r>
        <w:rPr>
          <w:rFonts w:hint="eastAsia" w:ascii="仿宋" w:hAnsi="仿宋" w:eastAsia="仿宋" w:cs="仿宋"/>
          <w:b/>
          <w:sz w:val="24"/>
          <w:szCs w:val="24"/>
          <w:highlight w:val="none"/>
        </w:rPr>
        <w:t>15. 谈判保证金</w:t>
      </w:r>
    </w:p>
    <w:p w14:paraId="16D3219F">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15.1 投标人应提供本须知前附表所述金额的谈判保证金，保证金是响应文件的一个组成部分。</w:t>
      </w:r>
    </w:p>
    <w:p w14:paraId="172B8A41">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.2 </w:t>
      </w:r>
      <w:r>
        <w:rPr>
          <w:rFonts w:hint="eastAsia" w:ascii="仿宋" w:hAnsi="仿宋" w:eastAsia="仿宋" w:cs="仿宋"/>
          <w:sz w:val="24"/>
          <w:szCs w:val="24"/>
          <w:highlight w:val="none"/>
        </w:rPr>
        <w:t>谈判保证金要求详见投标须知前附表。</w:t>
      </w:r>
    </w:p>
    <w:p w14:paraId="070BBEFE">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.3 </w:t>
      </w:r>
      <w:r>
        <w:rPr>
          <w:rFonts w:hint="eastAsia" w:ascii="仿宋" w:hAnsi="仿宋" w:eastAsia="仿宋" w:cs="仿宋"/>
          <w:sz w:val="24"/>
          <w:szCs w:val="24"/>
          <w:highlight w:val="none"/>
        </w:rPr>
        <w:t>招标代理机构将拒绝未能按要求提交谈判保证金的响应文件。投标人在获取谈判文件并按规定提交了谈判保证金后方可参加投标。</w:t>
      </w:r>
    </w:p>
    <w:p w14:paraId="2A32DD8C">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.4 </w:t>
      </w:r>
      <w:r>
        <w:rPr>
          <w:rFonts w:hint="eastAsia" w:ascii="仿宋" w:hAnsi="仿宋" w:eastAsia="仿宋" w:cs="仿宋"/>
          <w:sz w:val="24"/>
          <w:szCs w:val="24"/>
          <w:highlight w:val="none"/>
        </w:rPr>
        <w:t>投标人的谈判保证金将在中标人与采购人签订合同后</w:t>
      </w:r>
      <w:r>
        <w:rPr>
          <w:rFonts w:ascii="仿宋" w:hAnsi="仿宋" w:eastAsia="仿宋" w:cs="仿宋"/>
          <w:sz w:val="24"/>
          <w:szCs w:val="24"/>
          <w:highlight w:val="none"/>
        </w:rPr>
        <w:t>5</w:t>
      </w:r>
      <w:r>
        <w:rPr>
          <w:rFonts w:hint="eastAsia" w:ascii="仿宋" w:hAnsi="仿宋" w:eastAsia="仿宋" w:cs="仿宋"/>
          <w:sz w:val="24"/>
          <w:szCs w:val="24"/>
          <w:highlight w:val="none"/>
        </w:rPr>
        <w:t>日内予以退还。</w:t>
      </w:r>
    </w:p>
    <w:p w14:paraId="37E6C580">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.5 </w:t>
      </w:r>
      <w:r>
        <w:rPr>
          <w:rFonts w:hint="eastAsia" w:ascii="仿宋" w:hAnsi="仿宋" w:eastAsia="仿宋" w:cs="仿宋"/>
          <w:sz w:val="24"/>
          <w:szCs w:val="24"/>
          <w:highlight w:val="none"/>
        </w:rPr>
        <w:t>如有下列情况，投标人谈判保证金将不予退还：</w:t>
      </w:r>
    </w:p>
    <w:p w14:paraId="51301EDF">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1</w:t>
      </w:r>
      <w:r>
        <w:rPr>
          <w:rFonts w:hint="eastAsia" w:ascii="仿宋" w:hAnsi="仿宋" w:eastAsia="仿宋" w:cs="仿宋"/>
          <w:sz w:val="24"/>
          <w:szCs w:val="24"/>
          <w:highlight w:val="none"/>
        </w:rPr>
        <w:t>）投标人在响应文件规定的投标有效期内撤回其投标；</w:t>
      </w:r>
    </w:p>
    <w:p w14:paraId="643150DC">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2</w:t>
      </w:r>
      <w:r>
        <w:rPr>
          <w:rFonts w:hint="eastAsia" w:ascii="仿宋" w:hAnsi="仿宋" w:eastAsia="仿宋" w:cs="仿宋"/>
          <w:sz w:val="24"/>
          <w:szCs w:val="24"/>
          <w:highlight w:val="none"/>
        </w:rPr>
        <w:t>）中标人未按规定签订合同；</w:t>
      </w:r>
    </w:p>
    <w:p w14:paraId="6015D783">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3</w:t>
      </w:r>
      <w:r>
        <w:rPr>
          <w:rFonts w:hint="eastAsia" w:ascii="仿宋" w:hAnsi="仿宋" w:eastAsia="仿宋" w:cs="仿宋"/>
          <w:sz w:val="24"/>
          <w:szCs w:val="24"/>
          <w:highlight w:val="none"/>
        </w:rPr>
        <w:t>）中标人提供虚假材料和文件意图骗取中标；</w:t>
      </w:r>
    </w:p>
    <w:p w14:paraId="39AE73F3">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4</w:t>
      </w:r>
      <w:r>
        <w:rPr>
          <w:rFonts w:hint="eastAsia" w:ascii="仿宋" w:hAnsi="仿宋" w:eastAsia="仿宋" w:cs="仿宋"/>
          <w:sz w:val="24"/>
          <w:szCs w:val="24"/>
          <w:highlight w:val="none"/>
        </w:rPr>
        <w:t>）中标人未按规定提交履约保证金；</w:t>
      </w:r>
    </w:p>
    <w:p w14:paraId="43B62012">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5</w:t>
      </w:r>
      <w:r>
        <w:rPr>
          <w:rFonts w:hint="eastAsia" w:ascii="仿宋" w:hAnsi="仿宋" w:eastAsia="仿宋" w:cs="仿宋"/>
          <w:sz w:val="24"/>
          <w:szCs w:val="24"/>
          <w:highlight w:val="none"/>
        </w:rPr>
        <w:t>）法律法规规定的其他不予退还的情形。</w:t>
      </w:r>
    </w:p>
    <w:p w14:paraId="0BDC3E51">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16. 谈判有效期</w:t>
      </w:r>
    </w:p>
    <w:p w14:paraId="4A92EFA0">
      <w:pPr>
        <w:pStyle w:val="45"/>
        <w:rPr>
          <w:rFonts w:hint="default"/>
          <w:highlight w:val="none"/>
        </w:rPr>
      </w:pPr>
      <w:r>
        <w:rPr>
          <w:highlight w:val="none"/>
        </w:rPr>
        <w:t>谈判有效期为自谈判之日起不少于“供应商须知前附表”规定的时间保持有效。谈判有效期不足的响应文件</w:t>
      </w:r>
      <w:r>
        <w:rPr>
          <w:b/>
          <w:highlight w:val="none"/>
        </w:rPr>
        <w:t>被视为无效。</w:t>
      </w:r>
    </w:p>
    <w:p w14:paraId="3B9D3271">
      <w:pPr>
        <w:spacing w:line="360" w:lineRule="auto"/>
        <w:rPr>
          <w:rFonts w:ascii="仿宋" w:hAnsi="仿宋" w:eastAsia="仿宋" w:cs="仿宋"/>
          <w:sz w:val="24"/>
          <w:szCs w:val="24"/>
          <w:highlight w:val="none"/>
        </w:rPr>
      </w:pPr>
      <w:r>
        <w:rPr>
          <w:rFonts w:hint="eastAsia" w:ascii="仿宋" w:hAnsi="仿宋" w:eastAsia="仿宋" w:cs="仿宋"/>
          <w:b/>
          <w:sz w:val="24"/>
          <w:szCs w:val="24"/>
          <w:highlight w:val="none"/>
        </w:rPr>
        <w:t>17. 响应文件的签署及规定</w:t>
      </w:r>
    </w:p>
    <w:p w14:paraId="31E339EA">
      <w:pPr>
        <w:pStyle w:val="45"/>
        <w:rPr>
          <w:rFonts w:hint="default"/>
          <w:highlight w:val="none"/>
        </w:rPr>
      </w:pPr>
      <w:r>
        <w:rPr>
          <w:highlight w:val="none"/>
        </w:rPr>
        <w:t>17.1 响应文件不得涂改和增删，如有修改，必须由授权代表人（或法定代表人）签字或盖章。</w:t>
      </w:r>
    </w:p>
    <w:p w14:paraId="43A0307D">
      <w:pPr>
        <w:pStyle w:val="45"/>
        <w:rPr>
          <w:rFonts w:hint="default"/>
          <w:highlight w:val="none"/>
        </w:rPr>
      </w:pPr>
      <w:r>
        <w:rPr>
          <w:highlight w:val="none"/>
        </w:rPr>
        <w:t>17.2 响应文件因字迹潦草或表达不清所引起的后果由供应商负责。</w:t>
      </w:r>
    </w:p>
    <w:p w14:paraId="0B1A2FEA">
      <w:pPr>
        <w:spacing w:line="360" w:lineRule="auto"/>
        <w:rPr>
          <w:rFonts w:ascii="仿宋" w:hAnsi="仿宋" w:eastAsia="仿宋"/>
          <w:highlight w:val="none"/>
        </w:rPr>
      </w:pPr>
    </w:p>
    <w:p w14:paraId="43CA1B17">
      <w:pPr>
        <w:pStyle w:val="42"/>
        <w:spacing w:before="240"/>
        <w:rPr>
          <w:rFonts w:hint="default"/>
          <w:highlight w:val="none"/>
        </w:rPr>
      </w:pPr>
      <w:bookmarkStart w:id="42" w:name="_Toc164674180"/>
      <w:r>
        <w:rPr>
          <w:highlight w:val="none"/>
        </w:rPr>
        <w:t>五、响应文件的递交</w:t>
      </w:r>
      <w:bookmarkEnd w:id="42"/>
    </w:p>
    <w:p w14:paraId="3D4230F0">
      <w:pPr>
        <w:spacing w:line="460" w:lineRule="exact"/>
        <w:rPr>
          <w:rFonts w:ascii="仿宋" w:hAnsi="仿宋" w:eastAsia="仿宋"/>
          <w:b/>
          <w:sz w:val="24"/>
          <w:szCs w:val="24"/>
          <w:highlight w:val="none"/>
        </w:rPr>
      </w:pPr>
      <w:r>
        <w:rPr>
          <w:rFonts w:hint="eastAsia" w:ascii="仿宋" w:hAnsi="仿宋" w:eastAsia="仿宋"/>
          <w:b/>
          <w:sz w:val="24"/>
          <w:szCs w:val="24"/>
          <w:highlight w:val="none"/>
        </w:rPr>
        <w:t>18. 响应文件的密封及标记</w:t>
      </w:r>
    </w:p>
    <w:p w14:paraId="428114A6">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.1</w:t>
      </w:r>
      <w:r>
        <w:rPr>
          <w:rFonts w:hint="eastAsia" w:ascii="仿宋" w:hAnsi="仿宋" w:eastAsia="仿宋"/>
          <w:sz w:val="24"/>
          <w:szCs w:val="24"/>
          <w:highlight w:val="none"/>
        </w:rPr>
        <w:t xml:space="preserve"> 供应商应将响应文件正本一份和“供应商须知前附表”规定的副本分开密封装在单独的信封中，且在信封上标明“正本”“副本”字样。</w:t>
      </w:r>
    </w:p>
    <w:p w14:paraId="2889D0F9">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w:t>
      </w:r>
      <w:r>
        <w:rPr>
          <w:rFonts w:hint="eastAsia" w:ascii="仿宋" w:hAnsi="仿宋" w:eastAsia="仿宋"/>
          <w:sz w:val="24"/>
          <w:szCs w:val="24"/>
          <w:highlight w:val="none"/>
        </w:rPr>
        <w:t>2 为方便谈判，供应商应将报价表单独密封，并在信封上标明“报价表”字样。谈判保证金凭据复印件须装订在响应文件中。</w:t>
      </w:r>
    </w:p>
    <w:p w14:paraId="4819C67C">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w:t>
      </w:r>
      <w:r>
        <w:rPr>
          <w:rFonts w:hint="eastAsia" w:ascii="仿宋" w:hAnsi="仿宋" w:eastAsia="仿宋"/>
          <w:sz w:val="24"/>
          <w:szCs w:val="24"/>
          <w:highlight w:val="none"/>
        </w:rPr>
        <w:t>3</w:t>
      </w:r>
      <w:r>
        <w:rPr>
          <w:rFonts w:ascii="仿宋" w:hAnsi="仿宋" w:eastAsia="仿宋"/>
          <w:sz w:val="24"/>
          <w:szCs w:val="24"/>
          <w:highlight w:val="none"/>
        </w:rPr>
        <w:t xml:space="preserve"> </w:t>
      </w:r>
      <w:r>
        <w:rPr>
          <w:rFonts w:hint="eastAsia" w:ascii="仿宋" w:hAnsi="仿宋" w:eastAsia="仿宋"/>
          <w:sz w:val="24"/>
          <w:szCs w:val="24"/>
          <w:highlight w:val="none"/>
        </w:rPr>
        <w:t>封口处有谈判全权代表的签字或单位公章。封皮上注明谈判项目名称、项目编号、供应商名称、地址、邮政编码、电话、联系人，并注明“谈判时启封”字样。</w:t>
      </w:r>
    </w:p>
    <w:p w14:paraId="32A745BA">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w:t>
      </w:r>
      <w:r>
        <w:rPr>
          <w:rFonts w:hint="eastAsia" w:ascii="仿宋" w:hAnsi="仿宋" w:eastAsia="仿宋"/>
          <w:sz w:val="24"/>
          <w:szCs w:val="24"/>
          <w:highlight w:val="none"/>
        </w:rPr>
        <w:t>4</w:t>
      </w:r>
      <w:r>
        <w:rPr>
          <w:rFonts w:ascii="仿宋" w:hAnsi="仿宋" w:eastAsia="仿宋"/>
          <w:sz w:val="24"/>
          <w:szCs w:val="24"/>
          <w:highlight w:val="none"/>
        </w:rPr>
        <w:t xml:space="preserve"> </w:t>
      </w:r>
      <w:r>
        <w:rPr>
          <w:rFonts w:hint="eastAsia" w:ascii="仿宋" w:hAnsi="仿宋" w:eastAsia="仿宋"/>
          <w:sz w:val="24"/>
          <w:szCs w:val="24"/>
          <w:highlight w:val="none"/>
        </w:rPr>
        <w:t>如果供应商未按上述要求密封及加写标记，采购代理机构对响应文件的误投和提前启封概不负责。</w:t>
      </w:r>
    </w:p>
    <w:p w14:paraId="0E2051FF">
      <w:pPr>
        <w:spacing w:line="460" w:lineRule="exact"/>
        <w:rPr>
          <w:rFonts w:ascii="仿宋" w:hAnsi="仿宋" w:eastAsia="仿宋"/>
          <w:b/>
          <w:sz w:val="24"/>
          <w:szCs w:val="24"/>
          <w:highlight w:val="none"/>
        </w:rPr>
      </w:pPr>
      <w:r>
        <w:rPr>
          <w:rFonts w:hint="eastAsia" w:ascii="仿宋" w:hAnsi="仿宋" w:eastAsia="仿宋"/>
          <w:b/>
          <w:sz w:val="24"/>
          <w:szCs w:val="24"/>
          <w:highlight w:val="none"/>
        </w:rPr>
        <w:t>19. 谈判截止时间</w:t>
      </w:r>
    </w:p>
    <w:p w14:paraId="7AC9E510">
      <w:pPr>
        <w:spacing w:line="460" w:lineRule="exact"/>
        <w:ind w:left="563" w:leftChars="228" w:hanging="84" w:hangingChars="35"/>
        <w:rPr>
          <w:rFonts w:ascii="仿宋" w:hAnsi="仿宋" w:eastAsia="仿宋"/>
          <w:sz w:val="24"/>
          <w:szCs w:val="24"/>
          <w:highlight w:val="none"/>
        </w:rPr>
      </w:pPr>
      <w:r>
        <w:rPr>
          <w:rFonts w:ascii="仿宋" w:hAnsi="仿宋" w:eastAsia="仿宋"/>
          <w:sz w:val="24"/>
          <w:szCs w:val="24"/>
          <w:highlight w:val="none"/>
        </w:rPr>
        <w:t xml:space="preserve"> </w:t>
      </w:r>
      <w:r>
        <w:rPr>
          <w:rFonts w:hint="eastAsia" w:ascii="仿宋" w:hAnsi="仿宋" w:eastAsia="仿宋"/>
          <w:sz w:val="24"/>
          <w:szCs w:val="24"/>
          <w:highlight w:val="none"/>
        </w:rPr>
        <w:t>供应商必须在“第一章 谈判邀请”规定的截止时间前，将响应文件密封送达指定地点。</w:t>
      </w:r>
      <w:r>
        <w:rPr>
          <w:rFonts w:hint="eastAsia" w:ascii="仿宋" w:hAnsi="仿宋" w:eastAsia="仿宋"/>
          <w:sz w:val="24"/>
          <w:highlight w:val="none"/>
        </w:rPr>
        <w:t>已获取谈判文件的供应商，在提交响应文件的截止时间一日前，未书面通知代理机构放弃谈判的，不得再参加该项目的采购活动。</w:t>
      </w:r>
    </w:p>
    <w:p w14:paraId="174AB4BA">
      <w:pPr>
        <w:spacing w:line="460" w:lineRule="exact"/>
        <w:rPr>
          <w:rFonts w:ascii="仿宋" w:hAnsi="仿宋" w:eastAsia="仿宋"/>
          <w:b/>
          <w:sz w:val="24"/>
          <w:szCs w:val="24"/>
          <w:highlight w:val="none"/>
        </w:rPr>
      </w:pPr>
      <w:r>
        <w:rPr>
          <w:rFonts w:hint="eastAsia" w:ascii="仿宋" w:hAnsi="仿宋" w:eastAsia="仿宋"/>
          <w:b/>
          <w:sz w:val="24"/>
          <w:szCs w:val="24"/>
          <w:highlight w:val="none"/>
        </w:rPr>
        <w:t>20. 迟交的响应文件</w:t>
      </w:r>
    </w:p>
    <w:p w14:paraId="62C669A7">
      <w:pPr>
        <w:spacing w:line="460" w:lineRule="exact"/>
        <w:ind w:left="599" w:leftChars="228" w:hanging="120" w:hangingChars="50"/>
        <w:rPr>
          <w:rFonts w:ascii="仿宋" w:hAnsi="仿宋" w:eastAsia="仿宋"/>
          <w:sz w:val="24"/>
          <w:szCs w:val="24"/>
          <w:highlight w:val="none"/>
        </w:rPr>
      </w:pPr>
      <w:r>
        <w:rPr>
          <w:rFonts w:ascii="仿宋" w:hAnsi="仿宋" w:eastAsia="仿宋"/>
          <w:sz w:val="24"/>
          <w:szCs w:val="24"/>
          <w:highlight w:val="none"/>
        </w:rPr>
        <w:t xml:space="preserve"> </w:t>
      </w:r>
      <w:r>
        <w:rPr>
          <w:rFonts w:hint="eastAsia" w:ascii="仿宋" w:hAnsi="仿宋" w:eastAsia="仿宋"/>
          <w:sz w:val="24"/>
          <w:szCs w:val="24"/>
          <w:highlight w:val="none"/>
        </w:rPr>
        <w:t>在响应文件递交截止时间以后送达的响应文件</w:t>
      </w:r>
      <w:r>
        <w:rPr>
          <w:rFonts w:ascii="仿宋" w:hAnsi="仿宋" w:eastAsia="仿宋"/>
          <w:sz w:val="24"/>
          <w:szCs w:val="24"/>
          <w:highlight w:val="none"/>
        </w:rPr>
        <w:t>为无效</w:t>
      </w:r>
      <w:r>
        <w:rPr>
          <w:rFonts w:hint="eastAsia" w:ascii="仿宋" w:hAnsi="仿宋" w:eastAsia="仿宋"/>
          <w:sz w:val="24"/>
          <w:szCs w:val="24"/>
          <w:highlight w:val="none"/>
        </w:rPr>
        <w:t>响应</w:t>
      </w:r>
      <w:r>
        <w:rPr>
          <w:rFonts w:ascii="仿宋" w:hAnsi="仿宋" w:eastAsia="仿宋"/>
          <w:sz w:val="24"/>
          <w:szCs w:val="24"/>
          <w:highlight w:val="none"/>
        </w:rPr>
        <w:t>文件</w:t>
      </w:r>
      <w:r>
        <w:rPr>
          <w:rFonts w:hint="eastAsia" w:ascii="仿宋" w:hAnsi="仿宋" w:eastAsia="仿宋"/>
          <w:sz w:val="24"/>
          <w:szCs w:val="24"/>
          <w:highlight w:val="none"/>
        </w:rPr>
        <w:t xml:space="preserve">，采购代理机构将拒收。 </w:t>
      </w:r>
    </w:p>
    <w:p w14:paraId="3A159DDA">
      <w:pPr>
        <w:spacing w:line="460" w:lineRule="exact"/>
        <w:rPr>
          <w:rFonts w:ascii="仿宋" w:hAnsi="仿宋" w:eastAsia="仿宋"/>
          <w:b/>
          <w:sz w:val="24"/>
          <w:szCs w:val="24"/>
          <w:highlight w:val="none"/>
        </w:rPr>
      </w:pPr>
      <w:r>
        <w:rPr>
          <w:rFonts w:hint="eastAsia" w:ascii="仿宋" w:hAnsi="仿宋" w:eastAsia="仿宋"/>
          <w:b/>
          <w:sz w:val="24"/>
          <w:szCs w:val="24"/>
          <w:highlight w:val="none"/>
        </w:rPr>
        <w:t>21. 响应文件的补充、修改或撤回</w:t>
      </w:r>
    </w:p>
    <w:p w14:paraId="787F34A5">
      <w:pPr>
        <w:spacing w:line="460" w:lineRule="exact"/>
        <w:ind w:left="600" w:hanging="600" w:hangingChars="250"/>
        <w:rPr>
          <w:rFonts w:ascii="仿宋" w:hAnsi="仿宋" w:eastAsia="仿宋"/>
          <w:sz w:val="24"/>
          <w:szCs w:val="24"/>
          <w:highlight w:val="none"/>
        </w:rPr>
      </w:pPr>
      <w:r>
        <w:rPr>
          <w:rFonts w:hint="eastAsia" w:ascii="仿宋" w:hAnsi="仿宋" w:eastAsia="仿宋"/>
          <w:sz w:val="24"/>
          <w:szCs w:val="24"/>
          <w:highlight w:val="none"/>
        </w:rPr>
        <w:t>21.1</w:t>
      </w:r>
      <w:r>
        <w:rPr>
          <w:rFonts w:ascii="仿宋" w:hAnsi="仿宋" w:eastAsia="仿宋"/>
          <w:sz w:val="24"/>
          <w:szCs w:val="24"/>
          <w:highlight w:val="none"/>
        </w:rPr>
        <w:t xml:space="preserve"> </w:t>
      </w:r>
      <w:r>
        <w:rPr>
          <w:rFonts w:hint="eastAsia" w:ascii="仿宋" w:hAnsi="仿宋" w:eastAsia="仿宋"/>
          <w:sz w:val="24"/>
          <w:szCs w:val="24"/>
          <w:highlight w:val="none"/>
        </w:rPr>
        <w:t>供应商在提交响应文件截止时间前，可以对所提交的响应文件进行补充、修改或者撤回，并书面通知采购代理机构。补充、修改的内容作为响应文件的组成部分。补充、修改的内容与响应文件不一致的，以补充、修改的内容为准。</w:t>
      </w:r>
    </w:p>
    <w:p w14:paraId="00092561">
      <w:pPr>
        <w:spacing w:line="460" w:lineRule="exact"/>
        <w:ind w:left="600" w:hanging="600" w:hangingChars="250"/>
        <w:rPr>
          <w:rFonts w:ascii="仿宋" w:hAnsi="仿宋" w:eastAsia="仿宋"/>
          <w:sz w:val="24"/>
          <w:szCs w:val="24"/>
          <w:highlight w:val="none"/>
        </w:rPr>
      </w:pPr>
      <w:r>
        <w:rPr>
          <w:rFonts w:hint="eastAsia" w:ascii="仿宋" w:hAnsi="仿宋" w:eastAsia="仿宋"/>
          <w:sz w:val="24"/>
          <w:szCs w:val="24"/>
          <w:highlight w:val="none"/>
        </w:rPr>
        <w:t>21.2 从响应文件递交截止期至谈判有效期期满这段时间内，供应商不得撤回其响应文件，否则不予退还其交纳的谈判保证金。</w:t>
      </w:r>
    </w:p>
    <w:p w14:paraId="145581F8">
      <w:pPr>
        <w:pStyle w:val="42"/>
        <w:spacing w:before="240"/>
        <w:rPr>
          <w:rFonts w:hint="default"/>
          <w:highlight w:val="none"/>
        </w:rPr>
      </w:pPr>
      <w:bookmarkStart w:id="43" w:name="_Toc164674181"/>
      <w:r>
        <w:rPr>
          <w:highlight w:val="none"/>
        </w:rPr>
        <w:t>六、谈判</w:t>
      </w:r>
      <w:bookmarkEnd w:id="43"/>
    </w:p>
    <w:p w14:paraId="1D6C6685">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22. 谈判组织</w:t>
      </w:r>
    </w:p>
    <w:p w14:paraId="5B821324">
      <w:pPr>
        <w:pStyle w:val="45"/>
        <w:rPr>
          <w:rFonts w:hint="default"/>
          <w:highlight w:val="none"/>
        </w:rPr>
      </w:pPr>
      <w:r>
        <w:rPr>
          <w:highlight w:val="none"/>
        </w:rPr>
        <w:t>采购代理机构在“谈判邀请”中规定的时间、地点组织谈判活动。</w:t>
      </w:r>
    </w:p>
    <w:p w14:paraId="1A01358E">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23. 谈判小组</w:t>
      </w:r>
    </w:p>
    <w:p w14:paraId="6AB66E0B">
      <w:pPr>
        <w:pStyle w:val="45"/>
        <w:rPr>
          <w:rFonts w:hint="default"/>
          <w:highlight w:val="none"/>
          <w:lang w:val="en-GB"/>
        </w:rPr>
      </w:pPr>
      <w:r>
        <w:rPr>
          <w:highlight w:val="none"/>
          <w:lang w:val="en-GB"/>
        </w:rPr>
        <w:t>在相关的采购评审专家库中随机抽取评审专家，依法成立谈判小组。评审工作由谈判小组负责。</w:t>
      </w:r>
    </w:p>
    <w:p w14:paraId="6E0C8502">
      <w:pPr>
        <w:pStyle w:val="45"/>
        <w:ind w:firstLine="0" w:firstLineChars="0"/>
        <w:rPr>
          <w:rFonts w:hint="default"/>
          <w:highlight w:val="none"/>
        </w:rPr>
      </w:pPr>
      <w:r>
        <w:rPr>
          <w:b/>
          <w:highlight w:val="none"/>
        </w:rPr>
        <w:t>24.</w:t>
      </w:r>
      <w:r>
        <w:rPr>
          <w:highlight w:val="none"/>
        </w:rPr>
        <w:t>采购代理机构将在谈判期间查询供应商的信用记录并告知谈判小组，经谈判小组评审确定投供应商存在不良信用记录的，其</w:t>
      </w:r>
      <w:r>
        <w:rPr>
          <w:b/>
          <w:highlight w:val="none"/>
        </w:rPr>
        <w:t>响应无效</w:t>
      </w:r>
      <w:r>
        <w:rPr>
          <w:highlight w:val="none"/>
        </w:rPr>
        <w:t>；查询到的不良信用记录随采购文件存档。</w:t>
      </w:r>
    </w:p>
    <w:p w14:paraId="3EDBB93B">
      <w:pPr>
        <w:pStyle w:val="45"/>
        <w:rPr>
          <w:rFonts w:hint="default"/>
          <w:highlight w:val="none"/>
        </w:rPr>
      </w:pPr>
      <w:r>
        <w:rPr>
          <w:highlight w:val="none"/>
        </w:rPr>
        <w:t>（1）通过“信用中国”网站和中国政府采购网查询相关主体信用记录，被列入失信被执行人、重大税收违法失信主体、政府采购严重违法失信行为记录名单的供应商（处罚期限尚未届满的）。</w:t>
      </w:r>
    </w:p>
    <w:p w14:paraId="275D4432">
      <w:pPr>
        <w:pStyle w:val="45"/>
        <w:rPr>
          <w:rFonts w:hint="default"/>
          <w:highlight w:val="none"/>
        </w:rPr>
      </w:pPr>
      <w:r>
        <w:rPr>
          <w:highlight w:val="none"/>
        </w:rPr>
        <w:t>（2）联合体参加竞争性谈判的，联合体成员存在以上不良信用记录的，视同联合体存在不良信用记录（本项目是否允许联合体参加竞争性谈判，详见“供应商须知前附表”）。</w:t>
      </w:r>
    </w:p>
    <w:p w14:paraId="19CC0313">
      <w:pPr>
        <w:pStyle w:val="45"/>
        <w:rPr>
          <w:rFonts w:hint="default"/>
          <w:highlight w:val="none"/>
          <w:lang w:val="en-GB"/>
        </w:rPr>
      </w:pPr>
      <w:r>
        <w:rPr>
          <w:highlight w:val="none"/>
        </w:rPr>
        <w:t>（3）供应商不良信用记录以采购代理机构查询结果为准，采购代理机构查询之后，网站信息发生的任何变更均不再作为评审依据，供应商自行提供的与网站信息不一致的其他证明材料亦不作为评审依据。</w:t>
      </w:r>
    </w:p>
    <w:p w14:paraId="136FAF15">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25. 谈判程序</w:t>
      </w:r>
    </w:p>
    <w:p w14:paraId="64E1090E">
      <w:pPr>
        <w:pStyle w:val="45"/>
        <w:rPr>
          <w:rFonts w:hint="default"/>
          <w:highlight w:val="none"/>
        </w:rPr>
      </w:pPr>
      <w:r>
        <w:rPr>
          <w:highlight w:val="none"/>
          <w:lang w:val="en-GB"/>
        </w:rPr>
        <w:t>2</w:t>
      </w:r>
      <w:r>
        <w:rPr>
          <w:highlight w:val="none"/>
        </w:rPr>
        <w:t>5</w:t>
      </w:r>
      <w:r>
        <w:rPr>
          <w:highlight w:val="none"/>
          <w:lang w:val="en-GB"/>
        </w:rPr>
        <w:t>.1</w:t>
      </w:r>
      <w:r>
        <w:rPr>
          <w:highlight w:val="none"/>
        </w:rPr>
        <w:t>采购代理机构在“第一章 谈判邀请”中规定的时间和地点组织谈判。</w:t>
      </w:r>
    </w:p>
    <w:p w14:paraId="1CBDC825">
      <w:pPr>
        <w:pStyle w:val="45"/>
        <w:rPr>
          <w:rFonts w:hint="default"/>
          <w:highlight w:val="none"/>
          <w:lang w:val="en-GB"/>
        </w:rPr>
      </w:pPr>
      <w:r>
        <w:rPr>
          <w:highlight w:val="none"/>
          <w:lang w:val="en-GB"/>
        </w:rPr>
        <w:t>2</w:t>
      </w:r>
      <w:r>
        <w:rPr>
          <w:highlight w:val="none"/>
        </w:rPr>
        <w:t>5</w:t>
      </w:r>
      <w:r>
        <w:rPr>
          <w:highlight w:val="none"/>
          <w:lang w:val="en-GB"/>
        </w:rPr>
        <w:t>.2</w:t>
      </w:r>
      <w:r>
        <w:rPr>
          <w:highlight w:val="none"/>
        </w:rPr>
        <w:t>谈判</w:t>
      </w:r>
      <w:r>
        <w:rPr>
          <w:highlight w:val="none"/>
          <w:lang w:val="en-GB"/>
        </w:rPr>
        <w:t>由采购人或者采购代理机构主持，邀请供应商参加。</w:t>
      </w:r>
    </w:p>
    <w:p w14:paraId="70EE8A7E">
      <w:pPr>
        <w:pStyle w:val="45"/>
        <w:rPr>
          <w:rFonts w:hint="default"/>
          <w:highlight w:val="none"/>
          <w:lang w:val="en-GB"/>
        </w:rPr>
      </w:pPr>
      <w:r>
        <w:rPr>
          <w:highlight w:val="none"/>
          <w:lang w:val="en-GB"/>
        </w:rPr>
        <w:t>2</w:t>
      </w:r>
      <w:r>
        <w:rPr>
          <w:highlight w:val="none"/>
        </w:rPr>
        <w:t>5</w:t>
      </w:r>
      <w:r>
        <w:rPr>
          <w:highlight w:val="none"/>
          <w:lang w:val="en-GB"/>
        </w:rPr>
        <w:t>.3</w:t>
      </w:r>
      <w:r>
        <w:rPr>
          <w:highlight w:val="none"/>
        </w:rPr>
        <w:t>谈判</w:t>
      </w:r>
      <w:r>
        <w:rPr>
          <w:highlight w:val="none"/>
          <w:lang w:val="en-GB"/>
        </w:rPr>
        <w:t>截止时间前供应商未递交</w:t>
      </w:r>
      <w:r>
        <w:rPr>
          <w:highlight w:val="none"/>
        </w:rPr>
        <w:t>响应</w:t>
      </w:r>
      <w:r>
        <w:rPr>
          <w:highlight w:val="none"/>
          <w:lang w:val="en-GB"/>
        </w:rPr>
        <w:t>文件的，视为无效响应</w:t>
      </w:r>
      <w:r>
        <w:rPr>
          <w:bCs/>
          <w:highlight w:val="none"/>
          <w:lang w:val="en-GB"/>
        </w:rPr>
        <w:t>。</w:t>
      </w:r>
    </w:p>
    <w:p w14:paraId="353A8424">
      <w:pPr>
        <w:pStyle w:val="45"/>
        <w:rPr>
          <w:rFonts w:hint="default"/>
          <w:highlight w:val="none"/>
        </w:rPr>
      </w:pPr>
      <w:r>
        <w:rPr>
          <w:highlight w:val="none"/>
          <w:lang w:val="en-GB"/>
        </w:rPr>
        <w:t>25.</w:t>
      </w:r>
      <w:r>
        <w:rPr>
          <w:highlight w:val="none"/>
        </w:rPr>
        <w:t>4</w:t>
      </w:r>
      <w:r>
        <w:rPr>
          <w:b/>
          <w:highlight w:val="none"/>
          <w:lang w:val="en-GB"/>
        </w:rPr>
        <w:t>谈判小组对各供应商的谈判响应文件进行初审，并确定谈判内容。</w:t>
      </w:r>
      <w:r>
        <w:rPr>
          <w:highlight w:val="none"/>
        </w:rPr>
        <w:t>谈判响应文件的初审分为：</w:t>
      </w:r>
    </w:p>
    <w:p w14:paraId="41FE0736">
      <w:pPr>
        <w:pStyle w:val="45"/>
        <w:rPr>
          <w:rFonts w:hint="default"/>
          <w:highlight w:val="none"/>
          <w:lang w:val="en-GB"/>
        </w:rPr>
      </w:pPr>
      <w:r>
        <w:rPr>
          <w:highlight w:val="none"/>
          <w:lang w:val="en-GB"/>
        </w:rPr>
        <w:t>（1）资格性检查。依据法律法规和竞争性谈判</w:t>
      </w:r>
      <w:r>
        <w:rPr>
          <w:highlight w:val="none"/>
        </w:rPr>
        <w:t>文件“第四章响应文件格式”的规定，对响应文件中的资格证明文件进行审查，以确定供应商是否具备参加谈判资格。</w:t>
      </w:r>
    </w:p>
    <w:p w14:paraId="7F1570BA">
      <w:pPr>
        <w:pStyle w:val="45"/>
        <w:rPr>
          <w:rFonts w:hint="default"/>
          <w:highlight w:val="none"/>
          <w:lang w:val="en-GB"/>
        </w:rPr>
      </w:pPr>
      <w:r>
        <w:rPr>
          <w:highlight w:val="none"/>
          <w:lang w:val="en-GB"/>
        </w:rPr>
        <w:t>（2）符合性检查。依据谈判文件的规定，从响应文件的有效性、完整性和对谈判文件的响应程度进行审查，以确定是否对谈判文件的实质性要求做出响应。</w:t>
      </w:r>
    </w:p>
    <w:p w14:paraId="2C45A6CD">
      <w:pPr>
        <w:pStyle w:val="45"/>
        <w:ind w:firstLine="482"/>
        <w:rPr>
          <w:rFonts w:hint="default"/>
          <w:b/>
          <w:highlight w:val="none"/>
          <w:lang w:val="en-GB"/>
        </w:rPr>
      </w:pPr>
      <w:r>
        <w:rPr>
          <w:b/>
          <w:highlight w:val="none"/>
          <w:lang w:val="en-GB"/>
        </w:rPr>
        <w:t>25.</w:t>
      </w:r>
      <w:r>
        <w:rPr>
          <w:b/>
          <w:highlight w:val="none"/>
        </w:rPr>
        <w:t>5</w:t>
      </w:r>
      <w:r>
        <w:rPr>
          <w:b/>
          <w:highlight w:val="none"/>
          <w:lang w:val="en-GB"/>
        </w:rPr>
        <w:t>初审出现下列情况者，响应文件被视为无效：</w:t>
      </w:r>
    </w:p>
    <w:p w14:paraId="26CCED3B">
      <w:pPr>
        <w:pStyle w:val="45"/>
        <w:rPr>
          <w:rFonts w:hint="default"/>
          <w:highlight w:val="none"/>
          <w:lang w:val="en-GB"/>
        </w:rPr>
      </w:pPr>
      <w:r>
        <w:rPr>
          <w:highlight w:val="none"/>
          <w:lang w:val="en-GB"/>
        </w:rPr>
        <w:t>未提交谈判响应书；</w:t>
      </w:r>
    </w:p>
    <w:p w14:paraId="121D2540">
      <w:pPr>
        <w:pStyle w:val="45"/>
        <w:rPr>
          <w:rFonts w:hint="default"/>
          <w:highlight w:val="none"/>
          <w:lang w:val="en-GB"/>
        </w:rPr>
      </w:pPr>
      <w:r>
        <w:rPr>
          <w:highlight w:val="none"/>
          <w:lang w:val="en-GB"/>
        </w:rPr>
        <w:t>未提交报价表；</w:t>
      </w:r>
    </w:p>
    <w:p w14:paraId="4491A258">
      <w:pPr>
        <w:pStyle w:val="45"/>
        <w:rPr>
          <w:rFonts w:hint="default"/>
          <w:highlight w:val="none"/>
          <w:lang w:val="en-GB"/>
        </w:rPr>
      </w:pPr>
      <w:r>
        <w:rPr>
          <w:highlight w:val="none"/>
          <w:lang w:val="en-GB"/>
        </w:rPr>
        <w:t>未按竞争性谈判文件“第四章响应文件格式9”的规定提供资格证明文件的；</w:t>
      </w:r>
    </w:p>
    <w:p w14:paraId="1A4BA702">
      <w:pPr>
        <w:pStyle w:val="45"/>
        <w:rPr>
          <w:rFonts w:hint="default"/>
          <w:highlight w:val="none"/>
          <w:lang w:val="en-GB"/>
        </w:rPr>
      </w:pPr>
      <w:r>
        <w:rPr>
          <w:highlight w:val="none"/>
          <w:lang w:val="en-GB"/>
        </w:rPr>
        <w:t>未按谈判文件要求签字、签章的，或签字（签章）人无法定代表人有效委托的；</w:t>
      </w:r>
    </w:p>
    <w:p w14:paraId="40A5EF05">
      <w:pPr>
        <w:pStyle w:val="45"/>
        <w:rPr>
          <w:rFonts w:hint="default"/>
          <w:highlight w:val="none"/>
          <w:lang w:val="en-GB"/>
        </w:rPr>
      </w:pPr>
      <w:r>
        <w:rPr>
          <w:highlight w:val="none"/>
          <w:lang w:val="en-GB"/>
        </w:rPr>
        <w:t>谈判有效期响应不足的；</w:t>
      </w:r>
    </w:p>
    <w:p w14:paraId="52DC7985">
      <w:pPr>
        <w:pStyle w:val="45"/>
        <w:rPr>
          <w:rFonts w:hint="default"/>
          <w:highlight w:val="none"/>
          <w:lang w:val="en-GB"/>
        </w:rPr>
      </w:pPr>
      <w:r>
        <w:rPr>
          <w:highlight w:val="none"/>
          <w:lang w:val="en-GB"/>
        </w:rPr>
        <w:t>技术文件技术规格中的响应与事实不符或虚假响应的；</w:t>
      </w:r>
    </w:p>
    <w:p w14:paraId="009D9F1A">
      <w:pPr>
        <w:pStyle w:val="45"/>
        <w:rPr>
          <w:rFonts w:hint="default"/>
          <w:highlight w:val="none"/>
          <w:lang w:val="en-GB"/>
        </w:rPr>
      </w:pPr>
      <w:r>
        <w:rPr>
          <w:highlight w:val="none"/>
          <w:lang w:val="en-GB"/>
        </w:rPr>
        <w:t>超过了采购项目预算或超过了最高限价的；</w:t>
      </w:r>
    </w:p>
    <w:p w14:paraId="241A7331">
      <w:pPr>
        <w:pStyle w:val="45"/>
        <w:rPr>
          <w:rFonts w:hint="default"/>
          <w:highlight w:val="none"/>
          <w:lang w:val="en-GB"/>
        </w:rPr>
      </w:pPr>
      <w:r>
        <w:rPr>
          <w:highlight w:val="none"/>
          <w:lang w:val="en-GB"/>
        </w:rPr>
        <w:t>谈判文件规定的其他响应无效条款。</w:t>
      </w:r>
    </w:p>
    <w:p w14:paraId="5B1520BD">
      <w:pPr>
        <w:pStyle w:val="45"/>
        <w:rPr>
          <w:rFonts w:hint="default"/>
          <w:highlight w:val="none"/>
        </w:rPr>
      </w:pPr>
      <w:r>
        <w:rPr>
          <w:highlight w:val="none"/>
        </w:rPr>
        <w:t>25.6谈判：</w:t>
      </w:r>
    </w:p>
    <w:p w14:paraId="2D70CA1B">
      <w:pPr>
        <w:pStyle w:val="45"/>
        <w:rPr>
          <w:rFonts w:hint="default"/>
          <w:highlight w:val="none"/>
          <w:lang w:val="en-GB"/>
        </w:rPr>
      </w:pPr>
      <w:r>
        <w:rPr>
          <w:highlight w:val="none"/>
          <w:lang w:val="en-GB"/>
        </w:rPr>
        <w:t>按照递交响应文件时间的顺序，谈判小组所有成员集中与单一供应商分别就符合采购需求、质量和服务等进行谈判，并了解其报价组成情况。谈判中，谈判的任何一方不得透露与谈判有关的其他供应商的技术资料、价格和其他信息。</w:t>
      </w:r>
    </w:p>
    <w:p w14:paraId="1EE1A09C">
      <w:pPr>
        <w:pStyle w:val="45"/>
        <w:rPr>
          <w:rFonts w:hint="default"/>
          <w:highlight w:val="none"/>
        </w:rPr>
      </w:pPr>
      <w:r>
        <w:rPr>
          <w:highlight w:val="none"/>
        </w:rPr>
        <w:t>25.7谈判文件修正</w:t>
      </w:r>
    </w:p>
    <w:p w14:paraId="73993416">
      <w:pPr>
        <w:pStyle w:val="45"/>
        <w:rPr>
          <w:rFonts w:hint="default"/>
          <w:highlight w:val="none"/>
        </w:rPr>
      </w:pPr>
      <w:r>
        <w:rPr>
          <w:highlight w:val="none"/>
        </w:rPr>
        <w:t>（1）在谈判过程中，谈判小组可以根据谈判文件和谈判情况实质性变动条款，但不得变动谈判文件中的其他内容。实质性变动的内容，须经采购人代表确认。</w:t>
      </w:r>
    </w:p>
    <w:p w14:paraId="2E152846">
      <w:pPr>
        <w:pStyle w:val="45"/>
        <w:rPr>
          <w:rFonts w:hint="default"/>
          <w:highlight w:val="none"/>
        </w:rPr>
      </w:pPr>
      <w:r>
        <w:rPr>
          <w:highlight w:val="none"/>
        </w:rPr>
        <w:t>（2）对谈判文件作出的实质性变动是谈判文件的有效组成部分，谈判小组应当及时以书面形式同时通知所有参加谈判的供应商。</w:t>
      </w:r>
    </w:p>
    <w:p w14:paraId="3627DA13">
      <w:pPr>
        <w:pStyle w:val="45"/>
        <w:rPr>
          <w:rFonts w:hint="default"/>
          <w:highlight w:val="none"/>
        </w:rPr>
      </w:pPr>
      <w:r>
        <w:rPr>
          <w:highlight w:val="none"/>
        </w:rPr>
        <w:t>（3）供应商按照谈判文件的变动情况和谈判小组的要求重新提交响应文件，并由其法定代表人或授权代表签字或者加盖公章。</w:t>
      </w:r>
    </w:p>
    <w:p w14:paraId="3485FFBA">
      <w:pPr>
        <w:pStyle w:val="45"/>
        <w:rPr>
          <w:rFonts w:hint="default"/>
          <w:highlight w:val="none"/>
        </w:rPr>
      </w:pPr>
      <w:r>
        <w:rPr>
          <w:highlight w:val="none"/>
        </w:rPr>
        <w:t>（4）谈判小组就修正后的响应文件与响应供应商分别进行谈判。代理机构对谈判过程和谈判内容作记录，谈判小组召集人和响应供应商在记录上签字确认。谈判小组可以根据情况进行三轮谈判。第三轮谈判为最终的谈判。</w:t>
      </w:r>
    </w:p>
    <w:p w14:paraId="026200D3">
      <w:pPr>
        <w:pStyle w:val="45"/>
        <w:rPr>
          <w:rFonts w:hint="default"/>
          <w:highlight w:val="none"/>
        </w:rPr>
      </w:pPr>
      <w:r>
        <w:rPr>
          <w:highlight w:val="none"/>
        </w:rPr>
        <w:t>25.8 最后报价</w:t>
      </w:r>
    </w:p>
    <w:p w14:paraId="7C314F9A">
      <w:pPr>
        <w:pStyle w:val="45"/>
        <w:rPr>
          <w:rFonts w:hint="default"/>
          <w:highlight w:val="none"/>
        </w:rPr>
      </w:pPr>
      <w:r>
        <w:rPr>
          <w:highlight w:val="none"/>
        </w:rPr>
        <w:t>（1）谈判结束后，谈判小组要求所有继续参加谈判的供应商在规定时间内提交最后报价，提交最后报价的供应商不得少于3家。</w:t>
      </w:r>
    </w:p>
    <w:p w14:paraId="1162663C">
      <w:pPr>
        <w:pStyle w:val="45"/>
        <w:rPr>
          <w:rFonts w:hint="default"/>
          <w:highlight w:val="none"/>
        </w:rPr>
      </w:pPr>
      <w:r>
        <w:rPr>
          <w:highlight w:val="none"/>
        </w:rPr>
        <w:t>（2）最后报价是供应商响应文件的有效组成部分。</w:t>
      </w:r>
    </w:p>
    <w:p w14:paraId="3635CA18">
      <w:pPr>
        <w:pStyle w:val="45"/>
        <w:rPr>
          <w:rFonts w:hint="default"/>
          <w:highlight w:val="none"/>
          <w:lang w:val="en-GB"/>
        </w:rPr>
      </w:pPr>
      <w:r>
        <w:rPr>
          <w:highlight w:val="none"/>
          <w:lang w:val="en-GB"/>
        </w:rPr>
        <w:t>（3）最后报价如未作分项报价的，其分项报价则按总报价的降价比例计算。</w:t>
      </w:r>
    </w:p>
    <w:p w14:paraId="19634C02">
      <w:pPr>
        <w:pStyle w:val="45"/>
        <w:rPr>
          <w:rFonts w:hint="default"/>
          <w:highlight w:val="none"/>
          <w:lang w:val="en-GB"/>
        </w:rPr>
      </w:pPr>
      <w:r>
        <w:rPr>
          <w:highlight w:val="none"/>
          <w:lang w:val="en-GB"/>
        </w:rPr>
        <w:t>（4）若没有对谈判文件技术需求、商务作实质性修改或对服务要求、商务作了实质性修改，但没有提高采购要求，最后报价(含分项报价)不得高于上一轮报价；否则，</w:t>
      </w:r>
      <w:r>
        <w:rPr>
          <w:b/>
          <w:highlight w:val="none"/>
          <w:lang w:val="en-GB"/>
        </w:rPr>
        <w:t>视为无效响应。</w:t>
      </w:r>
    </w:p>
    <w:p w14:paraId="45F7FEC7">
      <w:pPr>
        <w:pStyle w:val="45"/>
        <w:rPr>
          <w:rFonts w:hint="default"/>
          <w:highlight w:val="none"/>
        </w:rPr>
      </w:pPr>
      <w:r>
        <w:rPr>
          <w:highlight w:val="none"/>
        </w:rPr>
        <w:t>（5）未在规定时间内提交最后报价或最后报价不符合谈判文件要求的；</w:t>
      </w:r>
      <w:r>
        <w:rPr>
          <w:b/>
          <w:highlight w:val="none"/>
        </w:rPr>
        <w:t>视为无效响应</w:t>
      </w:r>
      <w:r>
        <w:rPr>
          <w:highlight w:val="none"/>
        </w:rPr>
        <w:t>。</w:t>
      </w:r>
    </w:p>
    <w:p w14:paraId="58D75A7F">
      <w:pPr>
        <w:pStyle w:val="45"/>
        <w:rPr>
          <w:rFonts w:hint="default"/>
          <w:highlight w:val="none"/>
        </w:rPr>
      </w:pPr>
      <w:r>
        <w:rPr>
          <w:highlight w:val="none"/>
        </w:rPr>
        <w:t>（6）已提交响应文件的供应商，在提交最后报价之前，可以根据谈判情况退出谈判。采购人、采购代理机构应当退还退出谈判的供应商的保证金。</w:t>
      </w:r>
    </w:p>
    <w:p w14:paraId="15DA17AC">
      <w:pPr>
        <w:spacing w:line="360" w:lineRule="auto"/>
        <w:ind w:left="482" w:hanging="482" w:hangingChars="200"/>
        <w:rPr>
          <w:rFonts w:ascii="仿宋" w:hAnsi="仿宋" w:eastAsia="仿宋" w:cs="仿宋"/>
          <w:b/>
          <w:sz w:val="24"/>
          <w:szCs w:val="24"/>
          <w:highlight w:val="none"/>
        </w:rPr>
      </w:pPr>
      <w:r>
        <w:rPr>
          <w:rFonts w:hint="eastAsia" w:ascii="仿宋" w:hAnsi="仿宋" w:eastAsia="仿宋" w:cs="仿宋"/>
          <w:b/>
          <w:sz w:val="24"/>
          <w:szCs w:val="24"/>
          <w:highlight w:val="none"/>
        </w:rPr>
        <w:t>26. 成交标准　</w:t>
      </w:r>
    </w:p>
    <w:p w14:paraId="1D830CE6">
      <w:pPr>
        <w:pStyle w:val="45"/>
        <w:ind w:firstLine="482"/>
        <w:rPr>
          <w:rFonts w:hint="default"/>
          <w:b/>
          <w:bCs/>
          <w:highlight w:val="none"/>
        </w:rPr>
      </w:pPr>
      <w:r>
        <w:rPr>
          <w:b/>
          <w:bCs/>
          <w:highlight w:val="none"/>
        </w:rPr>
        <w:t>详见“供应商须知前附表”。</w:t>
      </w:r>
    </w:p>
    <w:p w14:paraId="41EDE842">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27. 与谈判小组的接触</w:t>
      </w:r>
    </w:p>
    <w:p w14:paraId="22047250">
      <w:pPr>
        <w:pStyle w:val="45"/>
        <w:rPr>
          <w:rFonts w:hint="default"/>
          <w:highlight w:val="none"/>
          <w:lang w:val="en-GB"/>
        </w:rPr>
      </w:pPr>
      <w:r>
        <w:rPr>
          <w:highlight w:val="none"/>
          <w:lang w:val="en-GB"/>
        </w:rPr>
        <w:t>27.1 除按本须知“第25条”规定外，从谈判之日起至授予合同期间，供应商不得就其谈判有关事项与谈判小组私下接触。</w:t>
      </w:r>
    </w:p>
    <w:p w14:paraId="6B848854">
      <w:pPr>
        <w:pStyle w:val="45"/>
        <w:rPr>
          <w:rFonts w:hint="default"/>
          <w:highlight w:val="none"/>
          <w:lang w:val="en-GB"/>
        </w:rPr>
      </w:pPr>
      <w:r>
        <w:rPr>
          <w:highlight w:val="none"/>
          <w:lang w:val="en-GB"/>
        </w:rPr>
        <w:t>27.2 供应商试图对谈判小组的评审施加任何影响，都可能导致其响应文件作无效处理。</w:t>
      </w:r>
    </w:p>
    <w:p w14:paraId="15733639">
      <w:pPr>
        <w:spacing w:line="360" w:lineRule="auto"/>
        <w:rPr>
          <w:rFonts w:ascii="仿宋" w:hAnsi="仿宋" w:eastAsia="仿宋" w:cs="仿宋"/>
          <w:b/>
          <w:sz w:val="24"/>
          <w:szCs w:val="24"/>
          <w:highlight w:val="none"/>
        </w:rPr>
      </w:pPr>
      <w:bookmarkStart w:id="44" w:name="_Toc376848253"/>
      <w:r>
        <w:rPr>
          <w:rFonts w:hint="eastAsia" w:ascii="仿宋" w:hAnsi="仿宋" w:eastAsia="仿宋" w:cs="仿宋"/>
          <w:b/>
          <w:sz w:val="24"/>
          <w:szCs w:val="24"/>
          <w:highlight w:val="none"/>
        </w:rPr>
        <w:t>28.终止竞争性谈判采购活动的情形</w:t>
      </w:r>
    </w:p>
    <w:p w14:paraId="29A98995">
      <w:pPr>
        <w:pStyle w:val="45"/>
        <w:rPr>
          <w:rFonts w:hint="default"/>
          <w:highlight w:val="none"/>
          <w:lang w:val="en-GB"/>
        </w:rPr>
      </w:pPr>
      <w:r>
        <w:rPr>
          <w:highlight w:val="none"/>
          <w:lang w:val="en-GB"/>
        </w:rPr>
        <w:t>出现下列情形之一的，终止竞争性谈判采购活动</w:t>
      </w:r>
      <w:r>
        <w:rPr>
          <w:b/>
          <w:highlight w:val="none"/>
          <w:lang w:val="en-GB"/>
        </w:rPr>
        <w:t>：</w:t>
      </w:r>
    </w:p>
    <w:p w14:paraId="6B214912">
      <w:pPr>
        <w:pStyle w:val="45"/>
        <w:rPr>
          <w:rFonts w:hint="default"/>
          <w:highlight w:val="none"/>
        </w:rPr>
      </w:pPr>
      <w:r>
        <w:rPr>
          <w:highlight w:val="none"/>
        </w:rPr>
        <w:t>（1）因情况变化，不再符合规定的竞争性谈判采购方式适用情形的；</w:t>
      </w:r>
    </w:p>
    <w:p w14:paraId="522FCD76">
      <w:pPr>
        <w:pStyle w:val="45"/>
        <w:rPr>
          <w:rFonts w:hint="default"/>
          <w:highlight w:val="none"/>
        </w:rPr>
      </w:pPr>
      <w:r>
        <w:rPr>
          <w:highlight w:val="none"/>
        </w:rPr>
        <w:t>（2）出现影响采购公正的违法、违规行为的。</w:t>
      </w:r>
    </w:p>
    <w:p w14:paraId="59E432AF">
      <w:pPr>
        <w:pStyle w:val="45"/>
        <w:rPr>
          <w:rFonts w:hint="default"/>
          <w:highlight w:val="none"/>
        </w:rPr>
      </w:pPr>
      <w:r>
        <w:rPr>
          <w:highlight w:val="none"/>
        </w:rPr>
        <w:t>（3）在采购过程中符合竞争要求的供应商或者报价未超过采购预算的供应商不足3家的。</w:t>
      </w:r>
    </w:p>
    <w:p w14:paraId="2BF4D290">
      <w:pPr>
        <w:pStyle w:val="42"/>
        <w:spacing w:before="240"/>
        <w:rPr>
          <w:rFonts w:hint="default"/>
          <w:highlight w:val="none"/>
        </w:rPr>
      </w:pPr>
      <w:bookmarkStart w:id="45" w:name="_Toc164674182"/>
      <w:bookmarkStart w:id="46" w:name="_Toc377297026"/>
      <w:r>
        <w:rPr>
          <w:highlight w:val="none"/>
        </w:rPr>
        <w:t>七、推荐成交候选供应商、确定成交供应商</w:t>
      </w:r>
      <w:bookmarkEnd w:id="45"/>
      <w:bookmarkEnd w:id="46"/>
    </w:p>
    <w:p w14:paraId="45A0FB76">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29.推荐成交候选供应商方法</w:t>
      </w:r>
    </w:p>
    <w:p w14:paraId="20139B68">
      <w:pPr>
        <w:pStyle w:val="45"/>
        <w:rPr>
          <w:rFonts w:hint="default"/>
          <w:highlight w:val="none"/>
          <w:lang w:val="en-GB"/>
        </w:rPr>
      </w:pPr>
      <w:r>
        <w:rPr>
          <w:highlight w:val="none"/>
          <w:lang w:val="en-GB"/>
        </w:rPr>
        <w:t>29.1谈判小组从质量和服务均能满足采购文件实质性响应要求的供应商中，按照最后报价由低到高的顺序提出3名以上成交候选人，并编写评审报告。</w:t>
      </w:r>
    </w:p>
    <w:p w14:paraId="0D5AFC38">
      <w:pPr>
        <w:pStyle w:val="45"/>
        <w:rPr>
          <w:rFonts w:hint="default"/>
          <w:highlight w:val="none"/>
          <w:lang w:val="en-GB"/>
        </w:rPr>
      </w:pPr>
      <w:r>
        <w:rPr>
          <w:highlight w:val="none"/>
          <w:lang w:val="en-GB"/>
        </w:rPr>
        <w:t>29.2最终报价相同的，按节能产品、环境标志产品金额占报价比例（简称“比例”）由高到低顺序排列；最终报价及比例相同的，由谈判小组随机抽取确定排序。</w:t>
      </w:r>
    </w:p>
    <w:p w14:paraId="1CBCF428">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30.确定成交供应商</w:t>
      </w:r>
    </w:p>
    <w:p w14:paraId="410981F7">
      <w:pPr>
        <w:pStyle w:val="45"/>
        <w:rPr>
          <w:rFonts w:hint="default"/>
          <w:highlight w:val="none"/>
        </w:rPr>
      </w:pPr>
      <w:r>
        <w:rPr>
          <w:highlight w:val="none"/>
        </w:rPr>
        <w:t>30.1采购代理机构在谈判结束后将评审报告送采购人。</w:t>
      </w:r>
    </w:p>
    <w:p w14:paraId="129EBD8E">
      <w:pPr>
        <w:pStyle w:val="45"/>
        <w:rPr>
          <w:rFonts w:hint="default"/>
          <w:bCs/>
          <w:highlight w:val="none"/>
        </w:rPr>
      </w:pPr>
      <w:r>
        <w:rPr>
          <w:highlight w:val="none"/>
        </w:rPr>
        <w:t>30.2采购人收到评审报告后，按照评审报告推荐的成交候选人顺序确定成交供应商。也可以事先授权谈判小组直接确定成交供应商。</w:t>
      </w:r>
    </w:p>
    <w:bookmarkEnd w:id="44"/>
    <w:p w14:paraId="463E6AF8">
      <w:pPr>
        <w:pStyle w:val="42"/>
        <w:spacing w:before="240"/>
        <w:rPr>
          <w:rFonts w:hint="default"/>
          <w:highlight w:val="none"/>
        </w:rPr>
      </w:pPr>
      <w:bookmarkStart w:id="47" w:name="_Toc376848254"/>
      <w:bookmarkStart w:id="48" w:name="_Toc164674183"/>
      <w:bookmarkStart w:id="49" w:name="_Toc286758340"/>
      <w:r>
        <w:rPr>
          <w:highlight w:val="none"/>
        </w:rPr>
        <w:t>八、成交结果公告</w:t>
      </w:r>
      <w:bookmarkEnd w:id="47"/>
      <w:r>
        <w:rPr>
          <w:highlight w:val="none"/>
        </w:rPr>
        <w:t>、成交通知书</w:t>
      </w:r>
      <w:bookmarkEnd w:id="48"/>
    </w:p>
    <w:p w14:paraId="7CDD0ADF">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31. </w:t>
      </w:r>
      <w:bookmarkEnd w:id="49"/>
      <w:r>
        <w:rPr>
          <w:rFonts w:hint="eastAsia" w:ascii="仿宋" w:hAnsi="仿宋" w:eastAsia="仿宋" w:cs="仿宋"/>
          <w:b/>
          <w:bCs/>
          <w:sz w:val="24"/>
          <w:szCs w:val="24"/>
          <w:highlight w:val="none"/>
        </w:rPr>
        <w:t>成交结果公告</w:t>
      </w:r>
    </w:p>
    <w:p w14:paraId="4C1E0D44">
      <w:pPr>
        <w:pStyle w:val="45"/>
        <w:rPr>
          <w:rFonts w:hint="default"/>
          <w:highlight w:val="none"/>
        </w:rPr>
      </w:pPr>
      <w:r>
        <w:rPr>
          <w:highlight w:val="none"/>
        </w:rPr>
        <w:t>成交供应商确定后，采购代理机构在东乡区人民政府网（公共资源交易）网站上公告成交结果，公告期限为1个工作日。</w:t>
      </w:r>
    </w:p>
    <w:p w14:paraId="6CB90129">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32.成交通知书</w:t>
      </w:r>
    </w:p>
    <w:p w14:paraId="2DAA2505">
      <w:pPr>
        <w:pStyle w:val="45"/>
        <w:rPr>
          <w:rFonts w:hint="default"/>
          <w:highlight w:val="none"/>
        </w:rPr>
      </w:pPr>
      <w:r>
        <w:rPr>
          <w:highlight w:val="none"/>
        </w:rPr>
        <w:t>32.1采购代理机构公告成交结果，向成交供应商发出成交通知书，并通知所有未成交的供应商。</w:t>
      </w:r>
    </w:p>
    <w:p w14:paraId="01B63C7E">
      <w:pPr>
        <w:pStyle w:val="45"/>
        <w:rPr>
          <w:rFonts w:hint="default"/>
          <w:highlight w:val="none"/>
        </w:rPr>
      </w:pPr>
      <w:r>
        <w:rPr>
          <w:highlight w:val="none"/>
        </w:rPr>
        <w:t>32.2成交通知书是合同的一个组成部分。</w:t>
      </w:r>
    </w:p>
    <w:p w14:paraId="405D93C4">
      <w:pPr>
        <w:pStyle w:val="42"/>
        <w:spacing w:before="240"/>
        <w:rPr>
          <w:rFonts w:hint="default"/>
          <w:highlight w:val="none"/>
        </w:rPr>
      </w:pPr>
      <w:bookmarkStart w:id="50" w:name="_Toc164674184"/>
      <w:r>
        <w:rPr>
          <w:highlight w:val="none"/>
        </w:rPr>
        <w:t>九、履约保证金、签订合同</w:t>
      </w:r>
      <w:bookmarkEnd w:id="50"/>
    </w:p>
    <w:p w14:paraId="6A61C86B">
      <w:pPr>
        <w:spacing w:line="360" w:lineRule="auto"/>
        <w:jc w:val="left"/>
        <w:rPr>
          <w:rFonts w:ascii="仿宋" w:hAnsi="仿宋" w:eastAsia="仿宋" w:cs="仿宋"/>
          <w:b/>
          <w:bCs/>
          <w:sz w:val="24"/>
          <w:szCs w:val="24"/>
          <w:highlight w:val="none"/>
        </w:rPr>
      </w:pPr>
      <w:r>
        <w:rPr>
          <w:rFonts w:hint="eastAsia" w:ascii="仿宋" w:hAnsi="仿宋" w:eastAsia="仿宋" w:cs="仿宋"/>
          <w:b/>
          <w:bCs/>
          <w:sz w:val="24"/>
          <w:szCs w:val="24"/>
          <w:highlight w:val="none"/>
        </w:rPr>
        <w:t>33. 履约保证金</w:t>
      </w:r>
    </w:p>
    <w:p w14:paraId="6544CDC3">
      <w:pPr>
        <w:pStyle w:val="45"/>
        <w:rPr>
          <w:rFonts w:hint="default"/>
          <w:highlight w:val="none"/>
        </w:rPr>
      </w:pPr>
      <w:r>
        <w:rPr>
          <w:highlight w:val="none"/>
        </w:rPr>
        <w:t>33.1中标人在与招标人签订采购合同之前，应向招标人提交“投标人须知前附表”规定的履约保证金。履约保证金按招标人的要求汇入招标人指定账户。</w:t>
      </w:r>
    </w:p>
    <w:p w14:paraId="619CAFE0">
      <w:pPr>
        <w:pStyle w:val="45"/>
        <w:rPr>
          <w:rFonts w:hint="default"/>
          <w:highlight w:val="none"/>
        </w:rPr>
      </w:pPr>
      <w:r>
        <w:rPr>
          <w:highlight w:val="none"/>
        </w:rPr>
        <w:t>33.2 履约保证金用于补偿因中标人不能完成其合同义务而使招标人蒙受的损失。</w:t>
      </w:r>
    </w:p>
    <w:p w14:paraId="4DD3314B">
      <w:pPr>
        <w:pStyle w:val="45"/>
        <w:rPr>
          <w:rFonts w:hint="default"/>
          <w:b/>
          <w:bCs/>
          <w:highlight w:val="none"/>
        </w:rPr>
      </w:pPr>
      <w:r>
        <w:rPr>
          <w:highlight w:val="none"/>
        </w:rPr>
        <w:t>33.3如果中标人没有按本须知“第33.1条”规定执行，招标人将有充分理由取消该中标决定，在此情况下可以与排位在中标人之后第一位的中标候选供应商签订采购合同，以此类推；或重新组织招标。</w:t>
      </w:r>
    </w:p>
    <w:p w14:paraId="5C9EF4E6">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34. 签订合同</w:t>
      </w:r>
    </w:p>
    <w:p w14:paraId="162C6914">
      <w:pPr>
        <w:pStyle w:val="45"/>
        <w:rPr>
          <w:rFonts w:hint="default"/>
          <w:highlight w:val="none"/>
        </w:rPr>
      </w:pPr>
      <w:r>
        <w:rPr>
          <w:highlight w:val="none"/>
        </w:rPr>
        <w:t>34.1 成交供应商应按成交通知书规定的时间、地点与采购人签订合同，否则按谈判文件“15.5”条处理。</w:t>
      </w:r>
    </w:p>
    <w:p w14:paraId="322E43D6">
      <w:pPr>
        <w:pStyle w:val="45"/>
        <w:rPr>
          <w:rFonts w:hint="default"/>
          <w:highlight w:val="none"/>
        </w:rPr>
      </w:pPr>
      <w:r>
        <w:rPr>
          <w:highlight w:val="none"/>
        </w:rPr>
        <w:t>34.2 谈判文件、成交供应商的响应文件及评审过程中有关澄清文件均为签订合同的依据。</w:t>
      </w:r>
    </w:p>
    <w:p w14:paraId="256B63EF">
      <w:pPr>
        <w:pStyle w:val="45"/>
        <w:rPr>
          <w:rFonts w:hint="default"/>
          <w:highlight w:val="none"/>
        </w:rPr>
      </w:pPr>
      <w:r>
        <w:rPr>
          <w:highlight w:val="none"/>
        </w:rPr>
        <w:t>34.3合同履行中，采购人需追加与合同标的相同的，在不改变合同其他条款的前提下，可以与供应商协商签订补充合同，但所有补充合同的采购金额不得超过原合同采购金额的百分之十。</w:t>
      </w:r>
    </w:p>
    <w:p w14:paraId="6220344F">
      <w:pPr>
        <w:pStyle w:val="45"/>
        <w:rPr>
          <w:rFonts w:hint="default"/>
          <w:highlight w:val="none"/>
        </w:rPr>
      </w:pPr>
      <w:r>
        <w:rPr>
          <w:highlight w:val="none"/>
        </w:rPr>
        <w:t>34.4成交供应商拒绝签订采购合同的，采购人可以按本须知“第30条”规定的原则确定下一个候选人为成交供应商，也可以重新开展采购活动。拒绝签订采购合同的成交供应商不得参加该项目重新开展的采购活动，并不予退还其交纳的谈判保证金，同时上报省财政监管部门依法处理。</w:t>
      </w:r>
    </w:p>
    <w:p w14:paraId="153E6443">
      <w:pPr>
        <w:pStyle w:val="42"/>
        <w:spacing w:before="240"/>
        <w:rPr>
          <w:rFonts w:hint="default"/>
          <w:highlight w:val="none"/>
        </w:rPr>
      </w:pPr>
      <w:bookmarkStart w:id="51" w:name="_Toc164674185"/>
      <w:r>
        <w:rPr>
          <w:highlight w:val="none"/>
        </w:rPr>
        <w:t>十、询问和质疑</w:t>
      </w:r>
      <w:bookmarkEnd w:id="51"/>
    </w:p>
    <w:p w14:paraId="4BBAD39F">
      <w:pPr>
        <w:spacing w:line="360" w:lineRule="auto"/>
        <w:rPr>
          <w:rFonts w:ascii="仿宋" w:hAnsi="仿宋" w:eastAsia="仿宋" w:cs="仿宋"/>
          <w:b/>
          <w:bCs/>
          <w:sz w:val="24"/>
          <w:szCs w:val="24"/>
          <w:highlight w:val="none"/>
        </w:rPr>
      </w:pPr>
      <w:r>
        <w:rPr>
          <w:rFonts w:hint="eastAsia" w:ascii="仿宋" w:hAnsi="仿宋" w:eastAsia="仿宋" w:cs="仿宋"/>
          <w:b/>
          <w:sz w:val="24"/>
          <w:szCs w:val="24"/>
          <w:highlight w:val="none"/>
        </w:rPr>
        <w:t>35.</w:t>
      </w:r>
      <w:r>
        <w:rPr>
          <w:rFonts w:hint="eastAsia" w:ascii="仿宋" w:hAnsi="仿宋" w:eastAsia="仿宋" w:cs="仿宋"/>
          <w:b/>
          <w:bCs/>
          <w:sz w:val="24"/>
          <w:szCs w:val="24"/>
          <w:highlight w:val="none"/>
        </w:rPr>
        <w:t>询问</w:t>
      </w:r>
    </w:p>
    <w:p w14:paraId="6D88A739">
      <w:pPr>
        <w:pStyle w:val="45"/>
        <w:rPr>
          <w:rFonts w:hint="default"/>
          <w:highlight w:val="none"/>
        </w:rPr>
      </w:pPr>
      <w:r>
        <w:rPr>
          <w:highlight w:val="none"/>
        </w:rPr>
        <w:t>供应商对采购活动事项有疑问的，可以向采购人或者采购代理机构提出询问，采购代理机构应当在3个工作日内对供应商依法提出的询问作出答复。</w:t>
      </w:r>
    </w:p>
    <w:p w14:paraId="1C49380E">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36.质疑</w:t>
      </w:r>
    </w:p>
    <w:p w14:paraId="3D573B9B">
      <w:pPr>
        <w:pStyle w:val="45"/>
        <w:rPr>
          <w:rFonts w:hint="default"/>
          <w:highlight w:val="none"/>
        </w:rPr>
      </w:pPr>
      <w:r>
        <w:rPr>
          <w:highlight w:val="none"/>
        </w:rPr>
        <w:t>36.1 供应商认为谈判文件、谈判过程、成交结果使自己的权益受到损害的，可以在知道或者应知其权益受到损害之日起7个工作日内，以书面形式向采购人、采购代理机构提出质疑。</w:t>
      </w:r>
    </w:p>
    <w:p w14:paraId="34562E86">
      <w:pPr>
        <w:pStyle w:val="45"/>
        <w:rPr>
          <w:rFonts w:hint="default"/>
          <w:highlight w:val="none"/>
        </w:rPr>
      </w:pPr>
      <w:r>
        <w:rPr>
          <w:highlight w:val="none"/>
        </w:rPr>
        <w:t>1）对可以质疑的谈判文件提出质疑的，为收到谈判文件之日或者谈判文件公告期限届满之日起7个工作日内；</w:t>
      </w:r>
    </w:p>
    <w:p w14:paraId="09AB20AE">
      <w:pPr>
        <w:pStyle w:val="45"/>
        <w:rPr>
          <w:rFonts w:hint="default"/>
          <w:highlight w:val="none"/>
        </w:rPr>
      </w:pPr>
      <w:r>
        <w:rPr>
          <w:highlight w:val="none"/>
        </w:rPr>
        <w:t>2）对谈判过程提出质疑的，为各谈判程序环节结束之日起7个工作日内；</w:t>
      </w:r>
    </w:p>
    <w:p w14:paraId="14564E7A">
      <w:pPr>
        <w:pStyle w:val="45"/>
        <w:rPr>
          <w:rFonts w:hint="default"/>
          <w:highlight w:val="none"/>
        </w:rPr>
      </w:pPr>
      <w:r>
        <w:rPr>
          <w:highlight w:val="none"/>
        </w:rPr>
        <w:t>3）对成交结果提出质疑的，为成交结果公告期限届满之日起7个工作日内。</w:t>
      </w:r>
    </w:p>
    <w:p w14:paraId="10A849F4">
      <w:pPr>
        <w:pStyle w:val="45"/>
        <w:rPr>
          <w:rFonts w:hint="default"/>
          <w:highlight w:val="none"/>
        </w:rPr>
      </w:pPr>
      <w:r>
        <w:rPr>
          <w:highlight w:val="none"/>
        </w:rPr>
        <w:t>36.2 供应商应在法定质疑期内一次性提出针对同一采购程序环节的质疑。</w:t>
      </w:r>
    </w:p>
    <w:p w14:paraId="2096AFA8">
      <w:pPr>
        <w:pStyle w:val="45"/>
        <w:rPr>
          <w:rFonts w:hint="default"/>
          <w:highlight w:val="none"/>
        </w:rPr>
      </w:pPr>
      <w:r>
        <w:rPr>
          <w:highlight w:val="none"/>
        </w:rPr>
        <w:t>36.3 提出质疑的供应商应当是参与所质疑项目采购活动的供应商。</w:t>
      </w:r>
    </w:p>
    <w:p w14:paraId="13A5EC44">
      <w:pPr>
        <w:pStyle w:val="45"/>
        <w:rPr>
          <w:rFonts w:hint="default"/>
          <w:highlight w:val="none"/>
        </w:rPr>
      </w:pPr>
      <w:r>
        <w:rPr>
          <w:highlight w:val="none"/>
        </w:rPr>
        <w:t>36.4潜在供应商已依法获取其可质疑的谈判文件的，可以对该文件提出质疑。</w:t>
      </w:r>
    </w:p>
    <w:p w14:paraId="5E04D73B">
      <w:pPr>
        <w:pStyle w:val="45"/>
        <w:rPr>
          <w:rFonts w:hint="default"/>
          <w:highlight w:val="none"/>
        </w:rPr>
      </w:pPr>
      <w:r>
        <w:rPr>
          <w:highlight w:val="none"/>
        </w:rPr>
        <w:t>36.5供应商提出质疑应当提交质疑函和必要的证明材料。质疑函应当包括下列内容。</w:t>
      </w:r>
    </w:p>
    <w:p w14:paraId="2F2E7207">
      <w:pPr>
        <w:pStyle w:val="45"/>
        <w:rPr>
          <w:rFonts w:hint="default"/>
          <w:highlight w:val="none"/>
        </w:rPr>
      </w:pPr>
      <w:r>
        <w:rPr>
          <w:highlight w:val="none"/>
        </w:rPr>
        <w:t>　　（一）供应商的姓名或者名称、地址、邮编、联系人及联系电话；</w:t>
      </w:r>
    </w:p>
    <w:p w14:paraId="553611A9">
      <w:pPr>
        <w:pStyle w:val="45"/>
        <w:rPr>
          <w:rFonts w:hint="default"/>
          <w:highlight w:val="none"/>
        </w:rPr>
      </w:pPr>
      <w:r>
        <w:rPr>
          <w:highlight w:val="none"/>
        </w:rPr>
        <w:t>　　（二）质疑项目的名称、编号；</w:t>
      </w:r>
    </w:p>
    <w:p w14:paraId="1756BB29">
      <w:pPr>
        <w:pStyle w:val="45"/>
        <w:rPr>
          <w:rFonts w:hint="default"/>
          <w:highlight w:val="none"/>
        </w:rPr>
      </w:pPr>
      <w:r>
        <w:rPr>
          <w:highlight w:val="none"/>
        </w:rPr>
        <w:t>　　（三）具体、明确的质疑事项和与质疑事项相关的请求；</w:t>
      </w:r>
    </w:p>
    <w:p w14:paraId="733A3002">
      <w:pPr>
        <w:pStyle w:val="45"/>
        <w:rPr>
          <w:rFonts w:hint="default"/>
          <w:highlight w:val="none"/>
        </w:rPr>
      </w:pPr>
      <w:r>
        <w:rPr>
          <w:highlight w:val="none"/>
        </w:rPr>
        <w:t>　　（四）事实依据；</w:t>
      </w:r>
    </w:p>
    <w:p w14:paraId="389567A2">
      <w:pPr>
        <w:pStyle w:val="45"/>
        <w:rPr>
          <w:rFonts w:hint="default"/>
          <w:highlight w:val="none"/>
        </w:rPr>
      </w:pPr>
      <w:r>
        <w:rPr>
          <w:highlight w:val="none"/>
        </w:rPr>
        <w:t>　　（五）必要的法律依据；</w:t>
      </w:r>
    </w:p>
    <w:p w14:paraId="4720375A">
      <w:pPr>
        <w:pStyle w:val="45"/>
        <w:rPr>
          <w:rFonts w:hint="default"/>
          <w:highlight w:val="none"/>
        </w:rPr>
      </w:pPr>
      <w:r>
        <w:rPr>
          <w:highlight w:val="none"/>
        </w:rPr>
        <w:t>　　（六）提出质疑的日期。</w:t>
      </w:r>
    </w:p>
    <w:p w14:paraId="335B0E69">
      <w:pPr>
        <w:pStyle w:val="45"/>
        <w:rPr>
          <w:rFonts w:hint="default"/>
          <w:highlight w:val="none"/>
        </w:rPr>
      </w:pPr>
      <w:r>
        <w:rPr>
          <w:highlight w:val="none"/>
        </w:rPr>
        <w:t>供应商为自然人的，应当由本人签字；供应商为法人或者其他组织的，应当由法定代表人、主要负责人，或者其授权代表签字或者盖章，并加盖公章。</w:t>
      </w:r>
    </w:p>
    <w:p w14:paraId="57510D7C">
      <w:pPr>
        <w:pStyle w:val="45"/>
        <w:rPr>
          <w:rFonts w:hint="default"/>
          <w:highlight w:val="none"/>
        </w:rPr>
      </w:pPr>
      <w:r>
        <w:rPr>
          <w:highlight w:val="none"/>
        </w:rPr>
        <w:t>对谈判文件质疑的，须同时提供下载谈判文件的凭证。</w:t>
      </w:r>
    </w:p>
    <w:p w14:paraId="54C7D77C">
      <w:pPr>
        <w:pStyle w:val="45"/>
        <w:rPr>
          <w:rFonts w:hint="default"/>
          <w:highlight w:val="none"/>
        </w:rPr>
      </w:pPr>
      <w:r>
        <w:rPr>
          <w:highlight w:val="none"/>
        </w:rPr>
        <w:t>36.6质疑函接收方式</w:t>
      </w:r>
    </w:p>
    <w:p w14:paraId="2B6021F7">
      <w:pPr>
        <w:pStyle w:val="45"/>
        <w:rPr>
          <w:rFonts w:hint="default"/>
          <w:highlight w:val="none"/>
        </w:rPr>
      </w:pPr>
      <w:r>
        <w:rPr>
          <w:highlight w:val="none"/>
        </w:rPr>
        <w:t>36.6.1对谈判文件质疑</w:t>
      </w:r>
    </w:p>
    <w:p w14:paraId="11930F73">
      <w:pPr>
        <w:pStyle w:val="45"/>
        <w:rPr>
          <w:rFonts w:hint="eastAsia" w:eastAsia="仿宋"/>
          <w:highlight w:val="none"/>
          <w:lang w:eastAsia="zh-CN"/>
        </w:rPr>
      </w:pPr>
      <w:bookmarkStart w:id="52" w:name="_Toc45786108"/>
      <w:r>
        <w:rPr>
          <w:highlight w:val="none"/>
        </w:rPr>
        <w:t>接收部门：</w:t>
      </w:r>
      <w:r>
        <w:rPr>
          <w:rFonts w:hint="eastAsia"/>
          <w:highlight w:val="none"/>
          <w:lang w:eastAsia="zh-CN"/>
        </w:rPr>
        <w:t>江西寰信工程造价咨询有限责任公司</w:t>
      </w:r>
    </w:p>
    <w:p w14:paraId="0535D143">
      <w:pPr>
        <w:pStyle w:val="45"/>
        <w:rPr>
          <w:rFonts w:hint="eastAsia" w:eastAsia="仿宋"/>
          <w:highlight w:val="none"/>
          <w:lang w:eastAsia="zh-CN"/>
        </w:rPr>
      </w:pPr>
      <w:r>
        <w:rPr>
          <w:highlight w:val="none"/>
        </w:rPr>
        <w:t>联系电话：</w:t>
      </w:r>
      <w:r>
        <w:rPr>
          <w:rFonts w:hint="eastAsia"/>
          <w:highlight w:val="none"/>
          <w:lang w:eastAsia="zh-CN"/>
        </w:rPr>
        <w:t>13870070707</w:t>
      </w:r>
    </w:p>
    <w:p w14:paraId="436960F9">
      <w:pPr>
        <w:pStyle w:val="45"/>
        <w:rPr>
          <w:rFonts w:hint="eastAsia" w:eastAsia="仿宋"/>
          <w:highlight w:val="none"/>
          <w:lang w:eastAsia="zh-CN"/>
        </w:rPr>
      </w:pPr>
      <w:r>
        <w:rPr>
          <w:highlight w:val="none"/>
        </w:rPr>
        <w:t>通讯地址：</w:t>
      </w:r>
      <w:r>
        <w:rPr>
          <w:rFonts w:hint="eastAsia"/>
          <w:highlight w:val="none"/>
          <w:lang w:eastAsia="zh-CN"/>
        </w:rPr>
        <w:t>江西省南昌市红谷滩区九龙湖管理处绿地卢塞恩小镇17栋</w:t>
      </w:r>
    </w:p>
    <w:p w14:paraId="6738A6D3">
      <w:pPr>
        <w:pStyle w:val="45"/>
        <w:rPr>
          <w:rFonts w:hint="default" w:eastAsia="仿宋"/>
          <w:highlight w:val="none"/>
          <w:lang w:val="en-US" w:eastAsia="zh-CN"/>
        </w:rPr>
      </w:pPr>
      <w:r>
        <w:rPr>
          <w:highlight w:val="none"/>
        </w:rPr>
        <w:t>邮编：</w:t>
      </w:r>
      <w:bookmarkEnd w:id="52"/>
      <w:bookmarkStart w:id="53" w:name="_Toc445715221"/>
      <w:bookmarkStart w:id="54" w:name="_Toc376848255"/>
      <w:bookmarkStart w:id="55" w:name="_Toc286758341"/>
      <w:r>
        <w:rPr>
          <w:rFonts w:hint="eastAsia"/>
          <w:highlight w:val="none"/>
          <w:lang w:val="en-US" w:eastAsia="zh-CN"/>
        </w:rPr>
        <w:t>330000</w:t>
      </w:r>
    </w:p>
    <w:p w14:paraId="0FA75C94">
      <w:pPr>
        <w:pStyle w:val="42"/>
        <w:spacing w:before="240"/>
        <w:rPr>
          <w:rFonts w:hint="default"/>
          <w:highlight w:val="none"/>
        </w:rPr>
      </w:pPr>
      <w:bookmarkStart w:id="56" w:name="_Toc164674186"/>
      <w:r>
        <w:rPr>
          <w:highlight w:val="none"/>
        </w:rPr>
        <w:t>十一、采购代理服务费</w:t>
      </w:r>
      <w:bookmarkEnd w:id="53"/>
      <w:bookmarkEnd w:id="56"/>
    </w:p>
    <w:p w14:paraId="21780A86">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37. 采购代理服务费</w:t>
      </w:r>
    </w:p>
    <w:p w14:paraId="162AA3C0">
      <w:pPr>
        <w:pStyle w:val="45"/>
        <w:rPr>
          <w:rFonts w:hint="default"/>
          <w:highlight w:val="none"/>
        </w:rPr>
      </w:pPr>
      <w:r>
        <w:rPr>
          <w:highlight w:val="none"/>
        </w:rPr>
        <w:t>37.1成交供应商在领取成交通知书时须按“供应商须知前附表”规定的收费标准</w:t>
      </w:r>
      <w:r>
        <w:rPr>
          <w:b/>
          <w:highlight w:val="none"/>
        </w:rPr>
        <w:t>，</w:t>
      </w:r>
      <w:r>
        <w:rPr>
          <w:highlight w:val="none"/>
        </w:rPr>
        <w:t>向采购代理机构缴纳采购代理服务费。</w:t>
      </w:r>
    </w:p>
    <w:p w14:paraId="1BBC8F0E">
      <w:pPr>
        <w:pStyle w:val="45"/>
        <w:rPr>
          <w:rFonts w:hint="default"/>
          <w:highlight w:val="none"/>
        </w:rPr>
      </w:pPr>
      <w:r>
        <w:rPr>
          <w:highlight w:val="none"/>
        </w:rPr>
        <w:t>37.2 采购代理服务费采用银行转账、支票、汇票、本票等非现金形式交纳。</w:t>
      </w:r>
      <w:bookmarkEnd w:id="54"/>
      <w:bookmarkEnd w:id="55"/>
      <w:bookmarkStart w:id="57" w:name="_Toc376848257"/>
      <w:bookmarkStart w:id="58" w:name="_Toc245611283"/>
    </w:p>
    <w:p w14:paraId="016E35AA">
      <w:pPr>
        <w:pStyle w:val="42"/>
        <w:spacing w:before="240"/>
        <w:rPr>
          <w:rFonts w:hint="default"/>
          <w:highlight w:val="none"/>
        </w:rPr>
      </w:pPr>
      <w:bookmarkStart w:id="59" w:name="_Toc164674187"/>
      <w:r>
        <w:rPr>
          <w:highlight w:val="none"/>
        </w:rPr>
        <w:t>十二、附则</w:t>
      </w:r>
      <w:bookmarkEnd w:id="57"/>
      <w:bookmarkEnd w:id="59"/>
    </w:p>
    <w:p w14:paraId="7EFD159A">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38. 解释权</w:t>
      </w:r>
      <w:bookmarkEnd w:id="58"/>
    </w:p>
    <w:p w14:paraId="470F06BD">
      <w:pPr>
        <w:pStyle w:val="45"/>
        <w:rPr>
          <w:rFonts w:hint="default"/>
          <w:highlight w:val="none"/>
        </w:rPr>
      </w:pPr>
      <w:r>
        <w:rPr>
          <w:highlight w:val="none"/>
        </w:rPr>
        <w:t>本谈判文件是根据国家有关法律、法规有关规定编制，解释权属</w:t>
      </w:r>
      <w:r>
        <w:rPr>
          <w:rFonts w:hint="eastAsia"/>
          <w:highlight w:val="none"/>
          <w:lang w:eastAsia="zh-CN"/>
        </w:rPr>
        <w:t>江西寰信工程造价咨询有限责任公司</w:t>
      </w:r>
      <w:r>
        <w:rPr>
          <w:highlight w:val="none"/>
        </w:rPr>
        <w:t>。</w:t>
      </w:r>
    </w:p>
    <w:p w14:paraId="0E204CA6">
      <w:pPr>
        <w:pStyle w:val="40"/>
        <w:rPr>
          <w:rFonts w:hint="default"/>
          <w:szCs w:val="32"/>
          <w:highlight w:val="none"/>
        </w:rPr>
      </w:pPr>
      <w:r>
        <w:rPr>
          <w:highlight w:val="none"/>
        </w:rPr>
        <w:br w:type="page"/>
      </w:r>
      <w:bookmarkStart w:id="60" w:name="_Toc505076476"/>
      <w:bookmarkStart w:id="61" w:name="_Toc164674188"/>
      <w:bookmarkStart w:id="62" w:name="_Toc225565935"/>
      <w:bookmarkStart w:id="63" w:name="_Toc387418052"/>
      <w:r>
        <w:rPr>
          <w:highlight w:val="none"/>
        </w:rPr>
        <w:t>第三章　</w:t>
      </w:r>
      <w:r>
        <w:rPr>
          <w:szCs w:val="32"/>
          <w:highlight w:val="none"/>
        </w:rPr>
        <w:t>拟签订的合同文本</w:t>
      </w:r>
      <w:bookmarkEnd w:id="60"/>
      <w:bookmarkEnd w:id="61"/>
    </w:p>
    <w:p w14:paraId="2B5E4864">
      <w:pPr>
        <w:spacing w:line="360" w:lineRule="auto"/>
        <w:rPr>
          <w:rFonts w:ascii="仿宋" w:hAnsi="仿宋" w:eastAsia="仿宋" w:cs="宋体"/>
          <w:kern w:val="0"/>
          <w:sz w:val="24"/>
          <w:szCs w:val="24"/>
          <w:highlight w:val="none"/>
        </w:rPr>
      </w:pPr>
      <w:r>
        <w:rPr>
          <w:rFonts w:hint="eastAsia" w:ascii="仿宋" w:hAnsi="仿宋" w:eastAsia="仿宋" w:cs="宋体"/>
          <w:kern w:val="0"/>
          <w:sz w:val="24"/>
          <w:szCs w:val="24"/>
          <w:highlight w:val="none"/>
        </w:rPr>
        <w:t>甲方（采购单位）：________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乙方（供货单位）：________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签订时间：________年____月____日</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签订地点：</w:t>
      </w:r>
      <w:r>
        <w:rPr>
          <w:rFonts w:hint="eastAsia" w:ascii="仿宋" w:hAnsi="仿宋" w:eastAsia="仿宋" w:cs="宋体"/>
          <w:kern w:val="0"/>
          <w:sz w:val="24"/>
          <w:szCs w:val="24"/>
          <w:highlight w:val="none"/>
        </w:rPr>
        <w:br w:type="textWrapping"/>
      </w:r>
    </w:p>
    <w:p w14:paraId="5B09AF6F">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根据《中华人民共和国民法典》及________年____月____日（采购代理机构名称）关于________项目的成交通知书和谈判文件（项目编号：________）的要求，经双方协商一致，签订本合同。详细价格、技术说明及其他有关合同货物的特定信息由合同附件予以说明，所有附件及本项目的谈判文件、响应文件、会议纪要、协议等均为本合同不可分割之一部分。</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第一条　合同货物</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乙方根据甲方要求提供以下货物：　　</w:t>
      </w:r>
      <w:r>
        <w:rPr>
          <w:rFonts w:ascii="仿宋" w:hAnsi="仿宋" w:eastAsia="仿宋" w:cs="宋体"/>
          <w:kern w:val="0"/>
          <w:sz w:val="24"/>
          <w:szCs w:val="24"/>
          <w:highlight w:val="none"/>
        </w:rPr>
        <mc:AlternateContent>
          <mc:Choice Requires="wps">
            <w:drawing>
              <wp:inline distT="0" distB="0" distL="0" distR="0">
                <wp:extent cx="318135" cy="318135"/>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8135" cy="318135"/>
                        </a:xfrm>
                        <a:prstGeom prst="rect">
                          <a:avLst/>
                        </a:prstGeom>
                        <a:noFill/>
                        <a:ln>
                          <a:noFill/>
                        </a:ln>
                      </wps:spPr>
                      <wps:txbx>
                        <w:txbxContent>
                          <w:p w14:paraId="5D403D93">
                            <w:pPr>
                              <w:jc w:val="center"/>
                            </w:pPr>
                          </w:p>
                        </w:txbxContent>
                      </wps:txbx>
                      <wps:bodyPr rot="0" vert="horz" wrap="square" lIns="91440" tIns="45720" rIns="91440" bIns="45720" anchor="t" anchorCtr="0" upright="1">
                        <a:noAutofit/>
                      </wps:bodyPr>
                    </wps:wsp>
                  </a:graphicData>
                </a:graphic>
              </wp:inline>
            </w:drawing>
          </mc:Choice>
          <mc:Fallback>
            <w:pict>
              <v:rect id="AutoShape 1" o:spid="_x0000_s1026" o:spt="1" style="height:25.05pt;width:25.05pt;" filled="f" stroked="f" coordsize="21600,21600" o:gfxdata="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NRodMAAAADAQAADwAAAAAAAAABACAAAAAiAAAAZHJzL2Rvd25yZXYu&#10;eG1sUEsBAhQAFAAAAAgAh07iQOmvo7UAAgAAHQQAAA4AAAAAAAAAAQAgAAAAIgEAAGRycy9lMm9E&#10;b2MueG1sUEsFBgAAAAAGAAYAWQEAAJQFAAAAAA==&#10;">
                <v:fill on="f" focussize="0,0"/>
                <v:stroke on="f"/>
                <v:imagedata o:title=""/>
                <o:lock v:ext="edit" aspectratio="t"/>
                <v:textbox>
                  <w:txbxContent>
                    <w:p w14:paraId="5D403D93">
                      <w:pPr>
                        <w:jc w:val="center"/>
                      </w:pPr>
                    </w:p>
                  </w:txbxContent>
                </v:textbox>
                <w10:wrap type="none"/>
                <w10:anchorlock/>
              </v:rect>
            </w:pict>
          </mc:Fallback>
        </mc:AlternateConten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438"/>
        <w:gridCol w:w="1448"/>
        <w:gridCol w:w="1125"/>
        <w:gridCol w:w="1448"/>
        <w:gridCol w:w="805"/>
        <w:gridCol w:w="805"/>
        <w:gridCol w:w="913"/>
        <w:gridCol w:w="1340"/>
      </w:tblGrid>
      <w:tr w14:paraId="32797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14:paraId="7536E456">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序号</w:t>
            </w:r>
          </w:p>
        </w:tc>
        <w:tc>
          <w:tcPr>
            <w:tcW w:w="709" w:type="pct"/>
          </w:tcPr>
          <w:p w14:paraId="56982D51">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货物名称</w:t>
            </w:r>
          </w:p>
        </w:tc>
        <w:tc>
          <w:tcPr>
            <w:tcW w:w="714" w:type="pct"/>
          </w:tcPr>
          <w:p w14:paraId="315537BC">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规格型号</w:t>
            </w:r>
          </w:p>
        </w:tc>
        <w:tc>
          <w:tcPr>
            <w:tcW w:w="555" w:type="pct"/>
          </w:tcPr>
          <w:p w14:paraId="7B4C20CD">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原产国</w:t>
            </w:r>
          </w:p>
        </w:tc>
        <w:tc>
          <w:tcPr>
            <w:tcW w:w="714" w:type="pct"/>
          </w:tcPr>
          <w:p w14:paraId="70EB559A">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生产厂商</w:t>
            </w:r>
          </w:p>
        </w:tc>
        <w:tc>
          <w:tcPr>
            <w:tcW w:w="397" w:type="pct"/>
          </w:tcPr>
          <w:p w14:paraId="398D1AAB">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单位</w:t>
            </w:r>
          </w:p>
        </w:tc>
        <w:tc>
          <w:tcPr>
            <w:tcW w:w="397" w:type="pct"/>
          </w:tcPr>
          <w:p w14:paraId="3562DD69">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数量</w:t>
            </w:r>
          </w:p>
        </w:tc>
        <w:tc>
          <w:tcPr>
            <w:tcW w:w="450" w:type="pct"/>
          </w:tcPr>
          <w:p w14:paraId="3B0DCD0D">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单价</w:t>
            </w:r>
          </w:p>
        </w:tc>
        <w:tc>
          <w:tcPr>
            <w:tcW w:w="661" w:type="pct"/>
          </w:tcPr>
          <w:p w14:paraId="53ABF6E8">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单项合计</w:t>
            </w:r>
          </w:p>
        </w:tc>
      </w:tr>
      <w:tr w14:paraId="04C83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14:paraId="0BE51F30">
            <w:pPr>
              <w:widowControl/>
              <w:spacing w:line="360" w:lineRule="auto"/>
              <w:ind w:right="480"/>
              <w:jc w:val="center"/>
              <w:rPr>
                <w:rFonts w:ascii="仿宋" w:hAnsi="仿宋" w:eastAsia="仿宋" w:cs="宋体"/>
                <w:kern w:val="0"/>
                <w:sz w:val="24"/>
                <w:szCs w:val="24"/>
                <w:highlight w:val="none"/>
              </w:rPr>
            </w:pPr>
          </w:p>
        </w:tc>
        <w:tc>
          <w:tcPr>
            <w:tcW w:w="709" w:type="pct"/>
          </w:tcPr>
          <w:p w14:paraId="723D2DE2">
            <w:pPr>
              <w:widowControl/>
              <w:spacing w:line="360" w:lineRule="auto"/>
              <w:ind w:right="480"/>
              <w:jc w:val="center"/>
              <w:rPr>
                <w:rFonts w:ascii="仿宋" w:hAnsi="仿宋" w:eastAsia="仿宋" w:cs="宋体"/>
                <w:kern w:val="0"/>
                <w:sz w:val="24"/>
                <w:szCs w:val="24"/>
                <w:highlight w:val="none"/>
              </w:rPr>
            </w:pPr>
          </w:p>
        </w:tc>
        <w:tc>
          <w:tcPr>
            <w:tcW w:w="714" w:type="pct"/>
          </w:tcPr>
          <w:p w14:paraId="7F228179">
            <w:pPr>
              <w:widowControl/>
              <w:spacing w:line="360" w:lineRule="auto"/>
              <w:ind w:right="480"/>
              <w:jc w:val="center"/>
              <w:rPr>
                <w:rFonts w:ascii="仿宋" w:hAnsi="仿宋" w:eastAsia="仿宋" w:cs="宋体"/>
                <w:kern w:val="0"/>
                <w:sz w:val="24"/>
                <w:szCs w:val="24"/>
                <w:highlight w:val="none"/>
              </w:rPr>
            </w:pPr>
          </w:p>
        </w:tc>
        <w:tc>
          <w:tcPr>
            <w:tcW w:w="555" w:type="pct"/>
          </w:tcPr>
          <w:p w14:paraId="125CB8E7">
            <w:pPr>
              <w:widowControl/>
              <w:spacing w:line="360" w:lineRule="auto"/>
              <w:ind w:right="480"/>
              <w:jc w:val="center"/>
              <w:rPr>
                <w:rFonts w:ascii="仿宋" w:hAnsi="仿宋" w:eastAsia="仿宋" w:cs="宋体"/>
                <w:kern w:val="0"/>
                <w:sz w:val="24"/>
                <w:szCs w:val="24"/>
                <w:highlight w:val="none"/>
              </w:rPr>
            </w:pPr>
          </w:p>
        </w:tc>
        <w:tc>
          <w:tcPr>
            <w:tcW w:w="714" w:type="pct"/>
          </w:tcPr>
          <w:p w14:paraId="75D00945">
            <w:pPr>
              <w:widowControl/>
              <w:spacing w:line="360" w:lineRule="auto"/>
              <w:ind w:right="480"/>
              <w:jc w:val="center"/>
              <w:rPr>
                <w:rFonts w:ascii="仿宋" w:hAnsi="仿宋" w:eastAsia="仿宋" w:cs="宋体"/>
                <w:kern w:val="0"/>
                <w:sz w:val="24"/>
                <w:szCs w:val="24"/>
                <w:highlight w:val="none"/>
              </w:rPr>
            </w:pPr>
          </w:p>
        </w:tc>
        <w:tc>
          <w:tcPr>
            <w:tcW w:w="397" w:type="pct"/>
          </w:tcPr>
          <w:p w14:paraId="2E7EB4A0">
            <w:pPr>
              <w:widowControl/>
              <w:spacing w:line="360" w:lineRule="auto"/>
              <w:ind w:right="480"/>
              <w:jc w:val="center"/>
              <w:rPr>
                <w:rFonts w:ascii="仿宋" w:hAnsi="仿宋" w:eastAsia="仿宋" w:cs="宋体"/>
                <w:kern w:val="0"/>
                <w:sz w:val="24"/>
                <w:szCs w:val="24"/>
                <w:highlight w:val="none"/>
              </w:rPr>
            </w:pPr>
          </w:p>
        </w:tc>
        <w:tc>
          <w:tcPr>
            <w:tcW w:w="397" w:type="pct"/>
          </w:tcPr>
          <w:p w14:paraId="578501A9">
            <w:pPr>
              <w:widowControl/>
              <w:spacing w:line="360" w:lineRule="auto"/>
              <w:ind w:right="480"/>
              <w:jc w:val="center"/>
              <w:rPr>
                <w:rFonts w:ascii="仿宋" w:hAnsi="仿宋" w:eastAsia="仿宋" w:cs="宋体"/>
                <w:kern w:val="0"/>
                <w:sz w:val="24"/>
                <w:szCs w:val="24"/>
                <w:highlight w:val="none"/>
              </w:rPr>
            </w:pPr>
          </w:p>
        </w:tc>
        <w:tc>
          <w:tcPr>
            <w:tcW w:w="450" w:type="pct"/>
          </w:tcPr>
          <w:p w14:paraId="5C0F67CC">
            <w:pPr>
              <w:widowControl/>
              <w:spacing w:line="360" w:lineRule="auto"/>
              <w:ind w:right="480"/>
              <w:jc w:val="center"/>
              <w:rPr>
                <w:rFonts w:ascii="仿宋" w:hAnsi="仿宋" w:eastAsia="仿宋" w:cs="宋体"/>
                <w:kern w:val="0"/>
                <w:sz w:val="24"/>
                <w:szCs w:val="24"/>
                <w:highlight w:val="none"/>
              </w:rPr>
            </w:pPr>
          </w:p>
        </w:tc>
        <w:tc>
          <w:tcPr>
            <w:tcW w:w="661" w:type="pct"/>
          </w:tcPr>
          <w:p w14:paraId="59EF73D0">
            <w:pPr>
              <w:widowControl/>
              <w:spacing w:line="360" w:lineRule="auto"/>
              <w:ind w:right="480"/>
              <w:jc w:val="center"/>
              <w:rPr>
                <w:rFonts w:ascii="仿宋" w:hAnsi="仿宋" w:eastAsia="仿宋" w:cs="宋体"/>
                <w:kern w:val="0"/>
                <w:sz w:val="24"/>
                <w:szCs w:val="24"/>
                <w:highlight w:val="none"/>
              </w:rPr>
            </w:pPr>
          </w:p>
        </w:tc>
      </w:tr>
    </w:tbl>
    <w:p w14:paraId="3AF7182A">
      <w:pPr>
        <w:spacing w:line="360" w:lineRule="auto"/>
        <w:ind w:firstLine="630"/>
        <w:jc w:val="left"/>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第二条　合同总价</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总价为人民币（大写）：________ ，即RMB________。该合同总价是货物设计、制造、包装、仓储、运输、安装及验收合格之前及保修期内备品备件发生的所有含税费用。本合同执行期间合同总价不变。</w:t>
      </w:r>
    </w:p>
    <w:p w14:paraId="58C1C980">
      <w:pPr>
        <w:spacing w:line="360" w:lineRule="auto"/>
        <w:ind w:left="105" w:leftChars="50" w:firstLine="194" w:firstLineChars="81"/>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第三条　专利权</w:t>
      </w:r>
    </w:p>
    <w:p w14:paraId="03A18B91">
      <w:pPr>
        <w:spacing w:line="360" w:lineRule="auto"/>
        <w:ind w:left="105" w:leftChars="50" w:firstLine="194" w:firstLineChars="81"/>
        <w:rPr>
          <w:rFonts w:ascii="仿宋" w:hAnsi="仿宋" w:eastAsia="仿宋" w:cs="宋体"/>
          <w:kern w:val="0"/>
          <w:sz w:val="24"/>
          <w:szCs w:val="24"/>
          <w:highlight w:val="none"/>
        </w:rPr>
      </w:pPr>
      <w:r>
        <w:rPr>
          <w:rFonts w:hint="eastAsia" w:ascii="仿宋" w:hAnsi="仿宋" w:eastAsia="仿宋" w:cs="宋体"/>
          <w:kern w:val="0"/>
          <w:sz w:val="24"/>
          <w:szCs w:val="24"/>
          <w:highlight w:val="none"/>
        </w:rPr>
        <w:t xml:space="preserve">  乙方应保护甲方在使用该货物或其任何一部分时不受第三方提出侵犯专利权、商标权、著作权或其它知识产权起诉的指控。如果任何第三方提出侵权指控，乙方须与第三方交涉并承担可能发生的一切法律责任和费用。</w:t>
      </w:r>
    </w:p>
    <w:p w14:paraId="3A027C8F">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第四条　包装和装运标志</w:t>
      </w:r>
    </w:p>
    <w:p w14:paraId="1E189BD3">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除合同另有规定外，乙方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乙方承担。</w:t>
      </w:r>
    </w:p>
    <w:p w14:paraId="1219D8FD">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2.每件包装箱内应附一份详细装箱单和质量合格证。</w:t>
      </w:r>
    </w:p>
    <w:p w14:paraId="3DCAEF60">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3.除合同另有规定外，装运标志均应采用国家或专业标准进行标志。由于标志不妥所造成货物损坏和损失的后果均由乙方承担。</w:t>
      </w:r>
    </w:p>
    <w:p w14:paraId="0AC9218D">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第五条　质量</w:t>
      </w:r>
    </w:p>
    <w:p w14:paraId="4973FA0C">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1.乙方须提供全新的、符合国家有关质量标准和规范、环保要求的货物，其质量、规格及技术特征符合合同附件的要求。</w:t>
      </w:r>
    </w:p>
    <w:p w14:paraId="1F4A563D">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2.每台货物上均应钉有名牌（内容包括：制造商、货物名称、型号规格、出厂日期等）并附有产品质量检验合格标志。</w:t>
      </w:r>
    </w:p>
    <w:p w14:paraId="44A06944">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3.货物制造质量出现问题，乙方应负责三包（包修、包换、包退），费用由乙方负责。</w:t>
      </w:r>
    </w:p>
    <w:p w14:paraId="0BBF92DB">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4.货到现场后由于甲方保管不当造成的质量问题，乙方亦应负责修理，但费用由甲方负担。</w:t>
      </w:r>
    </w:p>
    <w:p w14:paraId="481C0A7D">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第六条　交货及验收</w:t>
      </w:r>
    </w:p>
    <w:p w14:paraId="0C321881">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1.在合同签订后________日内，乙方免费送货至甲方地点：________，由甲方与乙方一起进行到货验收及由乙方免费完成货物和系统的安装调试工作，然后由双方共同进行质量验收，如质量验收合格，双方签署质量验收表。</w:t>
      </w:r>
    </w:p>
    <w:p w14:paraId="13C5BA46">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2.货物的到货验收包括：型号、规格、数量、外观质量及货物包装完整无损。</w:t>
      </w:r>
    </w:p>
    <w:p w14:paraId="40ADD9DA">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3.货物和系统安装调试完成后10天之内，甲方无故不进行验收工作而使用货物的，视同已安装调试完成并验收合格。</w:t>
      </w:r>
    </w:p>
    <w:p w14:paraId="2D5F8DEB">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4.货物和系统调试验收的标准：按行业通行标准、厂方出厂标准和乙方响应文件的承诺（详见合同附件载明的标准，并不低于国家相关标准）。</w:t>
      </w:r>
    </w:p>
    <w:p w14:paraId="45B5DF07">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5.国内产品或合资厂的产品必须具备出厂合格证和原厂保修卡。</w:t>
      </w:r>
    </w:p>
    <w:p w14:paraId="3C761E15">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6.乙方应将所提供货物的装箱清单、用户手册、原厂保修卡、随机资料及配件、随机工具等交付给甲方；乙方不能完整交付货物及本款规定的单证和工具的，视为未按合同约定付货，乙方必须负责补齐，因此导致逾期交付的，由乙方承担相关的违约责任。</w:t>
      </w:r>
    </w:p>
    <w:p w14:paraId="53D73B20">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第七条　付款方式</w:t>
      </w:r>
    </w:p>
    <w:p w14:paraId="4D5D603B">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合同签订后，全部货物到达采购人指定现场后支付至合同总价款30%，货物全部安装完毕并经初验收合格后支付至合同总价款的60%，全部设备运行三个月后最终验收合格后支付至合同总价款的95%，5%的余款在质保期后无质量问题后退还（无息）需开具与合同同等货物金额的13%增值税专用发票。</w:t>
      </w:r>
    </w:p>
    <w:p w14:paraId="4A463DB2">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本合同供应商指定的收款账户：</w:t>
      </w:r>
    </w:p>
    <w:p w14:paraId="13AA3472">
      <w:pPr>
        <w:spacing w:line="360" w:lineRule="auto"/>
        <w:ind w:firstLine="720" w:firstLineChars="3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户名：_____________________</w:t>
      </w:r>
    </w:p>
    <w:p w14:paraId="03037E89">
      <w:pPr>
        <w:spacing w:line="360" w:lineRule="auto"/>
        <w:ind w:firstLine="720" w:firstLineChars="300"/>
        <w:rPr>
          <w:rFonts w:ascii="仿宋" w:hAnsi="仿宋" w:eastAsia="仿宋" w:cs="宋体"/>
          <w:kern w:val="0"/>
          <w:sz w:val="24"/>
          <w:szCs w:val="24"/>
          <w:highlight w:val="none"/>
        </w:rPr>
      </w:pPr>
      <w:r>
        <w:rPr>
          <w:rFonts w:hint="eastAsia" w:ascii="仿宋" w:hAnsi="仿宋" w:eastAsia="仿宋" w:cs="宋体"/>
          <w:kern w:val="0"/>
          <w:sz w:val="24"/>
          <w:szCs w:val="24"/>
          <w:highlight w:val="none"/>
        </w:rPr>
        <w:t>开户行：___________________</w:t>
      </w:r>
    </w:p>
    <w:p w14:paraId="02118CF3">
      <w:pPr>
        <w:pStyle w:val="16"/>
        <w:spacing w:after="0" w:line="360" w:lineRule="auto"/>
        <w:ind w:firstLine="720" w:firstLineChars="300"/>
        <w:rPr>
          <w:rFonts w:ascii="仿宋" w:hAnsi="仿宋" w:eastAsia="仿宋" w:cs="宋体"/>
          <w:sz w:val="24"/>
          <w:szCs w:val="24"/>
          <w:highlight w:val="none"/>
        </w:rPr>
      </w:pPr>
      <w:r>
        <w:rPr>
          <w:rFonts w:hint="eastAsia" w:ascii="仿宋" w:hAnsi="仿宋" w:eastAsia="仿宋" w:cs="宋体"/>
          <w:kern w:val="0"/>
          <w:sz w:val="24"/>
          <w:szCs w:val="24"/>
          <w:highlight w:val="none"/>
        </w:rPr>
        <w:t>账号：_____________________</w:t>
      </w:r>
    </w:p>
    <w:p w14:paraId="303A213D">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第八条　售后服务</w:t>
      </w:r>
    </w:p>
    <w:p w14:paraId="496175D9">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14:paraId="2F772532">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2.质量保证期为：         ；质保期自甲方在货物质量验收单上签字之日起计算，保修费用计入总价。</w:t>
      </w:r>
    </w:p>
    <w:p w14:paraId="14DE3949">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3.质量保证期内，乙方负责对其提供的货物整机进行维修和系统维护，不再收取任何费用，但不可抗力（如火灾、雷击等）造成的故障除外。</w:t>
      </w:r>
    </w:p>
    <w:p w14:paraId="006847D1">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4.货物故障报修的响应时间为：工作期间（星期一至星期五8： 00-18： 00）为________小时；非工作期间为________小时；售后服务电话：________。</w:t>
      </w:r>
    </w:p>
    <w:p w14:paraId="2F712A80">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5.若货物故障在检修8工作小时后仍无法排除，乙方应在48小时内免费提供不低于故障货物规格型号档次的备用货物供甲方使用，直至故障货物修复。</w:t>
      </w:r>
    </w:p>
    <w:p w14:paraId="47BB5EB1">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6.所有货物保修服务方式均为乙方上门保修，即由乙方派员到货物使用现场维修，由此产生的一切费用均由乙方承担。</w:t>
      </w:r>
    </w:p>
    <w:p w14:paraId="687888F7">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7.乙方须每隔半年上门对甲方进行回访，（需由用户盖章确认）。</w:t>
      </w:r>
    </w:p>
    <w:p w14:paraId="13EB3A61">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8.保修期后的货物维护由双方协商再定。</w:t>
      </w:r>
    </w:p>
    <w:p w14:paraId="03C07AFF">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第九条　违约责任</w:t>
      </w:r>
    </w:p>
    <w:p w14:paraId="657A415B">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1.甲方无正当理由拒收货物、拒付货款的，由甲方向乙方偿付合同总价的5‰的违约金。</w:t>
      </w:r>
    </w:p>
    <w:p w14:paraId="2472F27E">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2.甲方应在合同规定时间内向乙方支付货款，每逾期1天甲方向乙方偿付欠款总额的2‰滞纳金，累计滞纳金总额不超过欠款总额的5%。</w:t>
      </w:r>
    </w:p>
    <w:p w14:paraId="6F7A490B">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3.乙方不能交付货物，则由乙方向甲方支付合同总价的10%的违约金。</w:t>
      </w:r>
    </w:p>
    <w:p w14:paraId="0644443D">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4.乙方逾期交付货物的，每逾期1天，乙方向甲方偿付逾期交货部分货款总额的1%的滞纳金，累计滞纳金不超过逾期交货部分货款总额的10%，逾期交货超过10天，甲方有权终止合同，并按第九条第3款处理。</w:t>
      </w:r>
    </w:p>
    <w:p w14:paraId="64AE7BD0">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5.乙方所交的货物品种、型号、规格不符合合同规定的，甲方有权拒收设备。乙方向甲方支付货款总额的10%的违约金。</w:t>
      </w:r>
    </w:p>
    <w:p w14:paraId="33A1A059">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6.如经乙方两次维修，货物仍不能达到合同约定质量标准，甲方有权退货，乙方退回全部货款，并按第九条第3款处理，同时，乙方还须赔偿甲方因此遭受的损失。</w:t>
      </w:r>
    </w:p>
    <w:p w14:paraId="6B2E83A8">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7.乙方所供货物必须权属清楚，不得侵害他人的知识产权，否则构成对甲方违约，违约金按第九条第3~4款执行。</w:t>
      </w:r>
    </w:p>
    <w:p w14:paraId="3DFF1F25">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第十条　争议及仲裁</w:t>
      </w:r>
    </w:p>
    <w:p w14:paraId="27E32C53">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1.因货物的质量问题发生争议，由质量监督部门或其指定的质量鉴定单位进行质量鉴定。货物符合标准的，鉴定费由甲方承担；货物不符合质量标准的，鉴定费由乙方承担。</w:t>
      </w:r>
    </w:p>
    <w:p w14:paraId="03935AFD">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2.因本合同引起的争议，甲、乙双方应首先通过友好协商解决，如果协商或调解不能解决争议，则</w:t>
      </w:r>
      <w:r>
        <w:rPr>
          <w:rFonts w:hint="eastAsia" w:ascii="仿宋" w:hAnsi="仿宋" w:eastAsia="仿宋" w:cs="宋体"/>
          <w:sz w:val="24"/>
          <w:szCs w:val="24"/>
          <w:highlight w:val="none"/>
        </w:rPr>
        <w:t>提请仲裁委员会按照其仲裁规则进行仲裁。</w:t>
      </w:r>
    </w:p>
    <w:p w14:paraId="18C30F06">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第十一条　其他</w:t>
      </w:r>
    </w:p>
    <w:p w14:paraId="349EE945">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1.本合同正本</w:t>
      </w:r>
      <w:r>
        <w:rPr>
          <w:rFonts w:ascii="仿宋" w:hAnsi="仿宋" w:eastAsia="仿宋" w:cs="宋体"/>
          <w:kern w:val="0"/>
          <w:sz w:val="24"/>
          <w:szCs w:val="24"/>
          <w:highlight w:val="none"/>
        </w:rPr>
        <w:t>4</w:t>
      </w:r>
      <w:r>
        <w:rPr>
          <w:rFonts w:hint="eastAsia" w:ascii="仿宋" w:hAnsi="仿宋" w:eastAsia="仿宋" w:cs="宋体"/>
          <w:kern w:val="0"/>
          <w:sz w:val="24"/>
          <w:szCs w:val="24"/>
          <w:highlight w:val="none"/>
        </w:rPr>
        <w:t>份，具有同等法律效力，甲、乙双方各执2份。合同自签字之日起即时生效。</w:t>
      </w:r>
    </w:p>
    <w:p w14:paraId="4AF18CAE">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2.本合同未尽事宜，由双方协商处理。</w:t>
      </w:r>
    </w:p>
    <w:p w14:paraId="5A9A678C">
      <w:pPr>
        <w:spacing w:line="360" w:lineRule="auto"/>
        <w:ind w:firstLine="420"/>
        <w:rPr>
          <w:rFonts w:ascii="仿宋" w:hAnsi="仿宋" w:eastAsia="仿宋" w:cs="仿宋"/>
          <w:b/>
          <w:sz w:val="24"/>
          <w:szCs w:val="24"/>
          <w:highlight w:val="none"/>
        </w:rPr>
      </w:pP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甲方（盖章）：________　　　   乙方（盖章）：________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签约代表（签字）：________　　签约代表（签字）：________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地址：________　　　　　　　  地址：________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电话：________　　　　　　　  电话：________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传真：________　　　　　　　  传真：________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________年____月____日　　 　________年____月____日</w:t>
      </w:r>
    </w:p>
    <w:p w14:paraId="3E28251E">
      <w:pPr>
        <w:pStyle w:val="40"/>
        <w:rPr>
          <w:rFonts w:hint="default"/>
          <w:szCs w:val="32"/>
          <w:highlight w:val="none"/>
        </w:rPr>
      </w:pPr>
      <w:r>
        <w:rPr>
          <w:kern w:val="0"/>
          <w:sz w:val="24"/>
          <w:szCs w:val="24"/>
          <w:highlight w:val="none"/>
        </w:rPr>
        <w:br w:type="page"/>
      </w:r>
      <w:bookmarkStart w:id="64" w:name="_Toc164674189"/>
      <w:r>
        <w:rPr>
          <w:highlight w:val="none"/>
        </w:rPr>
        <w:t>第四章  响应文件格式</w:t>
      </w:r>
      <w:bookmarkEnd w:id="62"/>
      <w:bookmarkEnd w:id="63"/>
      <w:bookmarkEnd w:id="64"/>
    </w:p>
    <w:p w14:paraId="185BF3C1">
      <w:pPr>
        <w:pStyle w:val="36"/>
        <w:rPr>
          <w:rFonts w:hint="default"/>
          <w:highlight w:val="none"/>
        </w:rPr>
      </w:pPr>
    </w:p>
    <w:p w14:paraId="6DEDB3D5">
      <w:pPr>
        <w:pStyle w:val="36"/>
        <w:rPr>
          <w:rFonts w:hint="default"/>
          <w:highlight w:val="none"/>
        </w:rPr>
      </w:pPr>
      <w:r>
        <w:rPr>
          <w:highlight w:val="none"/>
        </w:rPr>
        <w:t>谈判响应文件</w:t>
      </w:r>
    </w:p>
    <w:p w14:paraId="043A2F66">
      <w:pPr>
        <w:rPr>
          <w:rFonts w:ascii="仿宋" w:hAnsi="仿宋" w:eastAsia="仿宋" w:cs="仿宋"/>
          <w:sz w:val="24"/>
          <w:highlight w:val="none"/>
        </w:rPr>
      </w:pPr>
    </w:p>
    <w:p w14:paraId="515ED278">
      <w:pPr>
        <w:rPr>
          <w:rFonts w:ascii="仿宋" w:hAnsi="仿宋" w:eastAsia="仿宋" w:cs="仿宋"/>
          <w:sz w:val="24"/>
          <w:highlight w:val="none"/>
        </w:rPr>
      </w:pPr>
    </w:p>
    <w:p w14:paraId="06ACC53D">
      <w:pPr>
        <w:rPr>
          <w:rFonts w:ascii="仿宋" w:hAnsi="仿宋" w:eastAsia="仿宋" w:cs="仿宋"/>
          <w:sz w:val="24"/>
          <w:highlight w:val="none"/>
        </w:rPr>
      </w:pPr>
    </w:p>
    <w:p w14:paraId="1781173B">
      <w:pPr>
        <w:rPr>
          <w:rFonts w:ascii="仿宋" w:hAnsi="仿宋" w:eastAsia="仿宋" w:cs="仿宋"/>
          <w:sz w:val="24"/>
          <w:highlight w:val="none"/>
        </w:rPr>
      </w:pPr>
    </w:p>
    <w:p w14:paraId="3F797019">
      <w:pPr>
        <w:rPr>
          <w:rFonts w:ascii="仿宋" w:hAnsi="仿宋" w:eastAsia="仿宋" w:cs="仿宋"/>
          <w:sz w:val="24"/>
          <w:highlight w:val="none"/>
        </w:rPr>
      </w:pPr>
    </w:p>
    <w:p w14:paraId="3A29E1F7">
      <w:pPr>
        <w:rPr>
          <w:rFonts w:ascii="仿宋" w:hAnsi="仿宋" w:eastAsia="仿宋" w:cs="仿宋"/>
          <w:sz w:val="24"/>
          <w:highlight w:val="none"/>
        </w:rPr>
      </w:pPr>
    </w:p>
    <w:p w14:paraId="0D7CB2B9">
      <w:pPr>
        <w:rPr>
          <w:rFonts w:ascii="仿宋" w:hAnsi="仿宋" w:eastAsia="仿宋" w:cs="仿宋"/>
          <w:sz w:val="24"/>
          <w:highlight w:val="none"/>
        </w:rPr>
      </w:pPr>
    </w:p>
    <w:p w14:paraId="0875873E">
      <w:pPr>
        <w:rPr>
          <w:rFonts w:ascii="仿宋" w:hAnsi="仿宋" w:eastAsia="仿宋" w:cs="仿宋"/>
          <w:sz w:val="24"/>
          <w:highlight w:val="none"/>
        </w:rPr>
      </w:pPr>
    </w:p>
    <w:p w14:paraId="62688B1A">
      <w:pPr>
        <w:rPr>
          <w:rFonts w:ascii="仿宋" w:hAnsi="仿宋" w:eastAsia="仿宋" w:cs="仿宋"/>
          <w:sz w:val="24"/>
          <w:highlight w:val="none"/>
        </w:rPr>
      </w:pPr>
    </w:p>
    <w:p w14:paraId="193D9E64">
      <w:pPr>
        <w:rPr>
          <w:rFonts w:ascii="仿宋" w:hAnsi="仿宋" w:eastAsia="仿宋" w:cs="仿宋"/>
          <w:sz w:val="28"/>
          <w:highlight w:val="none"/>
          <w:u w:val="single"/>
        </w:rPr>
      </w:pPr>
      <w:r>
        <w:rPr>
          <w:rFonts w:hint="eastAsia" w:ascii="仿宋" w:hAnsi="仿宋" w:eastAsia="仿宋" w:cs="仿宋"/>
          <w:sz w:val="28"/>
          <w:highlight w:val="none"/>
        </w:rPr>
        <w:t>项目名称：</w:t>
      </w:r>
    </w:p>
    <w:p w14:paraId="0F4E2A0F">
      <w:pPr>
        <w:rPr>
          <w:rFonts w:ascii="仿宋" w:hAnsi="仿宋" w:eastAsia="仿宋" w:cs="仿宋"/>
          <w:sz w:val="28"/>
          <w:highlight w:val="none"/>
          <w:u w:val="single"/>
        </w:rPr>
      </w:pPr>
    </w:p>
    <w:p w14:paraId="022D8A41">
      <w:pPr>
        <w:rPr>
          <w:rFonts w:ascii="仿宋" w:hAnsi="仿宋" w:eastAsia="仿宋" w:cs="仿宋"/>
          <w:sz w:val="28"/>
          <w:highlight w:val="none"/>
          <w:u w:val="single"/>
        </w:rPr>
      </w:pPr>
    </w:p>
    <w:p w14:paraId="1A8EF817">
      <w:pPr>
        <w:rPr>
          <w:rFonts w:ascii="仿宋" w:hAnsi="仿宋" w:eastAsia="仿宋" w:cs="仿宋"/>
          <w:sz w:val="28"/>
          <w:highlight w:val="none"/>
          <w:u w:val="single"/>
        </w:rPr>
      </w:pPr>
      <w:r>
        <w:rPr>
          <w:rFonts w:hint="eastAsia" w:ascii="仿宋" w:hAnsi="仿宋" w:eastAsia="仿宋" w:cs="仿宋"/>
          <w:sz w:val="28"/>
          <w:highlight w:val="none"/>
        </w:rPr>
        <w:t>项目编号：</w:t>
      </w:r>
    </w:p>
    <w:p w14:paraId="2790EB9D">
      <w:pPr>
        <w:rPr>
          <w:rFonts w:ascii="仿宋" w:hAnsi="仿宋" w:eastAsia="仿宋" w:cs="仿宋"/>
          <w:sz w:val="28"/>
          <w:highlight w:val="none"/>
          <w:u w:val="single"/>
        </w:rPr>
      </w:pPr>
    </w:p>
    <w:p w14:paraId="2A362C97">
      <w:pPr>
        <w:rPr>
          <w:rFonts w:ascii="仿宋" w:hAnsi="仿宋" w:eastAsia="仿宋" w:cs="仿宋"/>
          <w:sz w:val="28"/>
          <w:highlight w:val="none"/>
          <w:u w:val="single"/>
        </w:rPr>
      </w:pPr>
    </w:p>
    <w:p w14:paraId="45162B54">
      <w:pPr>
        <w:rPr>
          <w:rFonts w:ascii="仿宋" w:hAnsi="仿宋" w:eastAsia="仿宋" w:cs="仿宋"/>
          <w:sz w:val="28"/>
          <w:highlight w:val="none"/>
          <w:u w:val="single"/>
        </w:rPr>
      </w:pPr>
    </w:p>
    <w:p w14:paraId="0E7C2612">
      <w:pPr>
        <w:rPr>
          <w:rFonts w:ascii="仿宋" w:hAnsi="仿宋" w:eastAsia="仿宋" w:cs="仿宋"/>
          <w:sz w:val="28"/>
          <w:highlight w:val="none"/>
          <w:u w:val="single"/>
        </w:rPr>
      </w:pPr>
    </w:p>
    <w:p w14:paraId="508C34DF">
      <w:pPr>
        <w:rPr>
          <w:rFonts w:ascii="仿宋" w:hAnsi="仿宋" w:eastAsia="仿宋" w:cs="仿宋"/>
          <w:sz w:val="28"/>
          <w:highlight w:val="none"/>
          <w:u w:val="single"/>
        </w:rPr>
      </w:pPr>
    </w:p>
    <w:p w14:paraId="4C03EA25">
      <w:pPr>
        <w:rPr>
          <w:rFonts w:ascii="仿宋" w:hAnsi="仿宋" w:eastAsia="仿宋" w:cs="仿宋"/>
          <w:sz w:val="28"/>
          <w:highlight w:val="none"/>
          <w:u w:val="single"/>
        </w:rPr>
      </w:pPr>
    </w:p>
    <w:p w14:paraId="6DACA6B6">
      <w:pPr>
        <w:rPr>
          <w:rFonts w:ascii="仿宋" w:hAnsi="仿宋" w:eastAsia="仿宋" w:cs="仿宋"/>
          <w:sz w:val="28"/>
          <w:highlight w:val="none"/>
          <w:u w:val="single"/>
        </w:rPr>
      </w:pPr>
    </w:p>
    <w:p w14:paraId="14A26A5C">
      <w:pPr>
        <w:rPr>
          <w:rFonts w:ascii="仿宋" w:hAnsi="仿宋" w:eastAsia="仿宋" w:cs="仿宋"/>
          <w:sz w:val="28"/>
          <w:highlight w:val="none"/>
          <w:u w:val="single"/>
        </w:rPr>
      </w:pPr>
    </w:p>
    <w:p w14:paraId="1CFCF0BF">
      <w:pPr>
        <w:rPr>
          <w:rFonts w:ascii="仿宋" w:hAnsi="仿宋" w:eastAsia="仿宋" w:cs="仿宋"/>
          <w:sz w:val="28"/>
          <w:highlight w:val="none"/>
          <w:u w:val="single"/>
        </w:rPr>
      </w:pPr>
    </w:p>
    <w:p w14:paraId="40096AC5">
      <w:pPr>
        <w:jc w:val="center"/>
        <w:rPr>
          <w:rFonts w:ascii="仿宋" w:hAnsi="仿宋" w:eastAsia="仿宋" w:cs="仿宋"/>
          <w:sz w:val="28"/>
          <w:highlight w:val="none"/>
        </w:rPr>
      </w:pPr>
    </w:p>
    <w:p w14:paraId="17252619">
      <w:pPr>
        <w:jc w:val="center"/>
        <w:rPr>
          <w:rFonts w:ascii="仿宋" w:hAnsi="仿宋" w:eastAsia="仿宋" w:cs="仿宋"/>
          <w:sz w:val="28"/>
          <w:highlight w:val="none"/>
        </w:rPr>
      </w:pPr>
      <w:r>
        <w:rPr>
          <w:rFonts w:hint="eastAsia" w:ascii="仿宋" w:hAnsi="仿宋" w:eastAsia="仿宋" w:cs="仿宋"/>
          <w:sz w:val="28"/>
          <w:highlight w:val="none"/>
        </w:rPr>
        <w:t>单位（</w:t>
      </w:r>
      <w:r>
        <w:rPr>
          <w:rFonts w:hint="eastAsia" w:ascii="仿宋" w:hAnsi="仿宋" w:eastAsia="仿宋" w:cs="仿宋"/>
          <w:sz w:val="24"/>
          <w:highlight w:val="none"/>
        </w:rPr>
        <w:t>签章</w:t>
      </w:r>
      <w:r>
        <w:rPr>
          <w:rFonts w:hint="eastAsia" w:ascii="仿宋" w:hAnsi="仿宋" w:eastAsia="仿宋" w:cs="仿宋"/>
          <w:sz w:val="28"/>
          <w:highlight w:val="none"/>
        </w:rPr>
        <w:t>）</w:t>
      </w:r>
    </w:p>
    <w:p w14:paraId="55D41FAB">
      <w:pPr>
        <w:jc w:val="center"/>
        <w:rPr>
          <w:rFonts w:ascii="仿宋" w:hAnsi="仿宋" w:eastAsia="仿宋" w:cs="仿宋"/>
          <w:sz w:val="28"/>
          <w:highlight w:val="none"/>
        </w:rPr>
      </w:pPr>
    </w:p>
    <w:p w14:paraId="3C3F1FB5">
      <w:pPr>
        <w:jc w:val="center"/>
        <w:rPr>
          <w:rFonts w:ascii="仿宋" w:hAnsi="仿宋" w:eastAsia="仿宋" w:cs="仿宋"/>
          <w:w w:val="80"/>
          <w:sz w:val="36"/>
          <w:highlight w:val="none"/>
        </w:rPr>
        <w:sectPr>
          <w:headerReference r:id="rId4" w:type="first"/>
          <w:footerReference r:id="rId7" w:type="first"/>
          <w:headerReference r:id="rId3" w:type="default"/>
          <w:footerReference r:id="rId5" w:type="default"/>
          <w:footerReference r:id="rId6" w:type="even"/>
          <w:pgSz w:w="11907" w:h="16840"/>
          <w:pgMar w:top="1474" w:right="850" w:bottom="1474" w:left="1134" w:header="720" w:footer="720" w:gutter="0"/>
          <w:pgNumType w:start="0"/>
          <w:cols w:space="720" w:num="1"/>
          <w:titlePg/>
          <w:docGrid w:linePitch="285" w:charSpace="0"/>
        </w:sectPr>
      </w:pPr>
      <w:r>
        <w:rPr>
          <w:rFonts w:hint="eastAsia" w:ascii="仿宋" w:hAnsi="仿宋" w:eastAsia="仿宋" w:cs="仿宋"/>
          <w:sz w:val="28"/>
          <w:highlight w:val="none"/>
        </w:rPr>
        <w:t>年月日</w:t>
      </w:r>
    </w:p>
    <w:p w14:paraId="037AF049">
      <w:pPr>
        <w:pStyle w:val="42"/>
        <w:spacing w:before="240"/>
        <w:rPr>
          <w:rFonts w:hint="default"/>
          <w:highlight w:val="none"/>
        </w:rPr>
      </w:pPr>
      <w:bookmarkStart w:id="65" w:name="_Toc164674190"/>
      <w:r>
        <w:rPr>
          <w:highlight w:val="none"/>
        </w:rPr>
        <w:t>格式1. 谈判响应书</w:t>
      </w:r>
      <w:bookmarkEnd w:id="65"/>
    </w:p>
    <w:p w14:paraId="3C2BA2E6">
      <w:pPr>
        <w:spacing w:line="360" w:lineRule="auto"/>
        <w:rPr>
          <w:rFonts w:hint="eastAsia" w:ascii="仿宋" w:hAnsi="仿宋" w:eastAsia="仿宋" w:cs="仿宋"/>
          <w:sz w:val="24"/>
          <w:highlight w:val="none"/>
          <w:lang w:eastAsia="zh-CN"/>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江西寰信工程造价咨询有限责任公司</w:t>
      </w:r>
    </w:p>
    <w:p w14:paraId="562C5271">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根据贵方为(</w:t>
      </w:r>
      <w:r>
        <w:rPr>
          <w:rFonts w:hint="eastAsia" w:ascii="仿宋" w:hAnsi="仿宋" w:eastAsia="仿宋" w:cs="仿宋"/>
          <w:sz w:val="24"/>
          <w:highlight w:val="none"/>
          <w:u w:val="single"/>
        </w:rPr>
        <w:t>项目名称</w:t>
      </w:r>
      <w:r>
        <w:rPr>
          <w:rFonts w:hint="eastAsia" w:ascii="仿宋" w:hAnsi="仿宋" w:eastAsia="仿宋" w:cs="仿宋"/>
          <w:sz w:val="24"/>
          <w:highlight w:val="none"/>
        </w:rPr>
        <w:t>)项目竞争性谈判采购货物及有关服务的谈判邀请</w:t>
      </w:r>
      <w:r>
        <w:rPr>
          <w:rFonts w:hint="eastAsia" w:ascii="仿宋" w:hAnsi="仿宋" w:eastAsia="仿宋" w:cs="仿宋"/>
          <w:sz w:val="24"/>
          <w:highlight w:val="none"/>
          <w:u w:val="single"/>
        </w:rPr>
        <w:t>(项目编号)</w:t>
      </w:r>
      <w:r>
        <w:rPr>
          <w:rFonts w:hint="eastAsia" w:ascii="仿宋" w:hAnsi="仿宋" w:eastAsia="仿宋" w:cs="仿宋"/>
          <w:sz w:val="24"/>
          <w:highlight w:val="none"/>
        </w:rPr>
        <w:t>，签字代表(</w:t>
      </w:r>
      <w:r>
        <w:rPr>
          <w:rFonts w:hint="eastAsia" w:ascii="仿宋" w:hAnsi="仿宋" w:eastAsia="仿宋" w:cs="仿宋"/>
          <w:sz w:val="24"/>
          <w:highlight w:val="none"/>
          <w:u w:val="single"/>
        </w:rPr>
        <w:t>姓名、职务</w:t>
      </w:r>
      <w:r>
        <w:rPr>
          <w:rFonts w:hint="eastAsia" w:ascii="仿宋" w:hAnsi="仿宋" w:eastAsia="仿宋" w:cs="仿宋"/>
          <w:sz w:val="24"/>
          <w:highlight w:val="none"/>
        </w:rPr>
        <w:t>)经正式授权并代表我方</w:t>
      </w:r>
      <w:r>
        <w:rPr>
          <w:rFonts w:hint="eastAsia" w:ascii="仿宋" w:hAnsi="仿宋" w:eastAsia="仿宋" w:cs="仿宋"/>
          <w:sz w:val="24"/>
          <w:highlight w:val="none"/>
          <w:u w:val="single"/>
        </w:rPr>
        <w:t>(单位名称、地址)</w:t>
      </w:r>
      <w:r>
        <w:rPr>
          <w:rFonts w:hint="eastAsia" w:ascii="仿宋" w:hAnsi="仿宋" w:eastAsia="仿宋" w:cs="仿宋"/>
          <w:sz w:val="24"/>
          <w:highlight w:val="none"/>
        </w:rPr>
        <w:t>提交下述文件:</w:t>
      </w:r>
    </w:p>
    <w:p w14:paraId="498A82B5">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1、响应书</w:t>
      </w:r>
    </w:p>
    <w:p w14:paraId="15E244B1">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2、开标一览表</w:t>
      </w:r>
    </w:p>
    <w:p w14:paraId="05A57D28">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3、分项报价表</w:t>
      </w:r>
    </w:p>
    <w:p w14:paraId="00257641">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4、开标一览明细表</w:t>
      </w:r>
    </w:p>
    <w:p w14:paraId="4F0C85EC">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5、服务需求响应/偏离表</w:t>
      </w:r>
    </w:p>
    <w:p w14:paraId="39BBCC7A">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6、商务条件响应/偏离表</w:t>
      </w:r>
    </w:p>
    <w:p w14:paraId="06E5DF9D">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7、技术文件</w:t>
      </w:r>
    </w:p>
    <w:p w14:paraId="0BA5042F">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8、供应商应当提交的资格、资信证明文件</w:t>
      </w:r>
    </w:p>
    <w:p w14:paraId="12F57951">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9. 其他证明资料</w:t>
      </w:r>
    </w:p>
    <w:p w14:paraId="14EDE5FB">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据此函,签字代表宣布同意如下:</w:t>
      </w:r>
    </w:p>
    <w:p w14:paraId="4B7E02FB">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1. 所附报价表中规定的应提交和交付项目及相关服务的总价为（用文字和数字表示的总价）。</w:t>
      </w:r>
    </w:p>
    <w:p w14:paraId="1ED04D84">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2. 我方将按谈判文件的规定履行合同责任和义务。</w:t>
      </w:r>
    </w:p>
    <w:p w14:paraId="2E18605A">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3. 我方已详细审查全部谈判文件，包括第</w:t>
      </w:r>
      <w:r>
        <w:rPr>
          <w:rFonts w:hint="eastAsia" w:ascii="仿宋" w:hAnsi="仿宋" w:eastAsia="仿宋" w:cs="仿宋"/>
          <w:sz w:val="24"/>
          <w:highlight w:val="none"/>
          <w:u w:val="single"/>
        </w:rPr>
        <w:t>(编号、补遗函)(如果有的话)。</w:t>
      </w:r>
      <w:r>
        <w:rPr>
          <w:rFonts w:hint="eastAsia" w:ascii="仿宋" w:hAnsi="仿宋" w:eastAsia="仿宋" w:cs="仿宋"/>
          <w:sz w:val="24"/>
          <w:highlight w:val="none"/>
        </w:rPr>
        <w:t>我们完全理解并同意放弃对这方面有不明及误解的权力。</w:t>
      </w:r>
    </w:p>
    <w:p w14:paraId="218429A1">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4. 本谈判有效期为自谈判之日起</w:t>
      </w:r>
      <w:r>
        <w:rPr>
          <w:rFonts w:hint="eastAsia" w:ascii="仿宋" w:hAnsi="仿宋" w:eastAsia="仿宋" w:cs="仿宋"/>
          <w:sz w:val="24"/>
          <w:highlight w:val="none"/>
          <w:u w:val="single"/>
        </w:rPr>
        <w:t xml:space="preserve">  90  </w:t>
      </w:r>
      <w:r>
        <w:rPr>
          <w:rFonts w:hint="eastAsia" w:ascii="仿宋" w:hAnsi="仿宋" w:eastAsia="仿宋" w:cs="仿宋"/>
          <w:sz w:val="24"/>
          <w:highlight w:val="none"/>
        </w:rPr>
        <w:t>天。</w:t>
      </w:r>
    </w:p>
    <w:p w14:paraId="207CB97A">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5. 如果在规定的谈判时间后，我方在谈判有效期内撤回响应文件，谈判保证金不予退还。</w:t>
      </w:r>
    </w:p>
    <w:p w14:paraId="10AD0468">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6.我方同意提供按照贵方可能要求的与其谈判有关的一切数据或资料。</w:t>
      </w:r>
    </w:p>
    <w:p w14:paraId="7701C91A">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7.与本谈判有关的一切正式往来信函请寄:</w:t>
      </w:r>
    </w:p>
    <w:p w14:paraId="4638831E">
      <w:pPr>
        <w:spacing w:line="360" w:lineRule="auto"/>
        <w:rPr>
          <w:rFonts w:ascii="仿宋" w:hAnsi="仿宋" w:eastAsia="仿宋" w:cs="仿宋"/>
          <w:sz w:val="24"/>
          <w:highlight w:val="none"/>
          <w:u w:val="single"/>
        </w:rPr>
      </w:pPr>
      <w:r>
        <w:rPr>
          <w:rFonts w:hint="eastAsia" w:ascii="仿宋" w:hAnsi="仿宋" w:eastAsia="仿宋" w:cs="仿宋"/>
          <w:sz w:val="24"/>
          <w:highlight w:val="none"/>
        </w:rPr>
        <w:t>地址       传真</w:t>
      </w:r>
    </w:p>
    <w:p w14:paraId="0ACBDF48">
      <w:pPr>
        <w:spacing w:line="360" w:lineRule="auto"/>
        <w:rPr>
          <w:rFonts w:ascii="仿宋" w:hAnsi="仿宋" w:eastAsia="仿宋" w:cs="仿宋"/>
          <w:sz w:val="24"/>
          <w:highlight w:val="none"/>
        </w:rPr>
      </w:pPr>
      <w:r>
        <w:rPr>
          <w:rFonts w:hint="eastAsia" w:ascii="仿宋" w:hAnsi="仿宋" w:eastAsia="仿宋" w:cs="仿宋"/>
          <w:sz w:val="24"/>
          <w:highlight w:val="none"/>
        </w:rPr>
        <w:t>电话       电子邮件</w:t>
      </w:r>
    </w:p>
    <w:p w14:paraId="48164114">
      <w:pPr>
        <w:spacing w:line="360" w:lineRule="auto"/>
        <w:rPr>
          <w:rFonts w:ascii="仿宋" w:hAnsi="仿宋" w:eastAsia="仿宋" w:cs="仿宋"/>
          <w:sz w:val="24"/>
          <w:highlight w:val="none"/>
        </w:rPr>
      </w:pPr>
      <w:r>
        <w:rPr>
          <w:rFonts w:hint="eastAsia" w:ascii="仿宋" w:hAnsi="仿宋" w:eastAsia="仿宋" w:cs="仿宋"/>
          <w:sz w:val="24"/>
          <w:highlight w:val="none"/>
        </w:rPr>
        <w:t>供应商代表签字或签章</w:t>
      </w:r>
    </w:p>
    <w:p w14:paraId="5D05FA95">
      <w:pPr>
        <w:spacing w:line="360" w:lineRule="auto"/>
        <w:rPr>
          <w:rFonts w:ascii="仿宋" w:hAnsi="仿宋" w:eastAsia="仿宋" w:cs="仿宋"/>
          <w:sz w:val="24"/>
          <w:highlight w:val="none"/>
          <w:u w:val="single"/>
        </w:rPr>
      </w:pPr>
      <w:r>
        <w:rPr>
          <w:rFonts w:hint="eastAsia" w:ascii="仿宋" w:hAnsi="仿宋" w:eastAsia="仿宋" w:cs="仿宋"/>
          <w:sz w:val="24"/>
          <w:highlight w:val="none"/>
        </w:rPr>
        <w:t>供应商盖章</w:t>
      </w:r>
    </w:p>
    <w:p w14:paraId="4AE00F18">
      <w:pPr>
        <w:spacing w:line="360" w:lineRule="auto"/>
        <w:rPr>
          <w:rFonts w:ascii="仿宋" w:hAnsi="仿宋" w:eastAsia="仿宋" w:cs="仿宋"/>
          <w:sz w:val="24"/>
          <w:highlight w:val="none"/>
          <w:u w:val="single"/>
        </w:rPr>
      </w:pPr>
      <w:r>
        <w:rPr>
          <w:rFonts w:hint="eastAsia" w:ascii="仿宋" w:hAnsi="仿宋" w:eastAsia="仿宋" w:cs="仿宋"/>
          <w:sz w:val="24"/>
          <w:highlight w:val="none"/>
        </w:rPr>
        <w:t>日期</w:t>
      </w:r>
    </w:p>
    <w:p w14:paraId="0B710756">
      <w:pPr>
        <w:spacing w:line="360" w:lineRule="auto"/>
        <w:jc w:val="center"/>
        <w:rPr>
          <w:rFonts w:ascii="仿宋" w:hAnsi="仿宋" w:eastAsia="仿宋" w:cs="仿宋"/>
          <w:sz w:val="28"/>
          <w:highlight w:val="none"/>
        </w:rPr>
        <w:sectPr>
          <w:footerReference r:id="rId8" w:type="default"/>
          <w:pgSz w:w="11907" w:h="16840"/>
          <w:pgMar w:top="1474" w:right="1134" w:bottom="1474" w:left="1134" w:header="720" w:footer="720" w:gutter="0"/>
          <w:cols w:space="720" w:num="1"/>
          <w:docGrid w:linePitch="285" w:charSpace="0"/>
        </w:sectPr>
      </w:pPr>
    </w:p>
    <w:p w14:paraId="62BB92D4">
      <w:pPr>
        <w:pStyle w:val="42"/>
        <w:spacing w:before="240"/>
        <w:rPr>
          <w:rFonts w:hint="default"/>
          <w:highlight w:val="none"/>
        </w:rPr>
      </w:pPr>
      <w:bookmarkStart w:id="66" w:name="_Toc164674191"/>
      <w:bookmarkStart w:id="67" w:name="_Toc505076479"/>
      <w:r>
        <w:rPr>
          <w:highlight w:val="none"/>
        </w:rPr>
        <w:t>格式2．报价表</w:t>
      </w:r>
      <w:bookmarkEnd w:id="66"/>
      <w:bookmarkEnd w:id="67"/>
    </w:p>
    <w:p w14:paraId="7E153FCD">
      <w:pPr>
        <w:spacing w:line="120" w:lineRule="auto"/>
        <w:jc w:val="center"/>
        <w:rPr>
          <w:rFonts w:ascii="仿宋" w:hAnsi="仿宋" w:eastAsia="仿宋" w:cs="仿宋"/>
          <w:sz w:val="28"/>
          <w:highlight w:val="none"/>
        </w:rPr>
      </w:pPr>
    </w:p>
    <w:p w14:paraId="73E603C6">
      <w:pPr>
        <w:spacing w:line="432" w:lineRule="auto"/>
        <w:rPr>
          <w:rFonts w:ascii="仿宋" w:hAnsi="仿宋" w:eastAsia="仿宋" w:cs="仿宋"/>
          <w:sz w:val="24"/>
          <w:highlight w:val="none"/>
        </w:rPr>
      </w:pPr>
      <w:r>
        <w:rPr>
          <w:rFonts w:hint="eastAsia" w:ascii="仿宋" w:hAnsi="仿宋" w:eastAsia="仿宋" w:cs="仿宋"/>
          <w:sz w:val="24"/>
          <w:highlight w:val="none"/>
        </w:rPr>
        <w:t>供应商名称：                                                          项目编号：</w:t>
      </w:r>
    </w:p>
    <w:tbl>
      <w:tblPr>
        <w:tblStyle w:val="17"/>
        <w:tblW w:w="1410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522"/>
        <w:gridCol w:w="1013"/>
        <w:gridCol w:w="1134"/>
        <w:gridCol w:w="2410"/>
        <w:gridCol w:w="1984"/>
        <w:gridCol w:w="3321"/>
        <w:gridCol w:w="898"/>
      </w:tblGrid>
      <w:tr w14:paraId="76628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826" w:type="dxa"/>
            <w:tcBorders>
              <w:top w:val="single" w:color="auto" w:sz="8" w:space="0"/>
            </w:tcBorders>
            <w:vAlign w:val="center"/>
          </w:tcPr>
          <w:p w14:paraId="41A94979">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序号</w:t>
            </w:r>
          </w:p>
        </w:tc>
        <w:tc>
          <w:tcPr>
            <w:tcW w:w="2522" w:type="dxa"/>
            <w:tcBorders>
              <w:top w:val="single" w:color="auto" w:sz="8" w:space="0"/>
            </w:tcBorders>
            <w:vAlign w:val="center"/>
          </w:tcPr>
          <w:p w14:paraId="40630869">
            <w:pPr>
              <w:spacing w:line="432" w:lineRule="auto"/>
              <w:jc w:val="center"/>
              <w:rPr>
                <w:rFonts w:ascii="仿宋" w:hAnsi="仿宋" w:eastAsia="仿宋" w:cs="仿宋"/>
                <w:sz w:val="24"/>
                <w:highlight w:val="none"/>
              </w:rPr>
            </w:pPr>
            <w:r>
              <w:rPr>
                <w:rFonts w:hint="eastAsia" w:ascii="仿宋" w:hAnsi="仿宋" w:eastAsia="仿宋" w:cs="仿宋"/>
                <w:sz w:val="24"/>
                <w:highlight w:val="none"/>
              </w:rPr>
              <w:t>项目名称</w:t>
            </w:r>
          </w:p>
        </w:tc>
        <w:tc>
          <w:tcPr>
            <w:tcW w:w="1013" w:type="dxa"/>
            <w:tcBorders>
              <w:top w:val="single" w:color="auto" w:sz="8" w:space="0"/>
            </w:tcBorders>
            <w:vAlign w:val="center"/>
          </w:tcPr>
          <w:p w14:paraId="745DDD6D">
            <w:pPr>
              <w:spacing w:line="432" w:lineRule="auto"/>
              <w:jc w:val="center"/>
              <w:rPr>
                <w:rFonts w:ascii="仿宋" w:hAnsi="仿宋" w:eastAsia="仿宋" w:cs="仿宋"/>
                <w:sz w:val="24"/>
                <w:highlight w:val="none"/>
              </w:rPr>
            </w:pPr>
            <w:r>
              <w:rPr>
                <w:rFonts w:hint="eastAsia" w:ascii="仿宋" w:hAnsi="仿宋" w:eastAsia="仿宋" w:cs="仿宋"/>
                <w:sz w:val="24"/>
                <w:highlight w:val="none"/>
              </w:rPr>
              <w:t>数量</w:t>
            </w:r>
          </w:p>
        </w:tc>
        <w:tc>
          <w:tcPr>
            <w:tcW w:w="1134" w:type="dxa"/>
            <w:tcBorders>
              <w:top w:val="single" w:color="auto" w:sz="8" w:space="0"/>
            </w:tcBorders>
            <w:vAlign w:val="center"/>
          </w:tcPr>
          <w:p w14:paraId="7043396F">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单位</w:t>
            </w:r>
          </w:p>
        </w:tc>
        <w:tc>
          <w:tcPr>
            <w:tcW w:w="2410" w:type="dxa"/>
            <w:tcBorders>
              <w:top w:val="single" w:color="auto" w:sz="8" w:space="0"/>
            </w:tcBorders>
            <w:vAlign w:val="center"/>
          </w:tcPr>
          <w:p w14:paraId="5FEB8338">
            <w:pPr>
              <w:spacing w:line="432" w:lineRule="auto"/>
              <w:jc w:val="center"/>
              <w:rPr>
                <w:rFonts w:ascii="仿宋" w:hAnsi="仿宋" w:eastAsia="仿宋" w:cs="仿宋"/>
                <w:sz w:val="24"/>
                <w:highlight w:val="none"/>
              </w:rPr>
            </w:pPr>
            <w:r>
              <w:rPr>
                <w:rFonts w:hint="eastAsia" w:ascii="仿宋" w:hAnsi="仿宋" w:eastAsia="仿宋" w:cs="仿宋"/>
                <w:sz w:val="24"/>
                <w:szCs w:val="24"/>
                <w:highlight w:val="none"/>
                <w:lang w:val="en-GB"/>
              </w:rPr>
              <w:t>投标报价（</w:t>
            </w:r>
            <w:r>
              <w:rPr>
                <w:rFonts w:hint="eastAsia" w:ascii="仿宋" w:hAnsi="仿宋" w:eastAsia="仿宋" w:cs="仿宋"/>
                <w:sz w:val="24"/>
                <w:szCs w:val="24"/>
                <w:highlight w:val="none"/>
              </w:rPr>
              <w:t>元</w:t>
            </w:r>
            <w:r>
              <w:rPr>
                <w:rFonts w:hint="eastAsia" w:ascii="仿宋" w:hAnsi="仿宋" w:eastAsia="仿宋" w:cs="仿宋"/>
                <w:sz w:val="24"/>
                <w:szCs w:val="24"/>
                <w:highlight w:val="none"/>
                <w:lang w:val="en-GB"/>
              </w:rPr>
              <w:t>）</w:t>
            </w:r>
          </w:p>
        </w:tc>
        <w:tc>
          <w:tcPr>
            <w:tcW w:w="1984" w:type="dxa"/>
            <w:tcBorders>
              <w:top w:val="single" w:color="auto" w:sz="8" w:space="0"/>
            </w:tcBorders>
            <w:vAlign w:val="center"/>
          </w:tcPr>
          <w:p w14:paraId="15B6360F">
            <w:pPr>
              <w:spacing w:line="432" w:lineRule="auto"/>
              <w:jc w:val="center"/>
              <w:rPr>
                <w:rFonts w:ascii="仿宋" w:hAnsi="仿宋" w:eastAsia="仿宋" w:cs="仿宋"/>
                <w:sz w:val="24"/>
                <w:highlight w:val="none"/>
              </w:rPr>
            </w:pPr>
            <w:r>
              <w:rPr>
                <w:rFonts w:hint="eastAsia" w:ascii="仿宋" w:hAnsi="仿宋" w:eastAsia="仿宋" w:cs="仿宋"/>
                <w:sz w:val="24"/>
                <w:highlight w:val="none"/>
              </w:rPr>
              <w:t>交货期</w:t>
            </w:r>
          </w:p>
        </w:tc>
        <w:tc>
          <w:tcPr>
            <w:tcW w:w="3321" w:type="dxa"/>
            <w:tcBorders>
              <w:top w:val="single" w:color="auto" w:sz="8" w:space="0"/>
            </w:tcBorders>
            <w:vAlign w:val="center"/>
          </w:tcPr>
          <w:p w14:paraId="79CA122C">
            <w:pPr>
              <w:spacing w:line="432" w:lineRule="auto"/>
              <w:jc w:val="center"/>
              <w:rPr>
                <w:rFonts w:ascii="仿宋" w:hAnsi="仿宋" w:eastAsia="仿宋" w:cs="仿宋"/>
                <w:sz w:val="24"/>
                <w:highlight w:val="none"/>
              </w:rPr>
            </w:pPr>
            <w:r>
              <w:rPr>
                <w:rFonts w:hint="eastAsia" w:ascii="仿宋" w:hAnsi="仿宋" w:eastAsia="仿宋" w:cs="仿宋"/>
                <w:sz w:val="24"/>
                <w:highlight w:val="none"/>
              </w:rPr>
              <w:t>交货地点</w:t>
            </w:r>
          </w:p>
        </w:tc>
        <w:tc>
          <w:tcPr>
            <w:tcW w:w="898" w:type="dxa"/>
            <w:tcBorders>
              <w:top w:val="single" w:color="auto" w:sz="8" w:space="0"/>
            </w:tcBorders>
            <w:vAlign w:val="center"/>
          </w:tcPr>
          <w:p w14:paraId="07764296">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备注</w:t>
            </w:r>
          </w:p>
        </w:tc>
      </w:tr>
      <w:tr w14:paraId="616191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26" w:type="dxa"/>
            <w:vAlign w:val="center"/>
          </w:tcPr>
          <w:p w14:paraId="270008A3">
            <w:pPr>
              <w:spacing w:line="432" w:lineRule="auto"/>
              <w:jc w:val="center"/>
              <w:rPr>
                <w:rFonts w:ascii="仿宋" w:hAnsi="仿宋" w:eastAsia="仿宋" w:cs="仿宋"/>
                <w:sz w:val="28"/>
                <w:highlight w:val="none"/>
              </w:rPr>
            </w:pPr>
          </w:p>
        </w:tc>
        <w:tc>
          <w:tcPr>
            <w:tcW w:w="2522" w:type="dxa"/>
            <w:vAlign w:val="center"/>
          </w:tcPr>
          <w:p w14:paraId="0F630D9C">
            <w:pPr>
              <w:spacing w:line="432" w:lineRule="auto"/>
              <w:jc w:val="center"/>
              <w:rPr>
                <w:rFonts w:ascii="仿宋" w:hAnsi="仿宋" w:eastAsia="仿宋" w:cs="仿宋"/>
                <w:sz w:val="28"/>
                <w:highlight w:val="none"/>
              </w:rPr>
            </w:pPr>
          </w:p>
        </w:tc>
        <w:tc>
          <w:tcPr>
            <w:tcW w:w="1013" w:type="dxa"/>
            <w:vAlign w:val="center"/>
          </w:tcPr>
          <w:p w14:paraId="442DC1F1">
            <w:pPr>
              <w:spacing w:line="432" w:lineRule="auto"/>
              <w:jc w:val="center"/>
              <w:rPr>
                <w:rFonts w:ascii="仿宋" w:hAnsi="仿宋" w:eastAsia="仿宋" w:cs="仿宋"/>
                <w:sz w:val="28"/>
                <w:highlight w:val="none"/>
              </w:rPr>
            </w:pPr>
          </w:p>
        </w:tc>
        <w:tc>
          <w:tcPr>
            <w:tcW w:w="1134" w:type="dxa"/>
            <w:vAlign w:val="center"/>
          </w:tcPr>
          <w:p w14:paraId="0145228B">
            <w:pPr>
              <w:spacing w:line="432" w:lineRule="auto"/>
              <w:jc w:val="center"/>
              <w:rPr>
                <w:rFonts w:ascii="仿宋" w:hAnsi="仿宋" w:eastAsia="仿宋" w:cs="仿宋"/>
                <w:sz w:val="28"/>
                <w:highlight w:val="none"/>
              </w:rPr>
            </w:pPr>
          </w:p>
        </w:tc>
        <w:tc>
          <w:tcPr>
            <w:tcW w:w="2410" w:type="dxa"/>
            <w:vAlign w:val="center"/>
          </w:tcPr>
          <w:p w14:paraId="40AE5BC2">
            <w:pPr>
              <w:spacing w:line="432" w:lineRule="auto"/>
              <w:jc w:val="center"/>
              <w:rPr>
                <w:rFonts w:ascii="仿宋" w:hAnsi="仿宋" w:eastAsia="仿宋" w:cs="仿宋"/>
                <w:sz w:val="28"/>
                <w:highlight w:val="none"/>
              </w:rPr>
            </w:pPr>
          </w:p>
        </w:tc>
        <w:tc>
          <w:tcPr>
            <w:tcW w:w="1984" w:type="dxa"/>
            <w:vAlign w:val="center"/>
          </w:tcPr>
          <w:p w14:paraId="49F18BCB">
            <w:pPr>
              <w:spacing w:line="432" w:lineRule="auto"/>
              <w:jc w:val="center"/>
              <w:rPr>
                <w:rFonts w:ascii="仿宋" w:hAnsi="仿宋" w:eastAsia="仿宋" w:cs="仿宋"/>
                <w:sz w:val="28"/>
                <w:highlight w:val="none"/>
              </w:rPr>
            </w:pPr>
          </w:p>
        </w:tc>
        <w:tc>
          <w:tcPr>
            <w:tcW w:w="3321" w:type="dxa"/>
            <w:vAlign w:val="center"/>
          </w:tcPr>
          <w:p w14:paraId="7AC0E3F4">
            <w:pPr>
              <w:spacing w:line="432" w:lineRule="auto"/>
              <w:jc w:val="center"/>
              <w:rPr>
                <w:rFonts w:ascii="仿宋" w:hAnsi="仿宋" w:eastAsia="仿宋" w:cs="仿宋"/>
                <w:sz w:val="28"/>
                <w:highlight w:val="none"/>
              </w:rPr>
            </w:pPr>
          </w:p>
        </w:tc>
        <w:tc>
          <w:tcPr>
            <w:tcW w:w="898" w:type="dxa"/>
            <w:vAlign w:val="center"/>
          </w:tcPr>
          <w:p w14:paraId="2693CA6B">
            <w:pPr>
              <w:spacing w:line="432" w:lineRule="auto"/>
              <w:jc w:val="center"/>
              <w:rPr>
                <w:rFonts w:ascii="仿宋" w:hAnsi="仿宋" w:eastAsia="仿宋" w:cs="仿宋"/>
                <w:sz w:val="28"/>
                <w:highlight w:val="none"/>
              </w:rPr>
            </w:pPr>
          </w:p>
        </w:tc>
      </w:tr>
      <w:tr w14:paraId="236BE0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4108" w:type="dxa"/>
            <w:gridSpan w:val="8"/>
            <w:tcBorders>
              <w:bottom w:val="single" w:color="auto" w:sz="8" w:space="0"/>
            </w:tcBorders>
            <w:vAlign w:val="center"/>
          </w:tcPr>
          <w:p w14:paraId="215B6827">
            <w:pPr>
              <w:spacing w:before="360" w:beforeLines="150" w:line="432" w:lineRule="auto"/>
              <w:rPr>
                <w:rFonts w:ascii="仿宋" w:hAnsi="仿宋" w:eastAsia="仿宋" w:cs="仿宋"/>
                <w:sz w:val="28"/>
                <w:highlight w:val="none"/>
              </w:rPr>
            </w:pPr>
            <w:r>
              <w:rPr>
                <w:rFonts w:hint="eastAsia" w:ascii="仿宋" w:hAnsi="仿宋" w:eastAsia="仿宋" w:cs="仿宋"/>
                <w:sz w:val="24"/>
                <w:szCs w:val="24"/>
                <w:highlight w:val="none"/>
              </w:rPr>
              <w:t>总报价</w:t>
            </w:r>
            <w:r>
              <w:rPr>
                <w:rFonts w:hint="eastAsia" w:ascii="仿宋" w:hAnsi="仿宋" w:eastAsia="仿宋" w:cs="仿宋"/>
                <w:sz w:val="24"/>
                <w:szCs w:val="24"/>
                <w:highlight w:val="none"/>
                <w:lang w:val="en-GB"/>
              </w:rPr>
              <w:t>：</w:t>
            </w:r>
          </w:p>
        </w:tc>
      </w:tr>
    </w:tbl>
    <w:p w14:paraId="0D221664">
      <w:pPr>
        <w:spacing w:line="360" w:lineRule="exact"/>
        <w:ind w:left="839" w:leftChars="228" w:hanging="360" w:hangingChars="150"/>
        <w:rPr>
          <w:rFonts w:ascii="仿宋" w:hAnsi="仿宋" w:eastAsia="仿宋" w:cs="仿宋"/>
          <w:sz w:val="24"/>
          <w:highlight w:val="none"/>
        </w:rPr>
      </w:pPr>
      <w:r>
        <w:rPr>
          <w:rFonts w:hint="eastAsia" w:ascii="仿宋" w:hAnsi="仿宋" w:eastAsia="仿宋" w:cs="仿宋"/>
          <w:sz w:val="24"/>
          <w:highlight w:val="none"/>
        </w:rPr>
        <w:t>注：1、报价均以人民币报价，报价内容包含本文件规定的货物及附属售后服务；备品备件及专用工具；运至最终目的地的运费和保险费、装卸费、代理服务费等完成本项目所需相关费用的最终含税报价。</w:t>
      </w:r>
    </w:p>
    <w:p w14:paraId="16C43499">
      <w:pPr>
        <w:spacing w:line="432" w:lineRule="auto"/>
        <w:rPr>
          <w:rFonts w:ascii="仿宋" w:hAnsi="仿宋" w:eastAsia="仿宋" w:cs="仿宋"/>
          <w:i/>
          <w:sz w:val="24"/>
          <w:highlight w:val="none"/>
        </w:rPr>
      </w:pPr>
    </w:p>
    <w:p w14:paraId="17AC758F">
      <w:pPr>
        <w:spacing w:line="432" w:lineRule="auto"/>
        <w:rPr>
          <w:rFonts w:ascii="仿宋" w:hAnsi="仿宋" w:eastAsia="仿宋" w:cs="仿宋"/>
          <w:sz w:val="24"/>
          <w:szCs w:val="24"/>
          <w:highlight w:val="none"/>
        </w:rPr>
      </w:pPr>
      <w:r>
        <w:rPr>
          <w:rFonts w:hint="eastAsia" w:ascii="仿宋" w:hAnsi="仿宋" w:eastAsia="仿宋" w:cs="仿宋"/>
          <w:sz w:val="24"/>
          <w:szCs w:val="24"/>
          <w:highlight w:val="none"/>
        </w:rPr>
        <w:t>供应商盖章：</w:t>
      </w:r>
    </w:p>
    <w:p w14:paraId="24C7AAF8">
      <w:pPr>
        <w:jc w:val="left"/>
        <w:rPr>
          <w:rFonts w:ascii="仿宋" w:hAnsi="仿宋" w:eastAsia="仿宋"/>
          <w:sz w:val="24"/>
          <w:szCs w:val="24"/>
          <w:highlight w:val="none"/>
        </w:rPr>
      </w:pPr>
      <w:r>
        <w:rPr>
          <w:rFonts w:hint="eastAsia" w:ascii="仿宋" w:hAnsi="仿宋" w:eastAsia="仿宋"/>
          <w:sz w:val="24"/>
          <w:szCs w:val="24"/>
          <w:highlight w:val="none"/>
        </w:rPr>
        <w:t>日期：年 月 日</w:t>
      </w:r>
    </w:p>
    <w:p w14:paraId="38DC83A8">
      <w:pPr>
        <w:spacing w:line="432" w:lineRule="auto"/>
        <w:rPr>
          <w:rFonts w:ascii="仿宋" w:hAnsi="仿宋" w:eastAsia="仿宋" w:cs="仿宋"/>
          <w:sz w:val="24"/>
          <w:szCs w:val="24"/>
          <w:highlight w:val="none"/>
        </w:rPr>
      </w:pPr>
      <w:r>
        <w:rPr>
          <w:rFonts w:hint="eastAsia" w:ascii="仿宋" w:hAnsi="仿宋" w:eastAsia="仿宋" w:cs="仿宋"/>
          <w:sz w:val="24"/>
          <w:highlight w:val="none"/>
        </w:rPr>
        <w:t xml:space="preserve">  </w:t>
      </w:r>
    </w:p>
    <w:p w14:paraId="7B811FA2">
      <w:pPr>
        <w:spacing w:line="432" w:lineRule="auto"/>
        <w:rPr>
          <w:rFonts w:ascii="仿宋" w:hAnsi="仿宋" w:eastAsia="仿宋" w:cs="仿宋"/>
          <w:sz w:val="24"/>
          <w:szCs w:val="24"/>
          <w:highlight w:val="none"/>
          <w:u w:val="single"/>
        </w:rPr>
      </w:pPr>
    </w:p>
    <w:p w14:paraId="0DA4ACAD">
      <w:pPr>
        <w:spacing w:line="460" w:lineRule="exact"/>
        <w:rPr>
          <w:rFonts w:ascii="仿宋" w:hAnsi="仿宋" w:eastAsia="仿宋" w:cs="仿宋"/>
          <w:b/>
          <w:bCs/>
          <w:sz w:val="24"/>
          <w:szCs w:val="24"/>
          <w:highlight w:val="none"/>
        </w:rPr>
      </w:pPr>
    </w:p>
    <w:p w14:paraId="065DEF00">
      <w:pPr>
        <w:spacing w:line="460" w:lineRule="exact"/>
        <w:rPr>
          <w:rFonts w:ascii="仿宋" w:hAnsi="仿宋" w:eastAsia="仿宋" w:cs="仿宋"/>
          <w:b/>
          <w:bCs/>
          <w:sz w:val="24"/>
          <w:szCs w:val="24"/>
          <w:highlight w:val="none"/>
        </w:rPr>
      </w:pPr>
    </w:p>
    <w:p w14:paraId="00062B8C">
      <w:pPr>
        <w:pStyle w:val="42"/>
        <w:spacing w:before="240"/>
        <w:rPr>
          <w:rFonts w:hint="default"/>
          <w:sz w:val="30"/>
          <w:szCs w:val="30"/>
          <w:highlight w:val="none"/>
        </w:rPr>
      </w:pPr>
      <w:bookmarkStart w:id="68" w:name="_Toc505076480"/>
      <w:bookmarkStart w:id="69" w:name="_Toc164674192"/>
      <w:r>
        <w:rPr>
          <w:highlight w:val="none"/>
        </w:rPr>
        <w:t>格式</w:t>
      </w:r>
      <w:r>
        <w:rPr>
          <w:sz w:val="30"/>
          <w:szCs w:val="30"/>
          <w:highlight w:val="none"/>
        </w:rPr>
        <w:t>3．分项报价表</w:t>
      </w:r>
      <w:bookmarkEnd w:id="68"/>
      <w:bookmarkEnd w:id="69"/>
    </w:p>
    <w:p w14:paraId="384097BA">
      <w:pPr>
        <w:rPr>
          <w:rFonts w:ascii="仿宋" w:hAnsi="仿宋" w:eastAsia="仿宋" w:cs="仿宋"/>
          <w:highlight w:val="none"/>
        </w:rPr>
      </w:pPr>
      <w:r>
        <w:rPr>
          <w:rFonts w:hint="eastAsia" w:ascii="仿宋" w:hAnsi="仿宋" w:eastAsia="仿宋" w:cs="仿宋"/>
          <w:sz w:val="24"/>
          <w:highlight w:val="none"/>
        </w:rPr>
        <w:t>供应商名称：</w:t>
      </w:r>
    </w:p>
    <w:tbl>
      <w:tblPr>
        <w:tblStyle w:val="17"/>
        <w:tblW w:w="1447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683"/>
        <w:gridCol w:w="2444"/>
        <w:gridCol w:w="2126"/>
        <w:gridCol w:w="1418"/>
        <w:gridCol w:w="1134"/>
        <w:gridCol w:w="1984"/>
        <w:gridCol w:w="1560"/>
        <w:gridCol w:w="1291"/>
      </w:tblGrid>
      <w:tr w14:paraId="62EFD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35" w:type="dxa"/>
            <w:vAlign w:val="center"/>
          </w:tcPr>
          <w:p w14:paraId="2F1ECD21">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序号</w:t>
            </w:r>
          </w:p>
        </w:tc>
        <w:tc>
          <w:tcPr>
            <w:tcW w:w="1683" w:type="dxa"/>
            <w:vAlign w:val="center"/>
          </w:tcPr>
          <w:p w14:paraId="014C3430">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货物名称</w:t>
            </w:r>
          </w:p>
        </w:tc>
        <w:tc>
          <w:tcPr>
            <w:tcW w:w="2444" w:type="dxa"/>
            <w:vAlign w:val="center"/>
          </w:tcPr>
          <w:p w14:paraId="1A525694">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制造商、品牌</w:t>
            </w:r>
          </w:p>
        </w:tc>
        <w:tc>
          <w:tcPr>
            <w:tcW w:w="2126" w:type="dxa"/>
            <w:vAlign w:val="center"/>
          </w:tcPr>
          <w:p w14:paraId="69E04751">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规格、型号</w:t>
            </w:r>
          </w:p>
        </w:tc>
        <w:tc>
          <w:tcPr>
            <w:tcW w:w="1418" w:type="dxa"/>
            <w:vAlign w:val="center"/>
          </w:tcPr>
          <w:p w14:paraId="5E8E96E7">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产地</w:t>
            </w:r>
          </w:p>
        </w:tc>
        <w:tc>
          <w:tcPr>
            <w:tcW w:w="1134" w:type="dxa"/>
            <w:vAlign w:val="center"/>
          </w:tcPr>
          <w:p w14:paraId="1CD7E4F1">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数量</w:t>
            </w:r>
          </w:p>
        </w:tc>
        <w:tc>
          <w:tcPr>
            <w:tcW w:w="1984" w:type="dxa"/>
            <w:vAlign w:val="center"/>
          </w:tcPr>
          <w:p w14:paraId="3925E304">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 xml:space="preserve"> 单 价（元）</w:t>
            </w:r>
          </w:p>
        </w:tc>
        <w:tc>
          <w:tcPr>
            <w:tcW w:w="1560" w:type="dxa"/>
            <w:vAlign w:val="center"/>
          </w:tcPr>
          <w:p w14:paraId="28FF7038">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总价（元）</w:t>
            </w:r>
          </w:p>
        </w:tc>
        <w:tc>
          <w:tcPr>
            <w:tcW w:w="1291" w:type="dxa"/>
            <w:vAlign w:val="center"/>
          </w:tcPr>
          <w:p w14:paraId="1529077D">
            <w:pPr>
              <w:spacing w:line="460" w:lineRule="exact"/>
              <w:jc w:val="center"/>
              <w:rPr>
                <w:rFonts w:ascii="仿宋" w:hAnsi="仿宋" w:eastAsia="仿宋" w:cs="宋体"/>
                <w:sz w:val="24"/>
                <w:szCs w:val="24"/>
                <w:highlight w:val="none"/>
              </w:rPr>
            </w:pPr>
            <w:r>
              <w:rPr>
                <w:rFonts w:hint="eastAsia" w:ascii="仿宋" w:hAnsi="仿宋" w:eastAsia="仿宋" w:cs="宋体"/>
                <w:sz w:val="24"/>
                <w:szCs w:val="24"/>
                <w:highlight w:val="none"/>
              </w:rPr>
              <w:t>备注</w:t>
            </w:r>
          </w:p>
        </w:tc>
      </w:tr>
      <w:tr w14:paraId="2E74A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5" w:type="dxa"/>
            <w:vAlign w:val="center"/>
          </w:tcPr>
          <w:p w14:paraId="3FE6750D">
            <w:pPr>
              <w:spacing w:line="460" w:lineRule="exact"/>
              <w:jc w:val="center"/>
              <w:rPr>
                <w:rFonts w:ascii="仿宋" w:hAnsi="仿宋" w:eastAsia="仿宋" w:cs="宋体"/>
                <w:sz w:val="24"/>
                <w:szCs w:val="24"/>
                <w:highlight w:val="none"/>
              </w:rPr>
            </w:pPr>
          </w:p>
        </w:tc>
        <w:tc>
          <w:tcPr>
            <w:tcW w:w="1683" w:type="dxa"/>
            <w:vAlign w:val="center"/>
          </w:tcPr>
          <w:p w14:paraId="4932C564">
            <w:pPr>
              <w:spacing w:line="460" w:lineRule="exact"/>
              <w:rPr>
                <w:rFonts w:ascii="仿宋" w:hAnsi="仿宋" w:eastAsia="仿宋" w:cs="宋体"/>
                <w:sz w:val="24"/>
                <w:szCs w:val="24"/>
                <w:highlight w:val="none"/>
              </w:rPr>
            </w:pPr>
          </w:p>
        </w:tc>
        <w:tc>
          <w:tcPr>
            <w:tcW w:w="2444" w:type="dxa"/>
            <w:vAlign w:val="center"/>
          </w:tcPr>
          <w:p w14:paraId="2A8197BC">
            <w:pPr>
              <w:spacing w:line="460" w:lineRule="exact"/>
              <w:rPr>
                <w:rFonts w:ascii="仿宋" w:hAnsi="仿宋" w:eastAsia="仿宋" w:cs="宋体"/>
                <w:sz w:val="24"/>
                <w:szCs w:val="24"/>
                <w:highlight w:val="none"/>
              </w:rPr>
            </w:pPr>
          </w:p>
        </w:tc>
        <w:tc>
          <w:tcPr>
            <w:tcW w:w="2126" w:type="dxa"/>
          </w:tcPr>
          <w:p w14:paraId="4D95F0B3">
            <w:pPr>
              <w:spacing w:line="460" w:lineRule="exact"/>
              <w:rPr>
                <w:rFonts w:ascii="仿宋" w:hAnsi="仿宋" w:eastAsia="仿宋" w:cs="宋体"/>
                <w:sz w:val="24"/>
                <w:szCs w:val="24"/>
                <w:highlight w:val="none"/>
              </w:rPr>
            </w:pPr>
          </w:p>
        </w:tc>
        <w:tc>
          <w:tcPr>
            <w:tcW w:w="1418" w:type="dxa"/>
          </w:tcPr>
          <w:p w14:paraId="0495BCAE">
            <w:pPr>
              <w:spacing w:line="460" w:lineRule="exact"/>
              <w:rPr>
                <w:rFonts w:ascii="仿宋" w:hAnsi="仿宋" w:eastAsia="仿宋" w:cs="宋体"/>
                <w:sz w:val="24"/>
                <w:szCs w:val="24"/>
                <w:highlight w:val="none"/>
              </w:rPr>
            </w:pPr>
          </w:p>
        </w:tc>
        <w:tc>
          <w:tcPr>
            <w:tcW w:w="1134" w:type="dxa"/>
          </w:tcPr>
          <w:p w14:paraId="6DDFEBF9">
            <w:pPr>
              <w:spacing w:line="460" w:lineRule="exact"/>
              <w:jc w:val="center"/>
              <w:rPr>
                <w:rFonts w:ascii="仿宋" w:hAnsi="仿宋" w:eastAsia="仿宋" w:cs="宋体"/>
                <w:sz w:val="24"/>
                <w:szCs w:val="24"/>
                <w:highlight w:val="none"/>
              </w:rPr>
            </w:pPr>
          </w:p>
        </w:tc>
        <w:tc>
          <w:tcPr>
            <w:tcW w:w="1984" w:type="dxa"/>
          </w:tcPr>
          <w:p w14:paraId="418AF600">
            <w:pPr>
              <w:spacing w:line="460" w:lineRule="exact"/>
              <w:jc w:val="center"/>
              <w:rPr>
                <w:rFonts w:ascii="仿宋" w:hAnsi="仿宋" w:eastAsia="仿宋" w:cs="宋体"/>
                <w:sz w:val="24"/>
                <w:szCs w:val="24"/>
                <w:highlight w:val="none"/>
              </w:rPr>
            </w:pPr>
          </w:p>
        </w:tc>
        <w:tc>
          <w:tcPr>
            <w:tcW w:w="1560" w:type="dxa"/>
          </w:tcPr>
          <w:p w14:paraId="25B9EB0F">
            <w:pPr>
              <w:spacing w:line="460" w:lineRule="exact"/>
              <w:jc w:val="center"/>
              <w:rPr>
                <w:rFonts w:ascii="仿宋" w:hAnsi="仿宋" w:eastAsia="仿宋" w:cs="宋体"/>
                <w:sz w:val="24"/>
                <w:szCs w:val="24"/>
                <w:highlight w:val="none"/>
              </w:rPr>
            </w:pPr>
          </w:p>
        </w:tc>
        <w:tc>
          <w:tcPr>
            <w:tcW w:w="1291" w:type="dxa"/>
          </w:tcPr>
          <w:p w14:paraId="00D52398">
            <w:pPr>
              <w:spacing w:line="460" w:lineRule="exact"/>
              <w:jc w:val="center"/>
              <w:rPr>
                <w:rFonts w:ascii="仿宋" w:hAnsi="仿宋" w:eastAsia="仿宋" w:cs="宋体"/>
                <w:sz w:val="24"/>
                <w:szCs w:val="24"/>
                <w:highlight w:val="none"/>
              </w:rPr>
            </w:pPr>
          </w:p>
        </w:tc>
      </w:tr>
      <w:tr w14:paraId="72335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5" w:type="dxa"/>
            <w:vAlign w:val="center"/>
          </w:tcPr>
          <w:p w14:paraId="4B0D4374">
            <w:pPr>
              <w:spacing w:line="460" w:lineRule="exact"/>
              <w:jc w:val="center"/>
              <w:rPr>
                <w:rFonts w:ascii="仿宋" w:hAnsi="仿宋" w:eastAsia="仿宋" w:cs="宋体"/>
                <w:sz w:val="24"/>
                <w:szCs w:val="24"/>
                <w:highlight w:val="none"/>
              </w:rPr>
            </w:pPr>
          </w:p>
        </w:tc>
        <w:tc>
          <w:tcPr>
            <w:tcW w:w="1683" w:type="dxa"/>
            <w:vAlign w:val="center"/>
          </w:tcPr>
          <w:p w14:paraId="645B560C">
            <w:pPr>
              <w:spacing w:line="460" w:lineRule="exact"/>
              <w:rPr>
                <w:rFonts w:ascii="仿宋" w:hAnsi="仿宋" w:eastAsia="仿宋" w:cs="宋体"/>
                <w:sz w:val="24"/>
                <w:szCs w:val="24"/>
                <w:highlight w:val="none"/>
              </w:rPr>
            </w:pPr>
          </w:p>
        </w:tc>
        <w:tc>
          <w:tcPr>
            <w:tcW w:w="2444" w:type="dxa"/>
            <w:vAlign w:val="center"/>
          </w:tcPr>
          <w:p w14:paraId="2C309006">
            <w:pPr>
              <w:spacing w:line="460" w:lineRule="exact"/>
              <w:rPr>
                <w:rFonts w:ascii="仿宋" w:hAnsi="仿宋" w:eastAsia="仿宋" w:cs="宋体"/>
                <w:sz w:val="24"/>
                <w:szCs w:val="24"/>
                <w:highlight w:val="none"/>
              </w:rPr>
            </w:pPr>
          </w:p>
        </w:tc>
        <w:tc>
          <w:tcPr>
            <w:tcW w:w="2126" w:type="dxa"/>
          </w:tcPr>
          <w:p w14:paraId="04324068">
            <w:pPr>
              <w:spacing w:line="460" w:lineRule="exact"/>
              <w:rPr>
                <w:rFonts w:ascii="仿宋" w:hAnsi="仿宋" w:eastAsia="仿宋" w:cs="宋体"/>
                <w:sz w:val="24"/>
                <w:szCs w:val="24"/>
                <w:highlight w:val="none"/>
              </w:rPr>
            </w:pPr>
          </w:p>
        </w:tc>
        <w:tc>
          <w:tcPr>
            <w:tcW w:w="1418" w:type="dxa"/>
          </w:tcPr>
          <w:p w14:paraId="5310FC81">
            <w:pPr>
              <w:spacing w:line="460" w:lineRule="exact"/>
              <w:rPr>
                <w:rFonts w:ascii="仿宋" w:hAnsi="仿宋" w:eastAsia="仿宋" w:cs="宋体"/>
                <w:sz w:val="24"/>
                <w:szCs w:val="24"/>
                <w:highlight w:val="none"/>
              </w:rPr>
            </w:pPr>
          </w:p>
        </w:tc>
        <w:tc>
          <w:tcPr>
            <w:tcW w:w="1134" w:type="dxa"/>
          </w:tcPr>
          <w:p w14:paraId="2AC7934D">
            <w:pPr>
              <w:spacing w:line="460" w:lineRule="exact"/>
              <w:jc w:val="center"/>
              <w:rPr>
                <w:rFonts w:ascii="仿宋" w:hAnsi="仿宋" w:eastAsia="仿宋" w:cs="宋体"/>
                <w:sz w:val="24"/>
                <w:szCs w:val="24"/>
                <w:highlight w:val="none"/>
              </w:rPr>
            </w:pPr>
          </w:p>
        </w:tc>
        <w:tc>
          <w:tcPr>
            <w:tcW w:w="1984" w:type="dxa"/>
          </w:tcPr>
          <w:p w14:paraId="0D0C470E">
            <w:pPr>
              <w:spacing w:line="460" w:lineRule="exact"/>
              <w:jc w:val="center"/>
              <w:rPr>
                <w:rFonts w:ascii="仿宋" w:hAnsi="仿宋" w:eastAsia="仿宋" w:cs="宋体"/>
                <w:sz w:val="24"/>
                <w:szCs w:val="24"/>
                <w:highlight w:val="none"/>
              </w:rPr>
            </w:pPr>
          </w:p>
        </w:tc>
        <w:tc>
          <w:tcPr>
            <w:tcW w:w="1560" w:type="dxa"/>
          </w:tcPr>
          <w:p w14:paraId="02E37436">
            <w:pPr>
              <w:spacing w:line="460" w:lineRule="exact"/>
              <w:jc w:val="center"/>
              <w:rPr>
                <w:rFonts w:ascii="仿宋" w:hAnsi="仿宋" w:eastAsia="仿宋" w:cs="宋体"/>
                <w:sz w:val="24"/>
                <w:szCs w:val="24"/>
                <w:highlight w:val="none"/>
              </w:rPr>
            </w:pPr>
          </w:p>
        </w:tc>
        <w:tc>
          <w:tcPr>
            <w:tcW w:w="1291" w:type="dxa"/>
          </w:tcPr>
          <w:p w14:paraId="5D3FCE1E">
            <w:pPr>
              <w:spacing w:line="460" w:lineRule="exact"/>
              <w:jc w:val="center"/>
              <w:rPr>
                <w:rFonts w:ascii="仿宋" w:hAnsi="仿宋" w:eastAsia="仿宋" w:cs="宋体"/>
                <w:sz w:val="24"/>
                <w:szCs w:val="24"/>
                <w:highlight w:val="none"/>
              </w:rPr>
            </w:pPr>
          </w:p>
        </w:tc>
      </w:tr>
      <w:tr w14:paraId="529AE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35" w:type="dxa"/>
            <w:vAlign w:val="center"/>
          </w:tcPr>
          <w:p w14:paraId="2789C7ED">
            <w:pPr>
              <w:spacing w:line="460" w:lineRule="exact"/>
              <w:jc w:val="center"/>
              <w:rPr>
                <w:rFonts w:ascii="仿宋" w:hAnsi="仿宋" w:eastAsia="仿宋" w:cs="宋体"/>
                <w:sz w:val="24"/>
                <w:szCs w:val="24"/>
                <w:highlight w:val="none"/>
              </w:rPr>
            </w:pPr>
          </w:p>
        </w:tc>
        <w:tc>
          <w:tcPr>
            <w:tcW w:w="1683" w:type="dxa"/>
            <w:vAlign w:val="center"/>
          </w:tcPr>
          <w:p w14:paraId="763525A7">
            <w:pPr>
              <w:spacing w:line="460" w:lineRule="exact"/>
              <w:rPr>
                <w:rFonts w:ascii="仿宋" w:hAnsi="仿宋" w:eastAsia="仿宋" w:cs="宋体"/>
                <w:sz w:val="24"/>
                <w:szCs w:val="24"/>
                <w:highlight w:val="none"/>
              </w:rPr>
            </w:pPr>
          </w:p>
        </w:tc>
        <w:tc>
          <w:tcPr>
            <w:tcW w:w="2444" w:type="dxa"/>
            <w:vAlign w:val="center"/>
          </w:tcPr>
          <w:p w14:paraId="645DB0E9">
            <w:pPr>
              <w:spacing w:line="460" w:lineRule="exact"/>
              <w:rPr>
                <w:rFonts w:ascii="仿宋" w:hAnsi="仿宋" w:eastAsia="仿宋" w:cs="宋体"/>
                <w:sz w:val="24"/>
                <w:szCs w:val="24"/>
                <w:highlight w:val="none"/>
              </w:rPr>
            </w:pPr>
          </w:p>
        </w:tc>
        <w:tc>
          <w:tcPr>
            <w:tcW w:w="2126" w:type="dxa"/>
          </w:tcPr>
          <w:p w14:paraId="2D36A136">
            <w:pPr>
              <w:spacing w:line="460" w:lineRule="exact"/>
              <w:rPr>
                <w:rFonts w:ascii="仿宋" w:hAnsi="仿宋" w:eastAsia="仿宋" w:cs="宋体"/>
                <w:sz w:val="24"/>
                <w:szCs w:val="24"/>
                <w:highlight w:val="none"/>
              </w:rPr>
            </w:pPr>
          </w:p>
        </w:tc>
        <w:tc>
          <w:tcPr>
            <w:tcW w:w="1418" w:type="dxa"/>
          </w:tcPr>
          <w:p w14:paraId="366F76B6">
            <w:pPr>
              <w:spacing w:line="460" w:lineRule="exact"/>
              <w:rPr>
                <w:rFonts w:ascii="仿宋" w:hAnsi="仿宋" w:eastAsia="仿宋" w:cs="宋体"/>
                <w:sz w:val="24"/>
                <w:szCs w:val="24"/>
                <w:highlight w:val="none"/>
              </w:rPr>
            </w:pPr>
          </w:p>
        </w:tc>
        <w:tc>
          <w:tcPr>
            <w:tcW w:w="1134" w:type="dxa"/>
          </w:tcPr>
          <w:p w14:paraId="45E49A9F">
            <w:pPr>
              <w:spacing w:line="460" w:lineRule="exact"/>
              <w:jc w:val="center"/>
              <w:rPr>
                <w:rFonts w:ascii="仿宋" w:hAnsi="仿宋" w:eastAsia="仿宋" w:cs="宋体"/>
                <w:sz w:val="24"/>
                <w:szCs w:val="24"/>
                <w:highlight w:val="none"/>
              </w:rPr>
            </w:pPr>
          </w:p>
        </w:tc>
        <w:tc>
          <w:tcPr>
            <w:tcW w:w="1984" w:type="dxa"/>
          </w:tcPr>
          <w:p w14:paraId="3359CAD7">
            <w:pPr>
              <w:spacing w:line="460" w:lineRule="exact"/>
              <w:jc w:val="center"/>
              <w:rPr>
                <w:rFonts w:ascii="仿宋" w:hAnsi="仿宋" w:eastAsia="仿宋" w:cs="宋体"/>
                <w:sz w:val="24"/>
                <w:szCs w:val="24"/>
                <w:highlight w:val="none"/>
              </w:rPr>
            </w:pPr>
          </w:p>
        </w:tc>
        <w:tc>
          <w:tcPr>
            <w:tcW w:w="1560" w:type="dxa"/>
          </w:tcPr>
          <w:p w14:paraId="3C864669">
            <w:pPr>
              <w:spacing w:line="460" w:lineRule="exact"/>
              <w:jc w:val="center"/>
              <w:rPr>
                <w:rFonts w:ascii="仿宋" w:hAnsi="仿宋" w:eastAsia="仿宋" w:cs="宋体"/>
                <w:sz w:val="24"/>
                <w:szCs w:val="24"/>
                <w:highlight w:val="none"/>
              </w:rPr>
            </w:pPr>
          </w:p>
        </w:tc>
        <w:tc>
          <w:tcPr>
            <w:tcW w:w="1291" w:type="dxa"/>
          </w:tcPr>
          <w:p w14:paraId="176797D0">
            <w:pPr>
              <w:spacing w:line="460" w:lineRule="exact"/>
              <w:jc w:val="center"/>
              <w:rPr>
                <w:rFonts w:ascii="仿宋" w:hAnsi="仿宋" w:eastAsia="仿宋" w:cs="宋体"/>
                <w:sz w:val="24"/>
                <w:szCs w:val="24"/>
                <w:highlight w:val="none"/>
              </w:rPr>
            </w:pPr>
          </w:p>
        </w:tc>
      </w:tr>
      <w:tr w14:paraId="3201B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9640" w:type="dxa"/>
            <w:gridSpan w:val="6"/>
            <w:vAlign w:val="center"/>
          </w:tcPr>
          <w:p w14:paraId="60094EF1">
            <w:pPr>
              <w:spacing w:line="460" w:lineRule="exact"/>
              <w:rPr>
                <w:rFonts w:ascii="仿宋" w:hAnsi="仿宋" w:eastAsia="仿宋" w:cs="宋体"/>
                <w:sz w:val="24"/>
                <w:szCs w:val="24"/>
                <w:highlight w:val="none"/>
              </w:rPr>
            </w:pPr>
            <w:r>
              <w:rPr>
                <w:rFonts w:hint="eastAsia" w:ascii="仿宋" w:hAnsi="仿宋" w:eastAsia="仿宋" w:cs="宋体"/>
                <w:sz w:val="24"/>
                <w:szCs w:val="24"/>
                <w:highlight w:val="none"/>
              </w:rPr>
              <w:t xml:space="preserve">合     计：（大写）                                      </w:t>
            </w:r>
          </w:p>
        </w:tc>
        <w:tc>
          <w:tcPr>
            <w:tcW w:w="4835" w:type="dxa"/>
            <w:gridSpan w:val="3"/>
            <w:vAlign w:val="center"/>
          </w:tcPr>
          <w:p w14:paraId="6053B641">
            <w:pPr>
              <w:spacing w:line="460" w:lineRule="exact"/>
              <w:rPr>
                <w:rFonts w:ascii="仿宋" w:hAnsi="仿宋" w:eastAsia="仿宋" w:cs="宋体"/>
                <w:sz w:val="24"/>
                <w:szCs w:val="24"/>
                <w:highlight w:val="none"/>
              </w:rPr>
            </w:pPr>
            <w:r>
              <w:rPr>
                <w:rFonts w:hint="eastAsia" w:ascii="仿宋" w:hAnsi="仿宋" w:eastAsia="仿宋" w:cs="宋体"/>
                <w:sz w:val="24"/>
                <w:szCs w:val="24"/>
                <w:highlight w:val="none"/>
              </w:rPr>
              <w:t xml:space="preserve"> </w:t>
            </w:r>
            <w:r>
              <w:rPr>
                <w:rFonts w:hint="eastAsia" w:ascii="宋体" w:hAnsi="宋体" w:cs="宋体"/>
                <w:sz w:val="24"/>
                <w:szCs w:val="24"/>
                <w:highlight w:val="none"/>
              </w:rPr>
              <w:t>¥</w:t>
            </w:r>
            <w:r>
              <w:rPr>
                <w:rFonts w:hint="eastAsia" w:ascii="仿宋" w:hAnsi="仿宋" w:eastAsia="仿宋" w:cs="宋体"/>
                <w:sz w:val="24"/>
                <w:szCs w:val="24"/>
                <w:highlight w:val="none"/>
              </w:rPr>
              <w:t>：（小写）</w:t>
            </w:r>
          </w:p>
        </w:tc>
      </w:tr>
    </w:tbl>
    <w:p w14:paraId="06F26C88">
      <w:pPr>
        <w:spacing w:line="380" w:lineRule="exact"/>
        <w:rPr>
          <w:rFonts w:ascii="仿宋" w:hAnsi="仿宋" w:eastAsia="仿宋" w:cs="仿宋"/>
          <w:sz w:val="24"/>
          <w:highlight w:val="none"/>
        </w:rPr>
      </w:pPr>
    </w:p>
    <w:p w14:paraId="5200B7E6">
      <w:pPr>
        <w:spacing w:line="380" w:lineRule="exact"/>
        <w:rPr>
          <w:rFonts w:ascii="仿宋" w:hAnsi="仿宋" w:eastAsia="仿宋" w:cs="仿宋"/>
          <w:sz w:val="24"/>
          <w:highlight w:val="none"/>
        </w:rPr>
      </w:pPr>
    </w:p>
    <w:p w14:paraId="256D4484">
      <w:pPr>
        <w:spacing w:line="380" w:lineRule="exact"/>
        <w:rPr>
          <w:rFonts w:ascii="仿宋" w:hAnsi="仿宋" w:eastAsia="仿宋" w:cs="仿宋"/>
          <w:highlight w:val="none"/>
        </w:rPr>
      </w:pPr>
      <w:r>
        <w:rPr>
          <w:rFonts w:hint="eastAsia" w:ascii="仿宋" w:hAnsi="仿宋" w:eastAsia="仿宋" w:cs="仿宋"/>
          <w:sz w:val="24"/>
          <w:highlight w:val="none"/>
        </w:rPr>
        <w:t>注：供应商必须填写各分项费用，以证明响应报价的合理性，否则视为无效响应。</w:t>
      </w:r>
    </w:p>
    <w:p w14:paraId="17700E50">
      <w:pPr>
        <w:spacing w:line="380" w:lineRule="exact"/>
        <w:rPr>
          <w:rFonts w:ascii="仿宋" w:hAnsi="仿宋" w:eastAsia="仿宋" w:cs="仿宋"/>
          <w:highlight w:val="none"/>
        </w:rPr>
      </w:pPr>
    </w:p>
    <w:p w14:paraId="455CDA93">
      <w:pPr>
        <w:spacing w:line="380" w:lineRule="exact"/>
        <w:rPr>
          <w:rFonts w:ascii="仿宋" w:hAnsi="仿宋" w:eastAsia="仿宋" w:cs="仿宋"/>
          <w:highlight w:val="none"/>
        </w:rPr>
      </w:pPr>
    </w:p>
    <w:p w14:paraId="0BFC5E8B">
      <w:pPr>
        <w:spacing w:line="432" w:lineRule="auto"/>
        <w:rPr>
          <w:rFonts w:ascii="仿宋" w:hAnsi="仿宋" w:eastAsia="仿宋" w:cs="仿宋"/>
          <w:sz w:val="24"/>
          <w:highlight w:val="none"/>
        </w:rPr>
      </w:pPr>
      <w:r>
        <w:rPr>
          <w:rFonts w:hint="eastAsia" w:ascii="仿宋" w:hAnsi="仿宋" w:eastAsia="仿宋" w:cs="仿宋"/>
          <w:sz w:val="24"/>
          <w:highlight w:val="none"/>
        </w:rPr>
        <w:t>供应商盖章：</w:t>
      </w:r>
    </w:p>
    <w:p w14:paraId="6F36BB93">
      <w:pPr>
        <w:jc w:val="left"/>
        <w:rPr>
          <w:rFonts w:ascii="仿宋" w:hAnsi="仿宋" w:eastAsia="仿宋" w:cs="仿宋"/>
          <w:sz w:val="30"/>
          <w:szCs w:val="30"/>
          <w:highlight w:val="none"/>
        </w:rPr>
      </w:pPr>
      <w:r>
        <w:rPr>
          <w:rFonts w:hint="eastAsia" w:ascii="仿宋" w:hAnsi="仿宋" w:eastAsia="仿宋"/>
          <w:szCs w:val="21"/>
          <w:highlight w:val="none"/>
        </w:rPr>
        <w:t>日期：年 月 日</w:t>
      </w:r>
    </w:p>
    <w:p w14:paraId="116F6962">
      <w:pPr>
        <w:rPr>
          <w:rFonts w:ascii="仿宋" w:hAnsi="仿宋" w:eastAsia="仿宋" w:cs="仿宋"/>
          <w:sz w:val="30"/>
          <w:szCs w:val="30"/>
          <w:highlight w:val="none"/>
        </w:rPr>
      </w:pPr>
    </w:p>
    <w:p w14:paraId="3169C62B">
      <w:pPr>
        <w:rPr>
          <w:rFonts w:ascii="仿宋" w:hAnsi="仿宋" w:eastAsia="仿宋" w:cs="仿宋"/>
          <w:highlight w:val="none"/>
        </w:rPr>
      </w:pPr>
    </w:p>
    <w:p w14:paraId="07290B45">
      <w:pPr>
        <w:rPr>
          <w:rFonts w:ascii="仿宋" w:hAnsi="仿宋" w:eastAsia="仿宋" w:cs="仿宋"/>
          <w:highlight w:val="none"/>
        </w:rPr>
      </w:pPr>
    </w:p>
    <w:p w14:paraId="6A03F1B1">
      <w:pPr>
        <w:rPr>
          <w:rFonts w:ascii="仿宋" w:hAnsi="仿宋" w:eastAsia="仿宋" w:cs="仿宋"/>
          <w:highlight w:val="none"/>
        </w:rPr>
      </w:pPr>
    </w:p>
    <w:p w14:paraId="28DB4FA8">
      <w:pPr>
        <w:rPr>
          <w:rFonts w:ascii="仿宋" w:hAnsi="仿宋" w:eastAsia="仿宋" w:cs="仿宋"/>
          <w:highlight w:val="none"/>
        </w:rPr>
      </w:pPr>
    </w:p>
    <w:p w14:paraId="5744D576">
      <w:pPr>
        <w:rPr>
          <w:rFonts w:ascii="仿宋" w:hAnsi="仿宋" w:eastAsia="仿宋" w:cs="仿宋"/>
          <w:highlight w:val="none"/>
        </w:rPr>
      </w:pPr>
    </w:p>
    <w:p w14:paraId="0ABDDFEF">
      <w:pPr>
        <w:pStyle w:val="5"/>
        <w:spacing w:before="0" w:after="0" w:line="460" w:lineRule="exact"/>
        <w:rPr>
          <w:rFonts w:ascii="仿宋" w:hAnsi="仿宋" w:eastAsia="仿宋" w:cs="仿宋"/>
          <w:sz w:val="24"/>
          <w:highlight w:val="none"/>
        </w:rPr>
        <w:sectPr>
          <w:footerReference r:id="rId9" w:type="default"/>
          <w:footerReference r:id="rId10" w:type="even"/>
          <w:pgSz w:w="16840" w:h="11907" w:orient="landscape"/>
          <w:pgMar w:top="1134" w:right="1474" w:bottom="1814" w:left="1474" w:header="720" w:footer="720" w:gutter="0"/>
          <w:cols w:space="720" w:num="1"/>
          <w:docGrid w:linePitch="285" w:charSpace="0"/>
        </w:sectPr>
      </w:pPr>
    </w:p>
    <w:p w14:paraId="7FAF4A06">
      <w:pPr>
        <w:pStyle w:val="42"/>
        <w:spacing w:before="312"/>
        <w:rPr>
          <w:rFonts w:hint="default"/>
          <w:highlight w:val="none"/>
        </w:rPr>
      </w:pPr>
      <w:bookmarkStart w:id="70" w:name="_Toc164674193"/>
      <w:bookmarkStart w:id="71" w:name="_Toc505076481"/>
      <w:r>
        <w:rPr>
          <w:highlight w:val="none"/>
        </w:rPr>
        <w:t xml:space="preserve">格式4. </w:t>
      </w:r>
      <w:bookmarkEnd w:id="70"/>
      <w:bookmarkEnd w:id="71"/>
      <w:r>
        <w:rPr>
          <w:highlight w:val="none"/>
        </w:rPr>
        <w:t>技术规格响应/偏离表</w:t>
      </w:r>
    </w:p>
    <w:p w14:paraId="12962607">
      <w:pPr>
        <w:rPr>
          <w:rFonts w:ascii="仿宋" w:hAnsi="仿宋" w:eastAsia="仿宋" w:cs="仿宋"/>
          <w:highlight w:val="none"/>
        </w:rPr>
      </w:pPr>
    </w:p>
    <w:p w14:paraId="49DB62D8">
      <w:pPr>
        <w:rPr>
          <w:rFonts w:ascii="仿宋" w:hAnsi="仿宋" w:eastAsia="仿宋"/>
          <w:highlight w:val="none"/>
        </w:rPr>
      </w:pPr>
      <w:bookmarkStart w:id="72" w:name="_Toc505076482"/>
      <w:r>
        <w:rPr>
          <w:rFonts w:hint="eastAsia" w:ascii="仿宋" w:hAnsi="仿宋" w:eastAsia="仿宋"/>
          <w:highlight w:val="none"/>
        </w:rPr>
        <w:t>项目编号：</w:t>
      </w:r>
      <w:bookmarkEnd w:id="72"/>
    </w:p>
    <w:tbl>
      <w:tblPr>
        <w:tblStyle w:val="17"/>
        <w:tblW w:w="8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704"/>
        <w:gridCol w:w="2346"/>
        <w:gridCol w:w="1620"/>
        <w:gridCol w:w="920"/>
        <w:gridCol w:w="1222"/>
      </w:tblGrid>
      <w:tr w14:paraId="1CFF6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8550" w:type="dxa"/>
            <w:gridSpan w:val="6"/>
            <w:vAlign w:val="center"/>
          </w:tcPr>
          <w:p w14:paraId="7ABEB1F3">
            <w:pPr>
              <w:spacing w:line="288" w:lineRule="auto"/>
              <w:rPr>
                <w:rFonts w:ascii="仿宋" w:hAnsi="仿宋" w:eastAsia="仿宋"/>
                <w:sz w:val="24"/>
                <w:highlight w:val="none"/>
              </w:rPr>
            </w:pPr>
            <w:r>
              <w:rPr>
                <w:rFonts w:hint="eastAsia" w:ascii="仿宋" w:hAnsi="仿宋" w:eastAsia="仿宋"/>
                <w:sz w:val="24"/>
                <w:highlight w:val="none"/>
              </w:rPr>
              <w:t>我公司郑重承诺，完全响应竞争性谈判文件规定的所有</w:t>
            </w:r>
            <w:r>
              <w:rPr>
                <w:rFonts w:hint="eastAsia" w:ascii="仿宋" w:hAnsi="仿宋" w:eastAsia="仿宋" w:cs="仿宋"/>
                <w:sz w:val="24"/>
                <w:highlight w:val="none"/>
              </w:rPr>
              <w:t>技术需求要求</w:t>
            </w:r>
            <w:r>
              <w:rPr>
                <w:rFonts w:hint="eastAsia" w:ascii="仿宋" w:hAnsi="仿宋" w:eastAsia="仿宋"/>
                <w:sz w:val="24"/>
                <w:highlight w:val="none"/>
              </w:rPr>
              <w:t>，并按规定的技术参数要求进行履约。</w:t>
            </w:r>
          </w:p>
        </w:tc>
      </w:tr>
      <w:tr w14:paraId="68BF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550" w:type="dxa"/>
            <w:gridSpan w:val="6"/>
            <w:vAlign w:val="center"/>
          </w:tcPr>
          <w:p w14:paraId="4276209D">
            <w:pPr>
              <w:spacing w:line="288" w:lineRule="auto"/>
              <w:rPr>
                <w:rFonts w:ascii="仿宋" w:hAnsi="仿宋" w:eastAsia="仿宋"/>
                <w:sz w:val="24"/>
                <w:highlight w:val="none"/>
              </w:rPr>
            </w:pPr>
            <w:r>
              <w:rPr>
                <w:rFonts w:hint="eastAsia" w:ascii="仿宋" w:hAnsi="仿宋" w:eastAsia="仿宋"/>
                <w:sz w:val="24"/>
                <w:highlight w:val="none"/>
              </w:rPr>
              <w:t>说明：若响应的部分</w:t>
            </w:r>
            <w:r>
              <w:rPr>
                <w:rFonts w:hint="eastAsia" w:ascii="仿宋" w:hAnsi="仿宋" w:eastAsia="仿宋" w:cs="仿宋"/>
                <w:sz w:val="24"/>
                <w:highlight w:val="none"/>
              </w:rPr>
              <w:t>技术需求</w:t>
            </w:r>
            <w:r>
              <w:rPr>
                <w:rFonts w:hint="eastAsia" w:ascii="仿宋" w:hAnsi="仿宋" w:eastAsia="仿宋"/>
                <w:sz w:val="24"/>
                <w:highlight w:val="none"/>
              </w:rPr>
              <w:t>与竞争性谈判文件规定的</w:t>
            </w:r>
            <w:r>
              <w:rPr>
                <w:rFonts w:hint="eastAsia" w:ascii="仿宋" w:hAnsi="仿宋" w:eastAsia="仿宋" w:cs="仿宋"/>
                <w:sz w:val="24"/>
                <w:highlight w:val="none"/>
              </w:rPr>
              <w:t>技术需求要求</w:t>
            </w:r>
            <w:r>
              <w:rPr>
                <w:rFonts w:hint="eastAsia" w:ascii="仿宋" w:hAnsi="仿宋" w:eastAsia="仿宋"/>
                <w:sz w:val="24"/>
                <w:highlight w:val="none"/>
              </w:rPr>
              <w:t>有偏离，则按下表列出，并标明响应情况，若完全响应，则无需填写下表。只接受正偏离（优于竞争性谈判文件要求）</w:t>
            </w:r>
            <w:r>
              <w:rPr>
                <w:rFonts w:ascii="仿宋" w:hAnsi="仿宋" w:eastAsia="仿宋"/>
                <w:sz w:val="24"/>
                <w:highlight w:val="none"/>
              </w:rPr>
              <w:t xml:space="preserve"> ，不接受</w:t>
            </w:r>
            <w:r>
              <w:rPr>
                <w:rFonts w:hint="eastAsia" w:ascii="仿宋" w:hAnsi="仿宋" w:eastAsia="仿宋"/>
                <w:sz w:val="24"/>
                <w:highlight w:val="none"/>
              </w:rPr>
              <w:t>负偏离（劣于竞争性谈判文件要求）</w:t>
            </w:r>
            <w:r>
              <w:rPr>
                <w:rFonts w:ascii="仿宋" w:hAnsi="仿宋" w:eastAsia="仿宋"/>
                <w:sz w:val="24"/>
                <w:highlight w:val="none"/>
              </w:rPr>
              <w:t xml:space="preserve"> ，负偏离则无效响应。</w:t>
            </w:r>
          </w:p>
        </w:tc>
      </w:tr>
      <w:tr w14:paraId="5B5F1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vAlign w:val="center"/>
          </w:tcPr>
          <w:p w14:paraId="7584EF88">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序号</w:t>
            </w:r>
          </w:p>
        </w:tc>
        <w:tc>
          <w:tcPr>
            <w:tcW w:w="1704" w:type="dxa"/>
            <w:vAlign w:val="center"/>
          </w:tcPr>
          <w:p w14:paraId="6D29EC4A">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谈判文件条目号</w:t>
            </w:r>
          </w:p>
        </w:tc>
        <w:tc>
          <w:tcPr>
            <w:tcW w:w="2346" w:type="dxa"/>
            <w:vAlign w:val="center"/>
          </w:tcPr>
          <w:p w14:paraId="44A03653">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谈判文件技术需求要求</w:t>
            </w:r>
          </w:p>
        </w:tc>
        <w:tc>
          <w:tcPr>
            <w:tcW w:w="1620" w:type="dxa"/>
            <w:vAlign w:val="center"/>
          </w:tcPr>
          <w:p w14:paraId="2C79E13E">
            <w:pPr>
              <w:spacing w:line="432" w:lineRule="auto"/>
              <w:jc w:val="center"/>
              <w:rPr>
                <w:rFonts w:ascii="仿宋" w:hAnsi="仿宋" w:eastAsia="仿宋" w:cs="仿宋"/>
                <w:sz w:val="24"/>
                <w:highlight w:val="none"/>
              </w:rPr>
            </w:pPr>
            <w:r>
              <w:rPr>
                <w:rFonts w:hint="eastAsia" w:ascii="仿宋" w:hAnsi="仿宋" w:eastAsia="仿宋" w:cs="仿宋"/>
                <w:sz w:val="24"/>
                <w:highlight w:val="none"/>
              </w:rPr>
              <w:t>技术需求响应内容</w:t>
            </w:r>
          </w:p>
        </w:tc>
        <w:tc>
          <w:tcPr>
            <w:tcW w:w="920" w:type="dxa"/>
            <w:vAlign w:val="center"/>
          </w:tcPr>
          <w:p w14:paraId="3DF905FE">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响应/偏离</w:t>
            </w:r>
          </w:p>
        </w:tc>
        <w:tc>
          <w:tcPr>
            <w:tcW w:w="1222" w:type="dxa"/>
            <w:vAlign w:val="center"/>
          </w:tcPr>
          <w:p w14:paraId="7BC3BE7E">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说明</w:t>
            </w:r>
          </w:p>
        </w:tc>
      </w:tr>
      <w:tr w14:paraId="71B56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112459C2">
            <w:pPr>
              <w:spacing w:line="432" w:lineRule="auto"/>
              <w:rPr>
                <w:rFonts w:ascii="仿宋" w:hAnsi="仿宋" w:eastAsia="仿宋" w:cs="宋体"/>
                <w:sz w:val="24"/>
                <w:highlight w:val="none"/>
              </w:rPr>
            </w:pPr>
          </w:p>
        </w:tc>
        <w:tc>
          <w:tcPr>
            <w:tcW w:w="1704" w:type="dxa"/>
          </w:tcPr>
          <w:p w14:paraId="7A55E83A">
            <w:pPr>
              <w:spacing w:line="432" w:lineRule="auto"/>
              <w:rPr>
                <w:rFonts w:ascii="仿宋" w:hAnsi="仿宋" w:eastAsia="仿宋" w:cs="宋体"/>
                <w:sz w:val="24"/>
                <w:highlight w:val="none"/>
              </w:rPr>
            </w:pPr>
          </w:p>
        </w:tc>
        <w:tc>
          <w:tcPr>
            <w:tcW w:w="2346" w:type="dxa"/>
          </w:tcPr>
          <w:p w14:paraId="20F94926">
            <w:pPr>
              <w:spacing w:line="432" w:lineRule="auto"/>
              <w:rPr>
                <w:rFonts w:ascii="仿宋" w:hAnsi="仿宋" w:eastAsia="仿宋" w:cs="宋体"/>
                <w:sz w:val="24"/>
                <w:highlight w:val="none"/>
              </w:rPr>
            </w:pPr>
          </w:p>
        </w:tc>
        <w:tc>
          <w:tcPr>
            <w:tcW w:w="1620" w:type="dxa"/>
          </w:tcPr>
          <w:p w14:paraId="4805C763">
            <w:pPr>
              <w:spacing w:line="432" w:lineRule="auto"/>
              <w:rPr>
                <w:rFonts w:ascii="仿宋" w:hAnsi="仿宋" w:eastAsia="仿宋" w:cs="宋体"/>
                <w:sz w:val="24"/>
                <w:highlight w:val="none"/>
              </w:rPr>
            </w:pPr>
          </w:p>
        </w:tc>
        <w:tc>
          <w:tcPr>
            <w:tcW w:w="920" w:type="dxa"/>
          </w:tcPr>
          <w:p w14:paraId="0A167A3B">
            <w:pPr>
              <w:spacing w:line="432" w:lineRule="auto"/>
              <w:rPr>
                <w:rFonts w:ascii="仿宋" w:hAnsi="仿宋" w:eastAsia="仿宋" w:cs="宋体"/>
                <w:sz w:val="24"/>
                <w:highlight w:val="none"/>
              </w:rPr>
            </w:pPr>
          </w:p>
        </w:tc>
        <w:tc>
          <w:tcPr>
            <w:tcW w:w="1222" w:type="dxa"/>
          </w:tcPr>
          <w:p w14:paraId="04EFB65F">
            <w:pPr>
              <w:spacing w:line="432" w:lineRule="auto"/>
              <w:rPr>
                <w:rFonts w:ascii="仿宋" w:hAnsi="仿宋" w:eastAsia="仿宋" w:cs="宋体"/>
                <w:sz w:val="24"/>
                <w:highlight w:val="none"/>
              </w:rPr>
            </w:pPr>
          </w:p>
        </w:tc>
      </w:tr>
      <w:tr w14:paraId="25BEA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15E816CD">
            <w:pPr>
              <w:spacing w:line="432" w:lineRule="auto"/>
              <w:rPr>
                <w:rFonts w:ascii="仿宋" w:hAnsi="仿宋" w:eastAsia="仿宋" w:cs="宋体"/>
                <w:sz w:val="24"/>
                <w:highlight w:val="none"/>
              </w:rPr>
            </w:pPr>
          </w:p>
        </w:tc>
        <w:tc>
          <w:tcPr>
            <w:tcW w:w="1704" w:type="dxa"/>
          </w:tcPr>
          <w:p w14:paraId="7CC52E4B">
            <w:pPr>
              <w:spacing w:line="432" w:lineRule="auto"/>
              <w:rPr>
                <w:rFonts w:ascii="仿宋" w:hAnsi="仿宋" w:eastAsia="仿宋" w:cs="宋体"/>
                <w:sz w:val="24"/>
                <w:highlight w:val="none"/>
              </w:rPr>
            </w:pPr>
          </w:p>
        </w:tc>
        <w:tc>
          <w:tcPr>
            <w:tcW w:w="2346" w:type="dxa"/>
          </w:tcPr>
          <w:p w14:paraId="1BCC5B2C">
            <w:pPr>
              <w:spacing w:line="432" w:lineRule="auto"/>
              <w:rPr>
                <w:rFonts w:ascii="仿宋" w:hAnsi="仿宋" w:eastAsia="仿宋" w:cs="宋体"/>
                <w:sz w:val="24"/>
                <w:highlight w:val="none"/>
              </w:rPr>
            </w:pPr>
          </w:p>
        </w:tc>
        <w:tc>
          <w:tcPr>
            <w:tcW w:w="1620" w:type="dxa"/>
          </w:tcPr>
          <w:p w14:paraId="770150DF">
            <w:pPr>
              <w:spacing w:line="432" w:lineRule="auto"/>
              <w:rPr>
                <w:rFonts w:ascii="仿宋" w:hAnsi="仿宋" w:eastAsia="仿宋" w:cs="宋体"/>
                <w:sz w:val="24"/>
                <w:highlight w:val="none"/>
              </w:rPr>
            </w:pPr>
          </w:p>
        </w:tc>
        <w:tc>
          <w:tcPr>
            <w:tcW w:w="920" w:type="dxa"/>
          </w:tcPr>
          <w:p w14:paraId="43562619">
            <w:pPr>
              <w:spacing w:line="432" w:lineRule="auto"/>
              <w:rPr>
                <w:rFonts w:ascii="仿宋" w:hAnsi="仿宋" w:eastAsia="仿宋" w:cs="宋体"/>
                <w:sz w:val="24"/>
                <w:highlight w:val="none"/>
              </w:rPr>
            </w:pPr>
          </w:p>
        </w:tc>
        <w:tc>
          <w:tcPr>
            <w:tcW w:w="1222" w:type="dxa"/>
          </w:tcPr>
          <w:p w14:paraId="4B3C3CA8">
            <w:pPr>
              <w:spacing w:line="432" w:lineRule="auto"/>
              <w:rPr>
                <w:rFonts w:ascii="仿宋" w:hAnsi="仿宋" w:eastAsia="仿宋" w:cs="宋体"/>
                <w:sz w:val="24"/>
                <w:highlight w:val="none"/>
              </w:rPr>
            </w:pPr>
          </w:p>
        </w:tc>
      </w:tr>
      <w:tr w14:paraId="54DF7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738" w:type="dxa"/>
          </w:tcPr>
          <w:p w14:paraId="21913A91">
            <w:pPr>
              <w:spacing w:line="432" w:lineRule="auto"/>
              <w:rPr>
                <w:rFonts w:ascii="仿宋" w:hAnsi="仿宋" w:eastAsia="仿宋" w:cs="宋体"/>
                <w:sz w:val="24"/>
                <w:highlight w:val="none"/>
              </w:rPr>
            </w:pPr>
          </w:p>
        </w:tc>
        <w:tc>
          <w:tcPr>
            <w:tcW w:w="1704" w:type="dxa"/>
          </w:tcPr>
          <w:p w14:paraId="623BFEF1">
            <w:pPr>
              <w:spacing w:line="432" w:lineRule="auto"/>
              <w:rPr>
                <w:rFonts w:ascii="仿宋" w:hAnsi="仿宋" w:eastAsia="仿宋" w:cs="宋体"/>
                <w:sz w:val="24"/>
                <w:highlight w:val="none"/>
              </w:rPr>
            </w:pPr>
          </w:p>
        </w:tc>
        <w:tc>
          <w:tcPr>
            <w:tcW w:w="2346" w:type="dxa"/>
          </w:tcPr>
          <w:p w14:paraId="24753B8C">
            <w:pPr>
              <w:spacing w:line="432" w:lineRule="auto"/>
              <w:rPr>
                <w:rFonts w:ascii="仿宋" w:hAnsi="仿宋" w:eastAsia="仿宋" w:cs="宋体"/>
                <w:sz w:val="24"/>
                <w:highlight w:val="none"/>
              </w:rPr>
            </w:pPr>
          </w:p>
        </w:tc>
        <w:tc>
          <w:tcPr>
            <w:tcW w:w="1620" w:type="dxa"/>
          </w:tcPr>
          <w:p w14:paraId="08AA1B58">
            <w:pPr>
              <w:spacing w:line="432" w:lineRule="auto"/>
              <w:rPr>
                <w:rFonts w:ascii="仿宋" w:hAnsi="仿宋" w:eastAsia="仿宋" w:cs="宋体"/>
                <w:sz w:val="24"/>
                <w:highlight w:val="none"/>
              </w:rPr>
            </w:pPr>
          </w:p>
        </w:tc>
        <w:tc>
          <w:tcPr>
            <w:tcW w:w="920" w:type="dxa"/>
          </w:tcPr>
          <w:p w14:paraId="38BC054D">
            <w:pPr>
              <w:spacing w:line="432" w:lineRule="auto"/>
              <w:rPr>
                <w:rFonts w:ascii="仿宋" w:hAnsi="仿宋" w:eastAsia="仿宋" w:cs="宋体"/>
                <w:sz w:val="24"/>
                <w:highlight w:val="none"/>
              </w:rPr>
            </w:pPr>
          </w:p>
        </w:tc>
        <w:tc>
          <w:tcPr>
            <w:tcW w:w="1222" w:type="dxa"/>
          </w:tcPr>
          <w:p w14:paraId="11F1245E">
            <w:pPr>
              <w:spacing w:line="432" w:lineRule="auto"/>
              <w:rPr>
                <w:rFonts w:ascii="仿宋" w:hAnsi="仿宋" w:eastAsia="仿宋" w:cs="宋体"/>
                <w:sz w:val="24"/>
                <w:highlight w:val="none"/>
              </w:rPr>
            </w:pPr>
          </w:p>
        </w:tc>
      </w:tr>
      <w:tr w14:paraId="3E31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43620DA1">
            <w:pPr>
              <w:spacing w:line="432" w:lineRule="auto"/>
              <w:rPr>
                <w:rFonts w:ascii="仿宋" w:hAnsi="仿宋" w:eastAsia="仿宋" w:cs="宋体"/>
                <w:sz w:val="24"/>
                <w:highlight w:val="none"/>
              </w:rPr>
            </w:pPr>
          </w:p>
        </w:tc>
        <w:tc>
          <w:tcPr>
            <w:tcW w:w="1704" w:type="dxa"/>
          </w:tcPr>
          <w:p w14:paraId="3FE820B8">
            <w:pPr>
              <w:spacing w:line="432" w:lineRule="auto"/>
              <w:rPr>
                <w:rFonts w:ascii="仿宋" w:hAnsi="仿宋" w:eastAsia="仿宋" w:cs="宋体"/>
                <w:sz w:val="24"/>
                <w:highlight w:val="none"/>
              </w:rPr>
            </w:pPr>
          </w:p>
        </w:tc>
        <w:tc>
          <w:tcPr>
            <w:tcW w:w="2346" w:type="dxa"/>
          </w:tcPr>
          <w:p w14:paraId="61511C37">
            <w:pPr>
              <w:spacing w:line="432" w:lineRule="auto"/>
              <w:rPr>
                <w:rFonts w:ascii="仿宋" w:hAnsi="仿宋" w:eastAsia="仿宋" w:cs="宋体"/>
                <w:sz w:val="24"/>
                <w:highlight w:val="none"/>
              </w:rPr>
            </w:pPr>
          </w:p>
        </w:tc>
        <w:tc>
          <w:tcPr>
            <w:tcW w:w="1620" w:type="dxa"/>
          </w:tcPr>
          <w:p w14:paraId="3B23A4CC">
            <w:pPr>
              <w:spacing w:line="432" w:lineRule="auto"/>
              <w:rPr>
                <w:rFonts w:ascii="仿宋" w:hAnsi="仿宋" w:eastAsia="仿宋" w:cs="宋体"/>
                <w:sz w:val="24"/>
                <w:highlight w:val="none"/>
              </w:rPr>
            </w:pPr>
          </w:p>
        </w:tc>
        <w:tc>
          <w:tcPr>
            <w:tcW w:w="920" w:type="dxa"/>
          </w:tcPr>
          <w:p w14:paraId="5153B5A6">
            <w:pPr>
              <w:spacing w:line="432" w:lineRule="auto"/>
              <w:rPr>
                <w:rFonts w:ascii="仿宋" w:hAnsi="仿宋" w:eastAsia="仿宋" w:cs="宋体"/>
                <w:sz w:val="24"/>
                <w:highlight w:val="none"/>
              </w:rPr>
            </w:pPr>
          </w:p>
        </w:tc>
        <w:tc>
          <w:tcPr>
            <w:tcW w:w="1222" w:type="dxa"/>
          </w:tcPr>
          <w:p w14:paraId="306BD44E">
            <w:pPr>
              <w:spacing w:line="432" w:lineRule="auto"/>
              <w:rPr>
                <w:rFonts w:ascii="仿宋" w:hAnsi="仿宋" w:eastAsia="仿宋" w:cs="宋体"/>
                <w:sz w:val="24"/>
                <w:highlight w:val="none"/>
              </w:rPr>
            </w:pPr>
          </w:p>
        </w:tc>
      </w:tr>
      <w:tr w14:paraId="5256B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4BE3F2FA">
            <w:pPr>
              <w:spacing w:line="432" w:lineRule="auto"/>
              <w:rPr>
                <w:rFonts w:ascii="仿宋" w:hAnsi="仿宋" w:eastAsia="仿宋" w:cs="宋体"/>
                <w:sz w:val="24"/>
                <w:highlight w:val="none"/>
              </w:rPr>
            </w:pPr>
          </w:p>
        </w:tc>
        <w:tc>
          <w:tcPr>
            <w:tcW w:w="1704" w:type="dxa"/>
          </w:tcPr>
          <w:p w14:paraId="081E55C8">
            <w:pPr>
              <w:spacing w:line="432" w:lineRule="auto"/>
              <w:rPr>
                <w:rFonts w:ascii="仿宋" w:hAnsi="仿宋" w:eastAsia="仿宋" w:cs="宋体"/>
                <w:sz w:val="24"/>
                <w:highlight w:val="none"/>
              </w:rPr>
            </w:pPr>
          </w:p>
        </w:tc>
        <w:tc>
          <w:tcPr>
            <w:tcW w:w="2346" w:type="dxa"/>
          </w:tcPr>
          <w:p w14:paraId="1D854700">
            <w:pPr>
              <w:spacing w:line="432" w:lineRule="auto"/>
              <w:rPr>
                <w:rFonts w:ascii="仿宋" w:hAnsi="仿宋" w:eastAsia="仿宋" w:cs="宋体"/>
                <w:sz w:val="24"/>
                <w:highlight w:val="none"/>
              </w:rPr>
            </w:pPr>
          </w:p>
        </w:tc>
        <w:tc>
          <w:tcPr>
            <w:tcW w:w="1620" w:type="dxa"/>
          </w:tcPr>
          <w:p w14:paraId="0AECFA24">
            <w:pPr>
              <w:spacing w:line="432" w:lineRule="auto"/>
              <w:rPr>
                <w:rFonts w:ascii="仿宋" w:hAnsi="仿宋" w:eastAsia="仿宋" w:cs="宋体"/>
                <w:sz w:val="24"/>
                <w:highlight w:val="none"/>
              </w:rPr>
            </w:pPr>
          </w:p>
        </w:tc>
        <w:tc>
          <w:tcPr>
            <w:tcW w:w="920" w:type="dxa"/>
          </w:tcPr>
          <w:p w14:paraId="14232BB6">
            <w:pPr>
              <w:spacing w:line="432" w:lineRule="auto"/>
              <w:rPr>
                <w:rFonts w:ascii="仿宋" w:hAnsi="仿宋" w:eastAsia="仿宋" w:cs="宋体"/>
                <w:sz w:val="24"/>
                <w:highlight w:val="none"/>
              </w:rPr>
            </w:pPr>
          </w:p>
        </w:tc>
        <w:tc>
          <w:tcPr>
            <w:tcW w:w="1222" w:type="dxa"/>
          </w:tcPr>
          <w:p w14:paraId="219DDA64">
            <w:pPr>
              <w:spacing w:line="432" w:lineRule="auto"/>
              <w:rPr>
                <w:rFonts w:ascii="仿宋" w:hAnsi="仿宋" w:eastAsia="仿宋" w:cs="宋体"/>
                <w:sz w:val="24"/>
                <w:highlight w:val="none"/>
              </w:rPr>
            </w:pPr>
          </w:p>
        </w:tc>
      </w:tr>
    </w:tbl>
    <w:p w14:paraId="6D8D7619">
      <w:pPr>
        <w:spacing w:line="432" w:lineRule="auto"/>
        <w:rPr>
          <w:rFonts w:ascii="仿宋" w:hAnsi="仿宋" w:eastAsia="仿宋" w:cs="仿宋"/>
          <w:sz w:val="24"/>
          <w:highlight w:val="none"/>
        </w:rPr>
      </w:pPr>
      <w:r>
        <w:rPr>
          <w:rFonts w:hint="eastAsia" w:ascii="仿宋" w:hAnsi="仿宋" w:eastAsia="仿宋" w:cs="仿宋"/>
          <w:sz w:val="24"/>
          <w:highlight w:val="none"/>
        </w:rPr>
        <w:t>注：1、响应/偏离内容应在说明栏中说明该条款在响应文件中（或页码）的依据；</w:t>
      </w:r>
    </w:p>
    <w:p w14:paraId="14DFE6CD">
      <w:pPr>
        <w:spacing w:line="432"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2、供应商不按上述表格填写，所产生的一切后果由供应商承担。</w:t>
      </w:r>
    </w:p>
    <w:p w14:paraId="55C03975">
      <w:pPr>
        <w:spacing w:line="432" w:lineRule="auto"/>
        <w:rPr>
          <w:rFonts w:ascii="仿宋" w:hAnsi="仿宋" w:eastAsia="仿宋" w:cs="仿宋"/>
          <w:sz w:val="24"/>
          <w:highlight w:val="none"/>
        </w:rPr>
      </w:pPr>
    </w:p>
    <w:p w14:paraId="0C8CEC8A">
      <w:pPr>
        <w:spacing w:line="432" w:lineRule="auto"/>
        <w:rPr>
          <w:rFonts w:ascii="仿宋" w:hAnsi="仿宋" w:eastAsia="仿宋" w:cs="仿宋"/>
          <w:sz w:val="24"/>
          <w:highlight w:val="none"/>
        </w:rPr>
      </w:pPr>
      <w:r>
        <w:rPr>
          <w:rFonts w:hint="eastAsia" w:ascii="仿宋" w:hAnsi="仿宋" w:eastAsia="仿宋" w:cs="仿宋"/>
          <w:sz w:val="24"/>
          <w:highlight w:val="none"/>
        </w:rPr>
        <w:t>供应商盖章：</w:t>
      </w:r>
    </w:p>
    <w:p w14:paraId="05AF4189">
      <w:pPr>
        <w:jc w:val="left"/>
        <w:rPr>
          <w:rFonts w:ascii="仿宋" w:hAnsi="仿宋" w:eastAsia="仿宋"/>
          <w:highlight w:val="none"/>
        </w:rPr>
      </w:pPr>
      <w:r>
        <w:rPr>
          <w:rFonts w:hint="eastAsia" w:ascii="仿宋" w:hAnsi="仿宋" w:eastAsia="仿宋"/>
          <w:szCs w:val="21"/>
          <w:highlight w:val="none"/>
        </w:rPr>
        <w:t>日期：年 月 日</w:t>
      </w:r>
    </w:p>
    <w:p w14:paraId="56547B5B">
      <w:pPr>
        <w:spacing w:line="432" w:lineRule="auto"/>
        <w:rPr>
          <w:rFonts w:ascii="仿宋" w:hAnsi="仿宋" w:eastAsia="仿宋" w:cs="仿宋"/>
          <w:sz w:val="24"/>
          <w:highlight w:val="none"/>
          <w:u w:val="single"/>
        </w:rPr>
      </w:pPr>
    </w:p>
    <w:p w14:paraId="48269CD6">
      <w:pPr>
        <w:spacing w:line="432" w:lineRule="auto"/>
        <w:rPr>
          <w:rFonts w:ascii="仿宋" w:hAnsi="仿宋" w:eastAsia="仿宋" w:cs="仿宋"/>
          <w:sz w:val="24"/>
          <w:highlight w:val="none"/>
          <w:u w:val="single"/>
        </w:rPr>
      </w:pPr>
    </w:p>
    <w:p w14:paraId="7DB4BC28">
      <w:pPr>
        <w:pStyle w:val="42"/>
        <w:spacing w:before="312"/>
        <w:rPr>
          <w:rFonts w:hint="default"/>
          <w:highlight w:val="none"/>
        </w:rPr>
      </w:pPr>
      <w:bookmarkStart w:id="73" w:name="_Toc164674194"/>
      <w:bookmarkStart w:id="74" w:name="_Toc505076483"/>
      <w:r>
        <w:rPr>
          <w:highlight w:val="none"/>
        </w:rPr>
        <w:t>格式5. 商务要求响应/偏离表</w:t>
      </w:r>
      <w:bookmarkEnd w:id="73"/>
      <w:bookmarkEnd w:id="74"/>
    </w:p>
    <w:p w14:paraId="1B3B886F">
      <w:pPr>
        <w:spacing w:line="432" w:lineRule="auto"/>
        <w:rPr>
          <w:rFonts w:ascii="仿宋" w:hAnsi="仿宋" w:eastAsia="仿宋" w:cs="仿宋"/>
          <w:sz w:val="24"/>
          <w:highlight w:val="none"/>
        </w:rPr>
      </w:pPr>
    </w:p>
    <w:p w14:paraId="3DFE48C3">
      <w:pPr>
        <w:spacing w:line="432" w:lineRule="auto"/>
        <w:rPr>
          <w:rFonts w:ascii="仿宋" w:hAnsi="仿宋" w:eastAsia="仿宋" w:cs="仿宋"/>
          <w:sz w:val="24"/>
          <w:highlight w:val="none"/>
          <w:u w:val="single"/>
        </w:rPr>
      </w:pPr>
      <w:r>
        <w:rPr>
          <w:rFonts w:hint="eastAsia" w:ascii="仿宋" w:hAnsi="仿宋" w:eastAsia="仿宋" w:cs="仿宋"/>
          <w:sz w:val="24"/>
          <w:highlight w:val="none"/>
        </w:rPr>
        <w:t>项目编号：</w:t>
      </w:r>
    </w:p>
    <w:tbl>
      <w:tblPr>
        <w:tblStyle w:val="17"/>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471"/>
        <w:gridCol w:w="1470"/>
        <w:gridCol w:w="1817"/>
        <w:gridCol w:w="1124"/>
        <w:gridCol w:w="1471"/>
      </w:tblGrid>
      <w:tr w14:paraId="01A19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8823" w:type="dxa"/>
            <w:gridSpan w:val="6"/>
            <w:vAlign w:val="center"/>
          </w:tcPr>
          <w:p w14:paraId="541C71E3">
            <w:pPr>
              <w:spacing w:line="360" w:lineRule="exact"/>
              <w:rPr>
                <w:rFonts w:ascii="仿宋" w:hAnsi="仿宋" w:eastAsia="仿宋"/>
                <w:sz w:val="24"/>
                <w:highlight w:val="none"/>
              </w:rPr>
            </w:pPr>
            <w:r>
              <w:rPr>
                <w:rFonts w:hint="eastAsia" w:ascii="仿宋" w:hAnsi="仿宋" w:eastAsia="仿宋"/>
                <w:sz w:val="24"/>
                <w:highlight w:val="none"/>
              </w:rPr>
              <w:t>我公司郑重承诺，完全响应竞争性谈判文件规定的所有</w:t>
            </w:r>
            <w:r>
              <w:rPr>
                <w:rFonts w:hint="eastAsia" w:ascii="仿宋" w:hAnsi="仿宋" w:eastAsia="仿宋" w:cs="仿宋"/>
                <w:sz w:val="24"/>
                <w:highlight w:val="none"/>
              </w:rPr>
              <w:t>商务需求</w:t>
            </w:r>
            <w:r>
              <w:rPr>
                <w:rFonts w:hint="eastAsia" w:ascii="仿宋" w:hAnsi="仿宋" w:eastAsia="仿宋"/>
                <w:sz w:val="24"/>
                <w:highlight w:val="none"/>
              </w:rPr>
              <w:t>，并按规定的商务要求进行履约。</w:t>
            </w:r>
          </w:p>
        </w:tc>
      </w:tr>
      <w:tr w14:paraId="0392E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8823" w:type="dxa"/>
            <w:gridSpan w:val="6"/>
            <w:vAlign w:val="center"/>
          </w:tcPr>
          <w:p w14:paraId="2E596C6E">
            <w:pPr>
              <w:spacing w:line="360" w:lineRule="exact"/>
              <w:rPr>
                <w:rFonts w:ascii="仿宋" w:hAnsi="仿宋" w:eastAsia="仿宋"/>
                <w:sz w:val="24"/>
                <w:highlight w:val="none"/>
              </w:rPr>
            </w:pPr>
            <w:r>
              <w:rPr>
                <w:rFonts w:hint="eastAsia" w:ascii="仿宋" w:hAnsi="仿宋" w:eastAsia="仿宋"/>
                <w:sz w:val="24"/>
                <w:highlight w:val="none"/>
              </w:rPr>
              <w:t>说明：若响应的部分</w:t>
            </w:r>
            <w:r>
              <w:rPr>
                <w:rFonts w:hint="eastAsia" w:ascii="仿宋" w:hAnsi="仿宋" w:eastAsia="仿宋" w:cs="仿宋"/>
                <w:sz w:val="24"/>
                <w:highlight w:val="none"/>
              </w:rPr>
              <w:t>商务需求</w:t>
            </w:r>
            <w:r>
              <w:rPr>
                <w:rFonts w:hint="eastAsia" w:ascii="仿宋" w:hAnsi="仿宋" w:eastAsia="仿宋"/>
                <w:sz w:val="24"/>
                <w:highlight w:val="none"/>
              </w:rPr>
              <w:t>与竞争性谈判文件规定的</w:t>
            </w:r>
            <w:r>
              <w:rPr>
                <w:rFonts w:hint="eastAsia" w:ascii="仿宋" w:hAnsi="仿宋" w:eastAsia="仿宋" w:cs="仿宋"/>
                <w:sz w:val="24"/>
                <w:highlight w:val="none"/>
              </w:rPr>
              <w:t>商务需求</w:t>
            </w:r>
            <w:r>
              <w:rPr>
                <w:rFonts w:hint="eastAsia" w:ascii="仿宋" w:hAnsi="仿宋" w:eastAsia="仿宋"/>
                <w:sz w:val="24"/>
                <w:highlight w:val="none"/>
              </w:rPr>
              <w:t>有偏离，则按下表列出，并标明响应情况，若完全响应，则无需填写下表。只接受正偏离（优于招标文件要求）</w:t>
            </w:r>
            <w:r>
              <w:rPr>
                <w:rFonts w:ascii="仿宋" w:hAnsi="仿宋" w:eastAsia="仿宋"/>
                <w:sz w:val="24"/>
                <w:highlight w:val="none"/>
              </w:rPr>
              <w:t xml:space="preserve"> ，不接受</w:t>
            </w:r>
            <w:r>
              <w:rPr>
                <w:rFonts w:hint="eastAsia" w:ascii="仿宋" w:hAnsi="仿宋" w:eastAsia="仿宋"/>
                <w:sz w:val="24"/>
                <w:highlight w:val="none"/>
              </w:rPr>
              <w:t>负偏离（劣于竞争性谈判文件要求）</w:t>
            </w:r>
            <w:r>
              <w:rPr>
                <w:rFonts w:ascii="仿宋" w:hAnsi="仿宋" w:eastAsia="仿宋"/>
                <w:sz w:val="24"/>
                <w:highlight w:val="none"/>
              </w:rPr>
              <w:t xml:space="preserve"> ，负偏离则无效响应。</w:t>
            </w:r>
          </w:p>
        </w:tc>
      </w:tr>
      <w:tr w14:paraId="66B03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vAlign w:val="center"/>
          </w:tcPr>
          <w:p w14:paraId="62C00C52">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序号</w:t>
            </w:r>
          </w:p>
        </w:tc>
        <w:tc>
          <w:tcPr>
            <w:tcW w:w="1471" w:type="dxa"/>
            <w:vAlign w:val="center"/>
          </w:tcPr>
          <w:p w14:paraId="2E90B9E0">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谈判文件条目号</w:t>
            </w:r>
          </w:p>
        </w:tc>
        <w:tc>
          <w:tcPr>
            <w:tcW w:w="1470" w:type="dxa"/>
            <w:vAlign w:val="center"/>
          </w:tcPr>
          <w:p w14:paraId="62D6C0F2">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谈判文件的商务需求</w:t>
            </w:r>
          </w:p>
        </w:tc>
        <w:tc>
          <w:tcPr>
            <w:tcW w:w="1817" w:type="dxa"/>
            <w:vAlign w:val="center"/>
          </w:tcPr>
          <w:p w14:paraId="7449C0E9">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响应文件的</w:t>
            </w:r>
          </w:p>
          <w:p w14:paraId="3A66AAA0">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商务需求</w:t>
            </w:r>
          </w:p>
        </w:tc>
        <w:tc>
          <w:tcPr>
            <w:tcW w:w="1124" w:type="dxa"/>
            <w:vAlign w:val="center"/>
          </w:tcPr>
          <w:p w14:paraId="2FE0E717">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响应/偏离</w:t>
            </w:r>
          </w:p>
        </w:tc>
        <w:tc>
          <w:tcPr>
            <w:tcW w:w="1471" w:type="dxa"/>
            <w:vAlign w:val="center"/>
          </w:tcPr>
          <w:p w14:paraId="5B8B409F">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说明</w:t>
            </w:r>
          </w:p>
        </w:tc>
      </w:tr>
      <w:tr w14:paraId="14B6E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55109C5E">
            <w:pPr>
              <w:spacing w:line="432" w:lineRule="auto"/>
              <w:rPr>
                <w:rFonts w:ascii="仿宋" w:hAnsi="仿宋" w:eastAsia="仿宋" w:cs="宋体"/>
                <w:sz w:val="24"/>
                <w:highlight w:val="none"/>
              </w:rPr>
            </w:pPr>
          </w:p>
        </w:tc>
        <w:tc>
          <w:tcPr>
            <w:tcW w:w="1471" w:type="dxa"/>
          </w:tcPr>
          <w:p w14:paraId="40F16A08">
            <w:pPr>
              <w:spacing w:line="432" w:lineRule="auto"/>
              <w:rPr>
                <w:rFonts w:ascii="仿宋" w:hAnsi="仿宋" w:eastAsia="仿宋" w:cs="宋体"/>
                <w:sz w:val="24"/>
                <w:highlight w:val="none"/>
              </w:rPr>
            </w:pPr>
          </w:p>
        </w:tc>
        <w:tc>
          <w:tcPr>
            <w:tcW w:w="1470" w:type="dxa"/>
          </w:tcPr>
          <w:p w14:paraId="093D7282">
            <w:pPr>
              <w:spacing w:line="432" w:lineRule="auto"/>
              <w:rPr>
                <w:rFonts w:ascii="仿宋" w:hAnsi="仿宋" w:eastAsia="仿宋" w:cs="宋体"/>
                <w:sz w:val="24"/>
                <w:highlight w:val="none"/>
              </w:rPr>
            </w:pPr>
          </w:p>
        </w:tc>
        <w:tc>
          <w:tcPr>
            <w:tcW w:w="1817" w:type="dxa"/>
          </w:tcPr>
          <w:p w14:paraId="4A895D45">
            <w:pPr>
              <w:spacing w:line="432" w:lineRule="auto"/>
              <w:rPr>
                <w:rFonts w:ascii="仿宋" w:hAnsi="仿宋" w:eastAsia="仿宋" w:cs="宋体"/>
                <w:sz w:val="24"/>
                <w:highlight w:val="none"/>
              </w:rPr>
            </w:pPr>
          </w:p>
        </w:tc>
        <w:tc>
          <w:tcPr>
            <w:tcW w:w="1124" w:type="dxa"/>
          </w:tcPr>
          <w:p w14:paraId="1D9793D5">
            <w:pPr>
              <w:spacing w:line="432" w:lineRule="auto"/>
              <w:rPr>
                <w:rFonts w:ascii="仿宋" w:hAnsi="仿宋" w:eastAsia="仿宋" w:cs="宋体"/>
                <w:sz w:val="24"/>
                <w:highlight w:val="none"/>
              </w:rPr>
            </w:pPr>
          </w:p>
        </w:tc>
        <w:tc>
          <w:tcPr>
            <w:tcW w:w="1471" w:type="dxa"/>
          </w:tcPr>
          <w:p w14:paraId="02A44969">
            <w:pPr>
              <w:spacing w:line="432" w:lineRule="auto"/>
              <w:rPr>
                <w:rFonts w:ascii="仿宋" w:hAnsi="仿宋" w:eastAsia="仿宋" w:cs="宋体"/>
                <w:sz w:val="24"/>
                <w:highlight w:val="none"/>
              </w:rPr>
            </w:pPr>
          </w:p>
        </w:tc>
      </w:tr>
      <w:tr w14:paraId="71FB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1BCD89B4">
            <w:pPr>
              <w:spacing w:line="432" w:lineRule="auto"/>
              <w:rPr>
                <w:rFonts w:ascii="仿宋" w:hAnsi="仿宋" w:eastAsia="仿宋" w:cs="宋体"/>
                <w:sz w:val="24"/>
                <w:highlight w:val="none"/>
              </w:rPr>
            </w:pPr>
          </w:p>
        </w:tc>
        <w:tc>
          <w:tcPr>
            <w:tcW w:w="1471" w:type="dxa"/>
          </w:tcPr>
          <w:p w14:paraId="7FD4E641">
            <w:pPr>
              <w:spacing w:line="432" w:lineRule="auto"/>
              <w:rPr>
                <w:rFonts w:ascii="仿宋" w:hAnsi="仿宋" w:eastAsia="仿宋" w:cs="宋体"/>
                <w:sz w:val="24"/>
                <w:highlight w:val="none"/>
              </w:rPr>
            </w:pPr>
          </w:p>
        </w:tc>
        <w:tc>
          <w:tcPr>
            <w:tcW w:w="1470" w:type="dxa"/>
          </w:tcPr>
          <w:p w14:paraId="7906854C">
            <w:pPr>
              <w:spacing w:line="432" w:lineRule="auto"/>
              <w:rPr>
                <w:rFonts w:ascii="仿宋" w:hAnsi="仿宋" w:eastAsia="仿宋" w:cs="宋体"/>
                <w:sz w:val="24"/>
                <w:highlight w:val="none"/>
              </w:rPr>
            </w:pPr>
          </w:p>
        </w:tc>
        <w:tc>
          <w:tcPr>
            <w:tcW w:w="1817" w:type="dxa"/>
          </w:tcPr>
          <w:p w14:paraId="2887FC7F">
            <w:pPr>
              <w:spacing w:line="432" w:lineRule="auto"/>
              <w:rPr>
                <w:rFonts w:ascii="仿宋" w:hAnsi="仿宋" w:eastAsia="仿宋" w:cs="宋体"/>
                <w:sz w:val="24"/>
                <w:highlight w:val="none"/>
              </w:rPr>
            </w:pPr>
          </w:p>
        </w:tc>
        <w:tc>
          <w:tcPr>
            <w:tcW w:w="1124" w:type="dxa"/>
          </w:tcPr>
          <w:p w14:paraId="25AE92EE">
            <w:pPr>
              <w:spacing w:line="432" w:lineRule="auto"/>
              <w:rPr>
                <w:rFonts w:ascii="仿宋" w:hAnsi="仿宋" w:eastAsia="仿宋" w:cs="宋体"/>
                <w:sz w:val="24"/>
                <w:highlight w:val="none"/>
              </w:rPr>
            </w:pPr>
          </w:p>
        </w:tc>
        <w:tc>
          <w:tcPr>
            <w:tcW w:w="1471" w:type="dxa"/>
          </w:tcPr>
          <w:p w14:paraId="37445E9E">
            <w:pPr>
              <w:spacing w:line="432" w:lineRule="auto"/>
              <w:rPr>
                <w:rFonts w:ascii="仿宋" w:hAnsi="仿宋" w:eastAsia="仿宋" w:cs="宋体"/>
                <w:sz w:val="24"/>
                <w:highlight w:val="none"/>
              </w:rPr>
            </w:pPr>
          </w:p>
        </w:tc>
      </w:tr>
      <w:tr w14:paraId="74C1A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1470" w:type="dxa"/>
          </w:tcPr>
          <w:p w14:paraId="5C1D440F">
            <w:pPr>
              <w:spacing w:line="432" w:lineRule="auto"/>
              <w:rPr>
                <w:rFonts w:ascii="仿宋" w:hAnsi="仿宋" w:eastAsia="仿宋" w:cs="宋体"/>
                <w:sz w:val="24"/>
                <w:highlight w:val="none"/>
              </w:rPr>
            </w:pPr>
          </w:p>
        </w:tc>
        <w:tc>
          <w:tcPr>
            <w:tcW w:w="1471" w:type="dxa"/>
          </w:tcPr>
          <w:p w14:paraId="3BE5D9BC">
            <w:pPr>
              <w:spacing w:line="432" w:lineRule="auto"/>
              <w:rPr>
                <w:rFonts w:ascii="仿宋" w:hAnsi="仿宋" w:eastAsia="仿宋" w:cs="宋体"/>
                <w:sz w:val="24"/>
                <w:highlight w:val="none"/>
              </w:rPr>
            </w:pPr>
          </w:p>
        </w:tc>
        <w:tc>
          <w:tcPr>
            <w:tcW w:w="1470" w:type="dxa"/>
          </w:tcPr>
          <w:p w14:paraId="52B2521E">
            <w:pPr>
              <w:spacing w:line="432" w:lineRule="auto"/>
              <w:rPr>
                <w:rFonts w:ascii="仿宋" w:hAnsi="仿宋" w:eastAsia="仿宋" w:cs="宋体"/>
                <w:sz w:val="24"/>
                <w:highlight w:val="none"/>
              </w:rPr>
            </w:pPr>
          </w:p>
        </w:tc>
        <w:tc>
          <w:tcPr>
            <w:tcW w:w="1817" w:type="dxa"/>
          </w:tcPr>
          <w:p w14:paraId="31229E67">
            <w:pPr>
              <w:spacing w:line="432" w:lineRule="auto"/>
              <w:rPr>
                <w:rFonts w:ascii="仿宋" w:hAnsi="仿宋" w:eastAsia="仿宋" w:cs="宋体"/>
                <w:sz w:val="24"/>
                <w:highlight w:val="none"/>
              </w:rPr>
            </w:pPr>
          </w:p>
        </w:tc>
        <w:tc>
          <w:tcPr>
            <w:tcW w:w="1124" w:type="dxa"/>
          </w:tcPr>
          <w:p w14:paraId="35FA16C8">
            <w:pPr>
              <w:spacing w:line="432" w:lineRule="auto"/>
              <w:rPr>
                <w:rFonts w:ascii="仿宋" w:hAnsi="仿宋" w:eastAsia="仿宋" w:cs="宋体"/>
                <w:sz w:val="24"/>
                <w:highlight w:val="none"/>
              </w:rPr>
            </w:pPr>
          </w:p>
        </w:tc>
        <w:tc>
          <w:tcPr>
            <w:tcW w:w="1471" w:type="dxa"/>
          </w:tcPr>
          <w:p w14:paraId="1E1F324F">
            <w:pPr>
              <w:spacing w:line="432" w:lineRule="auto"/>
              <w:rPr>
                <w:rFonts w:ascii="仿宋" w:hAnsi="仿宋" w:eastAsia="仿宋" w:cs="宋体"/>
                <w:sz w:val="24"/>
                <w:highlight w:val="none"/>
              </w:rPr>
            </w:pPr>
          </w:p>
        </w:tc>
      </w:tr>
      <w:tr w14:paraId="6A97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6A5B4A1F">
            <w:pPr>
              <w:spacing w:line="432" w:lineRule="auto"/>
              <w:rPr>
                <w:rFonts w:ascii="仿宋" w:hAnsi="仿宋" w:eastAsia="仿宋" w:cs="宋体"/>
                <w:sz w:val="24"/>
                <w:highlight w:val="none"/>
              </w:rPr>
            </w:pPr>
          </w:p>
        </w:tc>
        <w:tc>
          <w:tcPr>
            <w:tcW w:w="1471" w:type="dxa"/>
          </w:tcPr>
          <w:p w14:paraId="6B79A21D">
            <w:pPr>
              <w:spacing w:line="432" w:lineRule="auto"/>
              <w:rPr>
                <w:rFonts w:ascii="仿宋" w:hAnsi="仿宋" w:eastAsia="仿宋" w:cs="宋体"/>
                <w:sz w:val="24"/>
                <w:highlight w:val="none"/>
              </w:rPr>
            </w:pPr>
          </w:p>
        </w:tc>
        <w:tc>
          <w:tcPr>
            <w:tcW w:w="1470" w:type="dxa"/>
          </w:tcPr>
          <w:p w14:paraId="014020D4">
            <w:pPr>
              <w:spacing w:line="432" w:lineRule="auto"/>
              <w:rPr>
                <w:rFonts w:ascii="仿宋" w:hAnsi="仿宋" w:eastAsia="仿宋" w:cs="宋体"/>
                <w:sz w:val="24"/>
                <w:highlight w:val="none"/>
              </w:rPr>
            </w:pPr>
          </w:p>
        </w:tc>
        <w:tc>
          <w:tcPr>
            <w:tcW w:w="1817" w:type="dxa"/>
          </w:tcPr>
          <w:p w14:paraId="11A68C7D">
            <w:pPr>
              <w:spacing w:line="432" w:lineRule="auto"/>
              <w:rPr>
                <w:rFonts w:ascii="仿宋" w:hAnsi="仿宋" w:eastAsia="仿宋" w:cs="宋体"/>
                <w:sz w:val="24"/>
                <w:highlight w:val="none"/>
              </w:rPr>
            </w:pPr>
          </w:p>
        </w:tc>
        <w:tc>
          <w:tcPr>
            <w:tcW w:w="1124" w:type="dxa"/>
          </w:tcPr>
          <w:p w14:paraId="536BD04F">
            <w:pPr>
              <w:spacing w:line="432" w:lineRule="auto"/>
              <w:rPr>
                <w:rFonts w:ascii="仿宋" w:hAnsi="仿宋" w:eastAsia="仿宋" w:cs="宋体"/>
                <w:sz w:val="24"/>
                <w:highlight w:val="none"/>
              </w:rPr>
            </w:pPr>
          </w:p>
        </w:tc>
        <w:tc>
          <w:tcPr>
            <w:tcW w:w="1471" w:type="dxa"/>
          </w:tcPr>
          <w:p w14:paraId="2372A82D">
            <w:pPr>
              <w:spacing w:line="432" w:lineRule="auto"/>
              <w:rPr>
                <w:rFonts w:ascii="仿宋" w:hAnsi="仿宋" w:eastAsia="仿宋" w:cs="宋体"/>
                <w:sz w:val="24"/>
                <w:highlight w:val="none"/>
              </w:rPr>
            </w:pPr>
          </w:p>
        </w:tc>
      </w:tr>
      <w:tr w14:paraId="0D08D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6C33CDF0">
            <w:pPr>
              <w:spacing w:line="432" w:lineRule="auto"/>
              <w:rPr>
                <w:rFonts w:ascii="仿宋" w:hAnsi="仿宋" w:eastAsia="仿宋" w:cs="宋体"/>
                <w:sz w:val="24"/>
                <w:highlight w:val="none"/>
              </w:rPr>
            </w:pPr>
          </w:p>
        </w:tc>
        <w:tc>
          <w:tcPr>
            <w:tcW w:w="1471" w:type="dxa"/>
          </w:tcPr>
          <w:p w14:paraId="2701D4B8">
            <w:pPr>
              <w:spacing w:line="432" w:lineRule="auto"/>
              <w:rPr>
                <w:rFonts w:ascii="仿宋" w:hAnsi="仿宋" w:eastAsia="仿宋" w:cs="宋体"/>
                <w:sz w:val="24"/>
                <w:highlight w:val="none"/>
              </w:rPr>
            </w:pPr>
          </w:p>
        </w:tc>
        <w:tc>
          <w:tcPr>
            <w:tcW w:w="1470" w:type="dxa"/>
          </w:tcPr>
          <w:p w14:paraId="07CDE5C1">
            <w:pPr>
              <w:spacing w:line="432" w:lineRule="auto"/>
              <w:rPr>
                <w:rFonts w:ascii="仿宋" w:hAnsi="仿宋" w:eastAsia="仿宋" w:cs="宋体"/>
                <w:sz w:val="24"/>
                <w:highlight w:val="none"/>
              </w:rPr>
            </w:pPr>
          </w:p>
        </w:tc>
        <w:tc>
          <w:tcPr>
            <w:tcW w:w="1817" w:type="dxa"/>
          </w:tcPr>
          <w:p w14:paraId="579B2303">
            <w:pPr>
              <w:spacing w:line="432" w:lineRule="auto"/>
              <w:rPr>
                <w:rFonts w:ascii="仿宋" w:hAnsi="仿宋" w:eastAsia="仿宋" w:cs="宋体"/>
                <w:sz w:val="24"/>
                <w:highlight w:val="none"/>
              </w:rPr>
            </w:pPr>
          </w:p>
        </w:tc>
        <w:tc>
          <w:tcPr>
            <w:tcW w:w="1124" w:type="dxa"/>
          </w:tcPr>
          <w:p w14:paraId="71EA5EA5">
            <w:pPr>
              <w:spacing w:line="432" w:lineRule="auto"/>
              <w:rPr>
                <w:rFonts w:ascii="仿宋" w:hAnsi="仿宋" w:eastAsia="仿宋" w:cs="宋体"/>
                <w:sz w:val="24"/>
                <w:highlight w:val="none"/>
              </w:rPr>
            </w:pPr>
          </w:p>
        </w:tc>
        <w:tc>
          <w:tcPr>
            <w:tcW w:w="1471" w:type="dxa"/>
          </w:tcPr>
          <w:p w14:paraId="2A3CD6AA">
            <w:pPr>
              <w:spacing w:line="432" w:lineRule="auto"/>
              <w:rPr>
                <w:rFonts w:ascii="仿宋" w:hAnsi="仿宋" w:eastAsia="仿宋" w:cs="宋体"/>
                <w:sz w:val="24"/>
                <w:highlight w:val="none"/>
              </w:rPr>
            </w:pPr>
          </w:p>
        </w:tc>
      </w:tr>
    </w:tbl>
    <w:p w14:paraId="2288BB45">
      <w:pPr>
        <w:spacing w:line="432" w:lineRule="auto"/>
        <w:rPr>
          <w:rFonts w:ascii="仿宋" w:hAnsi="仿宋" w:eastAsia="仿宋" w:cs="仿宋"/>
          <w:sz w:val="24"/>
          <w:highlight w:val="none"/>
        </w:rPr>
      </w:pPr>
      <w:r>
        <w:rPr>
          <w:rFonts w:hint="eastAsia" w:ascii="仿宋" w:hAnsi="仿宋" w:eastAsia="仿宋" w:cs="仿宋"/>
          <w:sz w:val="24"/>
          <w:highlight w:val="none"/>
        </w:rPr>
        <w:t>注：1、</w:t>
      </w:r>
      <w:r>
        <w:rPr>
          <w:rFonts w:hint="eastAsia" w:ascii="仿宋" w:hAnsi="仿宋" w:eastAsia="仿宋" w:cs="仿宋"/>
          <w:sz w:val="24"/>
          <w:szCs w:val="24"/>
          <w:highlight w:val="none"/>
        </w:rPr>
        <w:t>响应/偏离内容应在说明栏中说明该条款在响应文件中（或页码）的依据；</w:t>
      </w:r>
    </w:p>
    <w:p w14:paraId="092E262A">
      <w:pPr>
        <w:spacing w:line="432" w:lineRule="auto"/>
        <w:ind w:firstLine="480" w:firstLineChars="200"/>
        <w:rPr>
          <w:rFonts w:ascii="仿宋" w:hAnsi="仿宋" w:eastAsia="仿宋" w:cs="仿宋"/>
          <w:sz w:val="28"/>
          <w:highlight w:val="none"/>
        </w:rPr>
      </w:pPr>
      <w:r>
        <w:rPr>
          <w:rFonts w:hint="eastAsia" w:ascii="仿宋" w:hAnsi="仿宋" w:eastAsia="仿宋" w:cs="仿宋"/>
          <w:sz w:val="24"/>
          <w:highlight w:val="none"/>
        </w:rPr>
        <w:t>2、供应商不按上述表格填写，所产生的一切后果由供应商承担。</w:t>
      </w:r>
    </w:p>
    <w:p w14:paraId="37F97BB0">
      <w:pPr>
        <w:spacing w:after="156" w:afterLines="50" w:line="320" w:lineRule="exact"/>
        <w:rPr>
          <w:rFonts w:ascii="仿宋" w:hAnsi="仿宋" w:eastAsia="仿宋" w:cs="仿宋"/>
          <w:sz w:val="24"/>
          <w:highlight w:val="none"/>
        </w:rPr>
      </w:pPr>
    </w:p>
    <w:p w14:paraId="0C511D86">
      <w:pPr>
        <w:spacing w:line="432" w:lineRule="auto"/>
        <w:rPr>
          <w:rFonts w:ascii="仿宋" w:hAnsi="仿宋" w:eastAsia="仿宋" w:cs="仿宋"/>
          <w:sz w:val="24"/>
          <w:highlight w:val="none"/>
        </w:rPr>
      </w:pPr>
      <w:r>
        <w:rPr>
          <w:rFonts w:hint="eastAsia" w:ascii="仿宋" w:hAnsi="仿宋" w:eastAsia="仿宋" w:cs="仿宋"/>
          <w:sz w:val="24"/>
          <w:highlight w:val="none"/>
        </w:rPr>
        <w:t>供应商盖章：</w:t>
      </w:r>
    </w:p>
    <w:p w14:paraId="43C0AE99">
      <w:pPr>
        <w:jc w:val="left"/>
        <w:rPr>
          <w:rFonts w:ascii="仿宋" w:hAnsi="仿宋" w:eastAsia="仿宋"/>
          <w:highlight w:val="none"/>
        </w:rPr>
      </w:pPr>
      <w:r>
        <w:rPr>
          <w:rFonts w:hint="eastAsia" w:ascii="仿宋" w:hAnsi="仿宋" w:eastAsia="仿宋"/>
          <w:szCs w:val="21"/>
          <w:highlight w:val="none"/>
        </w:rPr>
        <w:t>日期：年 月 日</w:t>
      </w:r>
    </w:p>
    <w:p w14:paraId="55D9D82B">
      <w:pPr>
        <w:spacing w:line="432" w:lineRule="auto"/>
        <w:rPr>
          <w:rFonts w:ascii="仿宋" w:hAnsi="仿宋" w:eastAsia="仿宋" w:cs="仿宋"/>
          <w:sz w:val="24"/>
          <w:highlight w:val="none"/>
        </w:rPr>
      </w:pPr>
    </w:p>
    <w:p w14:paraId="608B5014">
      <w:pPr>
        <w:pStyle w:val="42"/>
        <w:spacing w:before="312"/>
        <w:rPr>
          <w:rFonts w:hint="default"/>
          <w:highlight w:val="none"/>
        </w:rPr>
      </w:pPr>
      <w:bookmarkStart w:id="75" w:name="_Toc164674195"/>
      <w:bookmarkStart w:id="76" w:name="_Toc505076484"/>
      <w:r>
        <w:rPr>
          <w:highlight w:val="none"/>
        </w:rPr>
        <w:t>6. 其他证明资料</w:t>
      </w:r>
      <w:bookmarkEnd w:id="75"/>
      <w:bookmarkEnd w:id="76"/>
    </w:p>
    <w:p w14:paraId="143679BB">
      <w:pPr>
        <w:spacing w:line="440" w:lineRule="exact"/>
        <w:jc w:val="center"/>
        <w:rPr>
          <w:rFonts w:ascii="仿宋" w:hAnsi="仿宋" w:eastAsia="仿宋" w:cs="仿宋"/>
          <w:b/>
          <w:sz w:val="24"/>
          <w:szCs w:val="24"/>
          <w:highlight w:val="none"/>
        </w:rPr>
      </w:pPr>
      <w:bookmarkStart w:id="77" w:name="_Toc475970091"/>
      <w:r>
        <w:rPr>
          <w:rFonts w:hint="eastAsia" w:ascii="仿宋" w:hAnsi="仿宋" w:eastAsia="仿宋" w:cs="仿宋"/>
          <w:b/>
          <w:sz w:val="24"/>
          <w:szCs w:val="24"/>
          <w:highlight w:val="none"/>
        </w:rPr>
        <w:t>格式6-1. 供应商情况一览表</w:t>
      </w:r>
      <w:bookmarkEnd w:id="77"/>
    </w:p>
    <w:p w14:paraId="5E0D6ACA">
      <w:pPr>
        <w:spacing w:line="320" w:lineRule="exact"/>
        <w:jc w:val="center"/>
        <w:rPr>
          <w:rFonts w:ascii="仿宋" w:hAnsi="仿宋" w:eastAsia="仿宋" w:cs="仿宋"/>
          <w:sz w:val="24"/>
          <w:szCs w:val="24"/>
          <w:highlight w:val="none"/>
        </w:rPr>
      </w:pPr>
    </w:p>
    <w:tbl>
      <w:tblPr>
        <w:tblStyle w:val="17"/>
        <w:tblW w:w="972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235"/>
        <w:gridCol w:w="1035"/>
        <w:gridCol w:w="1696"/>
        <w:gridCol w:w="1198"/>
        <w:gridCol w:w="1356"/>
        <w:gridCol w:w="876"/>
        <w:gridCol w:w="1324"/>
      </w:tblGrid>
      <w:tr w14:paraId="1EFA314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4EC14946">
            <w:pPr>
              <w:jc w:val="center"/>
              <w:rPr>
                <w:rFonts w:ascii="仿宋" w:hAnsi="仿宋" w:eastAsia="仿宋" w:cs="仿宋"/>
                <w:sz w:val="24"/>
                <w:highlight w:val="none"/>
              </w:rPr>
            </w:pPr>
            <w:r>
              <w:rPr>
                <w:rFonts w:hint="eastAsia" w:ascii="仿宋" w:hAnsi="仿宋" w:eastAsia="仿宋" w:cs="仿宋"/>
                <w:sz w:val="24"/>
                <w:highlight w:val="none"/>
              </w:rPr>
              <w:t>供应商名称</w:t>
            </w:r>
          </w:p>
        </w:tc>
        <w:tc>
          <w:tcPr>
            <w:tcW w:w="7485" w:type="dxa"/>
            <w:gridSpan w:val="6"/>
            <w:vAlign w:val="center"/>
          </w:tcPr>
          <w:p w14:paraId="3E77CC27">
            <w:pPr>
              <w:jc w:val="center"/>
              <w:rPr>
                <w:rFonts w:ascii="仿宋" w:hAnsi="仿宋" w:eastAsia="仿宋" w:cs="仿宋"/>
                <w:sz w:val="24"/>
                <w:highlight w:val="none"/>
              </w:rPr>
            </w:pPr>
          </w:p>
        </w:tc>
      </w:tr>
      <w:tr w14:paraId="08720B2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6012ABE9">
            <w:pPr>
              <w:jc w:val="center"/>
              <w:rPr>
                <w:rFonts w:ascii="仿宋" w:hAnsi="仿宋" w:eastAsia="仿宋" w:cs="仿宋"/>
                <w:sz w:val="24"/>
                <w:highlight w:val="none"/>
              </w:rPr>
            </w:pPr>
            <w:r>
              <w:rPr>
                <w:rFonts w:hint="eastAsia" w:ascii="仿宋" w:hAnsi="仿宋" w:eastAsia="仿宋" w:cs="仿宋"/>
                <w:sz w:val="24"/>
                <w:highlight w:val="none"/>
              </w:rPr>
              <w:t>注册地址</w:t>
            </w:r>
          </w:p>
        </w:tc>
        <w:tc>
          <w:tcPr>
            <w:tcW w:w="3929" w:type="dxa"/>
            <w:gridSpan w:val="3"/>
            <w:vAlign w:val="center"/>
          </w:tcPr>
          <w:p w14:paraId="01DCA4D8">
            <w:pPr>
              <w:jc w:val="center"/>
              <w:rPr>
                <w:rFonts w:ascii="仿宋" w:hAnsi="仿宋" w:eastAsia="仿宋" w:cs="仿宋"/>
                <w:sz w:val="24"/>
                <w:highlight w:val="none"/>
              </w:rPr>
            </w:pPr>
          </w:p>
        </w:tc>
        <w:tc>
          <w:tcPr>
            <w:tcW w:w="1356" w:type="dxa"/>
            <w:vAlign w:val="center"/>
          </w:tcPr>
          <w:p w14:paraId="2B0FD3D0">
            <w:pPr>
              <w:jc w:val="center"/>
              <w:rPr>
                <w:rFonts w:ascii="仿宋" w:hAnsi="仿宋" w:eastAsia="仿宋" w:cs="仿宋"/>
                <w:sz w:val="24"/>
                <w:highlight w:val="none"/>
              </w:rPr>
            </w:pPr>
            <w:r>
              <w:rPr>
                <w:rFonts w:hint="eastAsia" w:ascii="仿宋" w:hAnsi="仿宋" w:eastAsia="仿宋" w:cs="仿宋"/>
                <w:sz w:val="24"/>
                <w:highlight w:val="none"/>
              </w:rPr>
              <w:t>邮政编码</w:t>
            </w:r>
          </w:p>
        </w:tc>
        <w:tc>
          <w:tcPr>
            <w:tcW w:w="2200" w:type="dxa"/>
            <w:gridSpan w:val="2"/>
            <w:vAlign w:val="center"/>
          </w:tcPr>
          <w:p w14:paraId="778E2A1E">
            <w:pPr>
              <w:jc w:val="center"/>
              <w:rPr>
                <w:rFonts w:ascii="仿宋" w:hAnsi="仿宋" w:eastAsia="仿宋" w:cs="仿宋"/>
                <w:sz w:val="24"/>
                <w:highlight w:val="none"/>
              </w:rPr>
            </w:pPr>
          </w:p>
        </w:tc>
      </w:tr>
      <w:tr w14:paraId="4B42D95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Merge w:val="restart"/>
            <w:vAlign w:val="center"/>
          </w:tcPr>
          <w:p w14:paraId="15D9713D">
            <w:pPr>
              <w:jc w:val="center"/>
              <w:rPr>
                <w:rFonts w:ascii="仿宋" w:hAnsi="仿宋" w:eastAsia="仿宋" w:cs="仿宋"/>
                <w:sz w:val="24"/>
                <w:highlight w:val="none"/>
              </w:rPr>
            </w:pPr>
            <w:r>
              <w:rPr>
                <w:rFonts w:hint="eastAsia" w:ascii="仿宋" w:hAnsi="仿宋" w:eastAsia="仿宋" w:cs="仿宋"/>
                <w:sz w:val="24"/>
                <w:highlight w:val="none"/>
              </w:rPr>
              <w:t>联系方式</w:t>
            </w:r>
          </w:p>
        </w:tc>
        <w:tc>
          <w:tcPr>
            <w:tcW w:w="1035" w:type="dxa"/>
            <w:vAlign w:val="center"/>
          </w:tcPr>
          <w:p w14:paraId="6B66688F">
            <w:pPr>
              <w:jc w:val="center"/>
              <w:rPr>
                <w:rFonts w:ascii="仿宋" w:hAnsi="仿宋" w:eastAsia="仿宋" w:cs="仿宋"/>
                <w:sz w:val="24"/>
                <w:highlight w:val="none"/>
              </w:rPr>
            </w:pPr>
            <w:r>
              <w:rPr>
                <w:rFonts w:hint="eastAsia" w:ascii="仿宋" w:hAnsi="仿宋" w:eastAsia="仿宋" w:cs="仿宋"/>
                <w:sz w:val="24"/>
                <w:highlight w:val="none"/>
              </w:rPr>
              <w:t>联系人</w:t>
            </w:r>
          </w:p>
        </w:tc>
        <w:tc>
          <w:tcPr>
            <w:tcW w:w="2894" w:type="dxa"/>
            <w:gridSpan w:val="2"/>
            <w:vAlign w:val="center"/>
          </w:tcPr>
          <w:p w14:paraId="4BC9EAF6">
            <w:pPr>
              <w:jc w:val="center"/>
              <w:rPr>
                <w:rFonts w:ascii="仿宋" w:hAnsi="仿宋" w:eastAsia="仿宋" w:cs="仿宋"/>
                <w:sz w:val="24"/>
                <w:highlight w:val="none"/>
              </w:rPr>
            </w:pPr>
          </w:p>
        </w:tc>
        <w:tc>
          <w:tcPr>
            <w:tcW w:w="1356" w:type="dxa"/>
            <w:vAlign w:val="center"/>
          </w:tcPr>
          <w:p w14:paraId="53350D7A">
            <w:pPr>
              <w:jc w:val="center"/>
              <w:rPr>
                <w:rFonts w:ascii="仿宋" w:hAnsi="仿宋" w:eastAsia="仿宋" w:cs="仿宋"/>
                <w:sz w:val="24"/>
                <w:highlight w:val="none"/>
              </w:rPr>
            </w:pPr>
            <w:r>
              <w:rPr>
                <w:rFonts w:hint="eastAsia" w:ascii="仿宋" w:hAnsi="仿宋" w:eastAsia="仿宋" w:cs="仿宋"/>
                <w:sz w:val="24"/>
                <w:highlight w:val="none"/>
              </w:rPr>
              <w:t>联系电话</w:t>
            </w:r>
          </w:p>
        </w:tc>
        <w:tc>
          <w:tcPr>
            <w:tcW w:w="2200" w:type="dxa"/>
            <w:gridSpan w:val="2"/>
            <w:vAlign w:val="center"/>
          </w:tcPr>
          <w:p w14:paraId="7E8B4810">
            <w:pPr>
              <w:jc w:val="center"/>
              <w:rPr>
                <w:rFonts w:ascii="仿宋" w:hAnsi="仿宋" w:eastAsia="仿宋" w:cs="仿宋"/>
                <w:sz w:val="24"/>
                <w:highlight w:val="none"/>
              </w:rPr>
            </w:pPr>
          </w:p>
        </w:tc>
      </w:tr>
      <w:tr w14:paraId="162DC16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Merge w:val="continue"/>
            <w:vAlign w:val="center"/>
          </w:tcPr>
          <w:p w14:paraId="34A7D369">
            <w:pPr>
              <w:jc w:val="center"/>
              <w:rPr>
                <w:rFonts w:ascii="仿宋" w:hAnsi="仿宋" w:eastAsia="仿宋" w:cs="仿宋"/>
                <w:sz w:val="24"/>
                <w:highlight w:val="none"/>
              </w:rPr>
            </w:pPr>
          </w:p>
        </w:tc>
        <w:tc>
          <w:tcPr>
            <w:tcW w:w="1035" w:type="dxa"/>
            <w:vAlign w:val="center"/>
          </w:tcPr>
          <w:p w14:paraId="25284B67">
            <w:pPr>
              <w:jc w:val="center"/>
              <w:rPr>
                <w:rFonts w:ascii="仿宋" w:hAnsi="仿宋" w:eastAsia="仿宋" w:cs="仿宋"/>
                <w:sz w:val="24"/>
                <w:highlight w:val="none"/>
              </w:rPr>
            </w:pPr>
            <w:r>
              <w:rPr>
                <w:rFonts w:hint="eastAsia" w:ascii="仿宋" w:hAnsi="仿宋" w:eastAsia="仿宋" w:cs="仿宋"/>
                <w:sz w:val="24"/>
                <w:highlight w:val="none"/>
              </w:rPr>
              <w:t>传  真</w:t>
            </w:r>
          </w:p>
        </w:tc>
        <w:tc>
          <w:tcPr>
            <w:tcW w:w="2894" w:type="dxa"/>
            <w:gridSpan w:val="2"/>
            <w:vAlign w:val="center"/>
          </w:tcPr>
          <w:p w14:paraId="2781CF8D">
            <w:pPr>
              <w:jc w:val="center"/>
              <w:rPr>
                <w:rFonts w:ascii="仿宋" w:hAnsi="仿宋" w:eastAsia="仿宋" w:cs="仿宋"/>
                <w:sz w:val="24"/>
                <w:highlight w:val="none"/>
              </w:rPr>
            </w:pPr>
          </w:p>
        </w:tc>
        <w:tc>
          <w:tcPr>
            <w:tcW w:w="1356" w:type="dxa"/>
            <w:vAlign w:val="center"/>
          </w:tcPr>
          <w:p w14:paraId="53D229CF">
            <w:pPr>
              <w:jc w:val="center"/>
              <w:rPr>
                <w:rFonts w:ascii="仿宋" w:hAnsi="仿宋" w:eastAsia="仿宋" w:cs="仿宋"/>
                <w:sz w:val="24"/>
                <w:highlight w:val="none"/>
              </w:rPr>
            </w:pPr>
            <w:r>
              <w:rPr>
                <w:rFonts w:hint="eastAsia" w:ascii="仿宋" w:hAnsi="仿宋" w:eastAsia="仿宋" w:cs="仿宋"/>
                <w:sz w:val="24"/>
                <w:highlight w:val="none"/>
              </w:rPr>
              <w:t>网址/邮箱</w:t>
            </w:r>
          </w:p>
        </w:tc>
        <w:tc>
          <w:tcPr>
            <w:tcW w:w="2200" w:type="dxa"/>
            <w:gridSpan w:val="2"/>
            <w:vAlign w:val="center"/>
          </w:tcPr>
          <w:p w14:paraId="2B6C4AA0">
            <w:pPr>
              <w:jc w:val="center"/>
              <w:rPr>
                <w:rFonts w:ascii="仿宋" w:hAnsi="仿宋" w:eastAsia="仿宋" w:cs="仿宋"/>
                <w:sz w:val="24"/>
                <w:highlight w:val="none"/>
              </w:rPr>
            </w:pPr>
          </w:p>
        </w:tc>
      </w:tr>
      <w:tr w14:paraId="4D3173C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6257F60E">
            <w:pPr>
              <w:jc w:val="center"/>
              <w:rPr>
                <w:rFonts w:ascii="仿宋" w:hAnsi="仿宋" w:eastAsia="仿宋" w:cs="仿宋"/>
                <w:sz w:val="24"/>
                <w:highlight w:val="none"/>
              </w:rPr>
            </w:pPr>
            <w:r>
              <w:rPr>
                <w:rFonts w:hint="eastAsia" w:ascii="仿宋" w:hAnsi="仿宋" w:eastAsia="仿宋" w:cs="仿宋"/>
                <w:sz w:val="24"/>
                <w:highlight w:val="none"/>
              </w:rPr>
              <w:t>企业性质</w:t>
            </w:r>
          </w:p>
        </w:tc>
        <w:tc>
          <w:tcPr>
            <w:tcW w:w="7485" w:type="dxa"/>
            <w:gridSpan w:val="6"/>
            <w:vAlign w:val="center"/>
          </w:tcPr>
          <w:p w14:paraId="16ECF0A9">
            <w:pPr>
              <w:jc w:val="center"/>
              <w:rPr>
                <w:rFonts w:ascii="仿宋" w:hAnsi="仿宋" w:eastAsia="仿宋" w:cs="仿宋"/>
                <w:sz w:val="24"/>
                <w:highlight w:val="none"/>
              </w:rPr>
            </w:pPr>
          </w:p>
        </w:tc>
      </w:tr>
      <w:tr w14:paraId="50E1713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6F4F382B">
            <w:pPr>
              <w:jc w:val="center"/>
              <w:rPr>
                <w:rFonts w:ascii="仿宋" w:hAnsi="仿宋" w:eastAsia="仿宋" w:cs="仿宋"/>
                <w:sz w:val="24"/>
                <w:highlight w:val="none"/>
              </w:rPr>
            </w:pPr>
            <w:r>
              <w:rPr>
                <w:rFonts w:hint="eastAsia" w:ascii="仿宋" w:hAnsi="仿宋" w:eastAsia="仿宋" w:cs="仿宋"/>
                <w:sz w:val="24"/>
                <w:highlight w:val="none"/>
              </w:rPr>
              <w:t>法定代表人（负责人）</w:t>
            </w:r>
          </w:p>
        </w:tc>
        <w:tc>
          <w:tcPr>
            <w:tcW w:w="1035" w:type="dxa"/>
            <w:vAlign w:val="center"/>
          </w:tcPr>
          <w:p w14:paraId="7DCBB79A">
            <w:pPr>
              <w:jc w:val="center"/>
              <w:rPr>
                <w:rFonts w:ascii="仿宋" w:hAnsi="仿宋" w:eastAsia="仿宋" w:cs="仿宋"/>
                <w:sz w:val="24"/>
                <w:highlight w:val="none"/>
              </w:rPr>
            </w:pPr>
            <w:r>
              <w:rPr>
                <w:rFonts w:hint="eastAsia" w:ascii="仿宋" w:hAnsi="仿宋" w:eastAsia="仿宋" w:cs="仿宋"/>
                <w:sz w:val="24"/>
                <w:highlight w:val="none"/>
              </w:rPr>
              <w:t>姓名</w:t>
            </w:r>
          </w:p>
        </w:tc>
        <w:tc>
          <w:tcPr>
            <w:tcW w:w="1696" w:type="dxa"/>
            <w:vAlign w:val="center"/>
          </w:tcPr>
          <w:p w14:paraId="47049B73">
            <w:pPr>
              <w:jc w:val="center"/>
              <w:rPr>
                <w:rFonts w:ascii="仿宋" w:hAnsi="仿宋" w:eastAsia="仿宋" w:cs="仿宋"/>
                <w:sz w:val="24"/>
                <w:highlight w:val="none"/>
              </w:rPr>
            </w:pPr>
          </w:p>
        </w:tc>
        <w:tc>
          <w:tcPr>
            <w:tcW w:w="1198" w:type="dxa"/>
            <w:vAlign w:val="center"/>
          </w:tcPr>
          <w:p w14:paraId="5D3738A6">
            <w:pPr>
              <w:jc w:val="center"/>
              <w:rPr>
                <w:rFonts w:ascii="仿宋" w:hAnsi="仿宋" w:eastAsia="仿宋" w:cs="仿宋"/>
                <w:sz w:val="24"/>
                <w:highlight w:val="none"/>
              </w:rPr>
            </w:pPr>
            <w:r>
              <w:rPr>
                <w:rFonts w:hint="eastAsia" w:ascii="仿宋" w:hAnsi="仿宋" w:eastAsia="仿宋" w:cs="仿宋"/>
                <w:sz w:val="24"/>
                <w:highlight w:val="none"/>
              </w:rPr>
              <w:t>技术职称</w:t>
            </w:r>
          </w:p>
        </w:tc>
        <w:tc>
          <w:tcPr>
            <w:tcW w:w="1356" w:type="dxa"/>
            <w:vAlign w:val="center"/>
          </w:tcPr>
          <w:p w14:paraId="06432C53">
            <w:pPr>
              <w:jc w:val="center"/>
              <w:rPr>
                <w:rFonts w:ascii="仿宋" w:hAnsi="仿宋" w:eastAsia="仿宋" w:cs="仿宋"/>
                <w:sz w:val="24"/>
                <w:highlight w:val="none"/>
              </w:rPr>
            </w:pPr>
          </w:p>
        </w:tc>
        <w:tc>
          <w:tcPr>
            <w:tcW w:w="876" w:type="dxa"/>
            <w:vAlign w:val="center"/>
          </w:tcPr>
          <w:p w14:paraId="43DF48B8">
            <w:pPr>
              <w:jc w:val="center"/>
              <w:rPr>
                <w:rFonts w:ascii="仿宋" w:hAnsi="仿宋" w:eastAsia="仿宋" w:cs="仿宋"/>
                <w:sz w:val="24"/>
                <w:highlight w:val="none"/>
              </w:rPr>
            </w:pPr>
            <w:r>
              <w:rPr>
                <w:rFonts w:hint="eastAsia" w:ascii="仿宋" w:hAnsi="仿宋" w:eastAsia="仿宋" w:cs="仿宋"/>
                <w:sz w:val="24"/>
                <w:highlight w:val="none"/>
              </w:rPr>
              <w:t>电话</w:t>
            </w:r>
          </w:p>
        </w:tc>
        <w:tc>
          <w:tcPr>
            <w:tcW w:w="1324" w:type="dxa"/>
            <w:vAlign w:val="center"/>
          </w:tcPr>
          <w:p w14:paraId="26AA2EF9">
            <w:pPr>
              <w:jc w:val="center"/>
              <w:rPr>
                <w:rFonts w:ascii="仿宋" w:hAnsi="仿宋" w:eastAsia="仿宋" w:cs="仿宋"/>
                <w:sz w:val="24"/>
                <w:highlight w:val="none"/>
              </w:rPr>
            </w:pPr>
          </w:p>
        </w:tc>
      </w:tr>
      <w:tr w14:paraId="33B4B54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5202E482">
            <w:pPr>
              <w:jc w:val="center"/>
              <w:rPr>
                <w:rFonts w:ascii="仿宋" w:hAnsi="仿宋" w:eastAsia="仿宋" w:cs="仿宋"/>
                <w:sz w:val="24"/>
                <w:highlight w:val="none"/>
              </w:rPr>
            </w:pPr>
            <w:r>
              <w:rPr>
                <w:rFonts w:hint="eastAsia" w:ascii="仿宋" w:hAnsi="仿宋" w:eastAsia="仿宋" w:cs="仿宋"/>
                <w:sz w:val="24"/>
                <w:highlight w:val="none"/>
              </w:rPr>
              <w:t>专项负责人</w:t>
            </w:r>
          </w:p>
        </w:tc>
        <w:tc>
          <w:tcPr>
            <w:tcW w:w="1035" w:type="dxa"/>
            <w:vAlign w:val="center"/>
          </w:tcPr>
          <w:p w14:paraId="7A05D52F">
            <w:pPr>
              <w:jc w:val="center"/>
              <w:rPr>
                <w:rFonts w:ascii="仿宋" w:hAnsi="仿宋" w:eastAsia="仿宋" w:cs="仿宋"/>
                <w:sz w:val="24"/>
                <w:highlight w:val="none"/>
              </w:rPr>
            </w:pPr>
            <w:r>
              <w:rPr>
                <w:rFonts w:hint="eastAsia" w:ascii="仿宋" w:hAnsi="仿宋" w:eastAsia="仿宋" w:cs="仿宋"/>
                <w:sz w:val="24"/>
                <w:highlight w:val="none"/>
              </w:rPr>
              <w:t>姓名</w:t>
            </w:r>
          </w:p>
        </w:tc>
        <w:tc>
          <w:tcPr>
            <w:tcW w:w="1696" w:type="dxa"/>
            <w:vAlign w:val="center"/>
          </w:tcPr>
          <w:p w14:paraId="02C87DB9">
            <w:pPr>
              <w:jc w:val="center"/>
              <w:rPr>
                <w:rFonts w:ascii="仿宋" w:hAnsi="仿宋" w:eastAsia="仿宋" w:cs="仿宋"/>
                <w:sz w:val="24"/>
                <w:highlight w:val="none"/>
              </w:rPr>
            </w:pPr>
          </w:p>
        </w:tc>
        <w:tc>
          <w:tcPr>
            <w:tcW w:w="1198" w:type="dxa"/>
            <w:vAlign w:val="center"/>
          </w:tcPr>
          <w:p w14:paraId="2CA9B7C2">
            <w:pPr>
              <w:jc w:val="center"/>
              <w:rPr>
                <w:rFonts w:ascii="仿宋" w:hAnsi="仿宋" w:eastAsia="仿宋" w:cs="仿宋"/>
                <w:sz w:val="24"/>
                <w:highlight w:val="none"/>
              </w:rPr>
            </w:pPr>
            <w:r>
              <w:rPr>
                <w:rFonts w:hint="eastAsia" w:ascii="仿宋" w:hAnsi="仿宋" w:eastAsia="仿宋" w:cs="仿宋"/>
                <w:sz w:val="24"/>
                <w:highlight w:val="none"/>
              </w:rPr>
              <w:t>技术职称</w:t>
            </w:r>
          </w:p>
        </w:tc>
        <w:tc>
          <w:tcPr>
            <w:tcW w:w="1356" w:type="dxa"/>
            <w:vAlign w:val="center"/>
          </w:tcPr>
          <w:p w14:paraId="65BC7C60">
            <w:pPr>
              <w:jc w:val="center"/>
              <w:rPr>
                <w:rFonts w:ascii="仿宋" w:hAnsi="仿宋" w:eastAsia="仿宋" w:cs="仿宋"/>
                <w:sz w:val="24"/>
                <w:highlight w:val="none"/>
              </w:rPr>
            </w:pPr>
          </w:p>
        </w:tc>
        <w:tc>
          <w:tcPr>
            <w:tcW w:w="876" w:type="dxa"/>
            <w:vAlign w:val="center"/>
          </w:tcPr>
          <w:p w14:paraId="4594415B">
            <w:pPr>
              <w:jc w:val="center"/>
              <w:rPr>
                <w:rFonts w:ascii="仿宋" w:hAnsi="仿宋" w:eastAsia="仿宋" w:cs="仿宋"/>
                <w:sz w:val="24"/>
                <w:highlight w:val="none"/>
              </w:rPr>
            </w:pPr>
            <w:r>
              <w:rPr>
                <w:rFonts w:hint="eastAsia" w:ascii="仿宋" w:hAnsi="仿宋" w:eastAsia="仿宋" w:cs="仿宋"/>
                <w:sz w:val="24"/>
                <w:highlight w:val="none"/>
              </w:rPr>
              <w:t>电话</w:t>
            </w:r>
          </w:p>
        </w:tc>
        <w:tc>
          <w:tcPr>
            <w:tcW w:w="1324" w:type="dxa"/>
            <w:vAlign w:val="center"/>
          </w:tcPr>
          <w:p w14:paraId="548795D0">
            <w:pPr>
              <w:jc w:val="center"/>
              <w:rPr>
                <w:rFonts w:ascii="仿宋" w:hAnsi="仿宋" w:eastAsia="仿宋" w:cs="仿宋"/>
                <w:sz w:val="24"/>
                <w:highlight w:val="none"/>
              </w:rPr>
            </w:pPr>
          </w:p>
        </w:tc>
      </w:tr>
      <w:tr w14:paraId="5410F8B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184D0720">
            <w:pPr>
              <w:jc w:val="center"/>
              <w:rPr>
                <w:rFonts w:ascii="仿宋" w:hAnsi="仿宋" w:eastAsia="仿宋" w:cs="仿宋"/>
                <w:sz w:val="24"/>
                <w:highlight w:val="none"/>
              </w:rPr>
            </w:pPr>
            <w:r>
              <w:rPr>
                <w:rFonts w:hint="eastAsia" w:ascii="仿宋" w:hAnsi="仿宋" w:eastAsia="仿宋" w:cs="仿宋"/>
                <w:sz w:val="24"/>
                <w:highlight w:val="none"/>
              </w:rPr>
              <w:t>成立时间</w:t>
            </w:r>
          </w:p>
        </w:tc>
        <w:tc>
          <w:tcPr>
            <w:tcW w:w="2731" w:type="dxa"/>
            <w:gridSpan w:val="2"/>
            <w:vAlign w:val="center"/>
          </w:tcPr>
          <w:p w14:paraId="1644F94C">
            <w:pPr>
              <w:jc w:val="center"/>
              <w:rPr>
                <w:rFonts w:ascii="仿宋" w:hAnsi="仿宋" w:eastAsia="仿宋" w:cs="仿宋"/>
                <w:sz w:val="24"/>
                <w:highlight w:val="none"/>
              </w:rPr>
            </w:pPr>
          </w:p>
        </w:tc>
        <w:tc>
          <w:tcPr>
            <w:tcW w:w="4754" w:type="dxa"/>
            <w:gridSpan w:val="4"/>
            <w:vAlign w:val="center"/>
          </w:tcPr>
          <w:p w14:paraId="3FC3E36E">
            <w:pPr>
              <w:rPr>
                <w:rFonts w:ascii="仿宋" w:hAnsi="仿宋" w:eastAsia="仿宋" w:cs="仿宋"/>
                <w:sz w:val="24"/>
                <w:highlight w:val="none"/>
              </w:rPr>
            </w:pPr>
            <w:r>
              <w:rPr>
                <w:rFonts w:hint="eastAsia" w:ascii="仿宋" w:hAnsi="仿宋" w:eastAsia="仿宋" w:cs="仿宋"/>
                <w:sz w:val="24"/>
                <w:highlight w:val="none"/>
              </w:rPr>
              <w:t>员工总人数：</w:t>
            </w:r>
          </w:p>
        </w:tc>
      </w:tr>
      <w:tr w14:paraId="336F0B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5085ABAE">
            <w:pPr>
              <w:jc w:val="center"/>
              <w:rPr>
                <w:rFonts w:ascii="仿宋" w:hAnsi="仿宋" w:eastAsia="仿宋" w:cs="仿宋"/>
                <w:sz w:val="24"/>
                <w:highlight w:val="none"/>
              </w:rPr>
            </w:pPr>
            <w:r>
              <w:rPr>
                <w:rFonts w:hint="eastAsia" w:ascii="仿宋" w:hAnsi="仿宋" w:eastAsia="仿宋" w:cs="仿宋"/>
                <w:sz w:val="24"/>
                <w:highlight w:val="none"/>
              </w:rPr>
              <w:t>营业执照号</w:t>
            </w:r>
          </w:p>
        </w:tc>
        <w:tc>
          <w:tcPr>
            <w:tcW w:w="7485" w:type="dxa"/>
            <w:gridSpan w:val="6"/>
            <w:tcBorders>
              <w:bottom w:val="single" w:color="auto" w:sz="4" w:space="0"/>
            </w:tcBorders>
            <w:vAlign w:val="center"/>
          </w:tcPr>
          <w:p w14:paraId="49224398">
            <w:pPr>
              <w:jc w:val="center"/>
              <w:rPr>
                <w:rFonts w:ascii="仿宋" w:hAnsi="仿宋" w:eastAsia="仿宋" w:cs="仿宋"/>
                <w:sz w:val="24"/>
                <w:highlight w:val="none"/>
              </w:rPr>
            </w:pPr>
          </w:p>
        </w:tc>
      </w:tr>
      <w:tr w14:paraId="308EB06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2A75249F">
            <w:pPr>
              <w:jc w:val="center"/>
              <w:rPr>
                <w:rFonts w:ascii="仿宋" w:hAnsi="仿宋" w:eastAsia="仿宋" w:cs="仿宋"/>
                <w:sz w:val="24"/>
                <w:highlight w:val="none"/>
              </w:rPr>
            </w:pPr>
            <w:r>
              <w:rPr>
                <w:rFonts w:hint="eastAsia" w:ascii="仿宋" w:hAnsi="仿宋" w:eastAsia="仿宋" w:cs="仿宋"/>
                <w:sz w:val="24"/>
                <w:highlight w:val="none"/>
              </w:rPr>
              <w:t>注册资金</w:t>
            </w:r>
          </w:p>
        </w:tc>
        <w:tc>
          <w:tcPr>
            <w:tcW w:w="7485" w:type="dxa"/>
            <w:gridSpan w:val="6"/>
            <w:tcBorders>
              <w:top w:val="single" w:color="auto" w:sz="4" w:space="0"/>
              <w:bottom w:val="single" w:color="auto" w:sz="4" w:space="0"/>
            </w:tcBorders>
            <w:vAlign w:val="center"/>
          </w:tcPr>
          <w:p w14:paraId="2DA3CDDD">
            <w:pPr>
              <w:jc w:val="center"/>
              <w:rPr>
                <w:rFonts w:ascii="仿宋" w:hAnsi="仿宋" w:eastAsia="仿宋" w:cs="仿宋"/>
                <w:sz w:val="24"/>
                <w:highlight w:val="none"/>
              </w:rPr>
            </w:pPr>
          </w:p>
        </w:tc>
      </w:tr>
      <w:tr w14:paraId="2F3B617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1AF20AA5">
            <w:pPr>
              <w:jc w:val="center"/>
              <w:rPr>
                <w:rFonts w:ascii="仿宋" w:hAnsi="仿宋" w:eastAsia="仿宋" w:cs="仿宋"/>
                <w:sz w:val="24"/>
                <w:highlight w:val="none"/>
              </w:rPr>
            </w:pPr>
            <w:r>
              <w:rPr>
                <w:rFonts w:hint="eastAsia" w:ascii="仿宋" w:hAnsi="仿宋" w:eastAsia="仿宋" w:cs="仿宋"/>
                <w:sz w:val="24"/>
                <w:highlight w:val="none"/>
              </w:rPr>
              <w:t>开户银行</w:t>
            </w:r>
          </w:p>
        </w:tc>
        <w:tc>
          <w:tcPr>
            <w:tcW w:w="7485" w:type="dxa"/>
            <w:gridSpan w:val="6"/>
            <w:tcBorders>
              <w:top w:val="single" w:color="auto" w:sz="4" w:space="0"/>
              <w:bottom w:val="single" w:color="auto" w:sz="4" w:space="0"/>
            </w:tcBorders>
            <w:vAlign w:val="center"/>
          </w:tcPr>
          <w:p w14:paraId="59FD5678">
            <w:pPr>
              <w:jc w:val="center"/>
              <w:rPr>
                <w:rFonts w:ascii="仿宋" w:hAnsi="仿宋" w:eastAsia="仿宋" w:cs="仿宋"/>
                <w:sz w:val="24"/>
                <w:highlight w:val="none"/>
              </w:rPr>
            </w:pPr>
          </w:p>
        </w:tc>
      </w:tr>
      <w:tr w14:paraId="638ED09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18D36189">
            <w:pPr>
              <w:jc w:val="center"/>
              <w:rPr>
                <w:rFonts w:ascii="仿宋" w:hAnsi="仿宋" w:eastAsia="仿宋" w:cs="仿宋"/>
                <w:sz w:val="24"/>
                <w:highlight w:val="none"/>
              </w:rPr>
            </w:pPr>
            <w:r>
              <w:rPr>
                <w:rFonts w:hint="eastAsia" w:ascii="仿宋" w:hAnsi="仿宋" w:eastAsia="仿宋" w:cs="仿宋"/>
                <w:sz w:val="24"/>
                <w:highlight w:val="none"/>
              </w:rPr>
              <w:t>银行账号</w:t>
            </w:r>
          </w:p>
        </w:tc>
        <w:tc>
          <w:tcPr>
            <w:tcW w:w="7485" w:type="dxa"/>
            <w:gridSpan w:val="6"/>
            <w:tcBorders>
              <w:top w:val="single" w:color="auto" w:sz="4" w:space="0"/>
            </w:tcBorders>
            <w:vAlign w:val="center"/>
          </w:tcPr>
          <w:p w14:paraId="62B86B05">
            <w:pPr>
              <w:jc w:val="center"/>
              <w:rPr>
                <w:rFonts w:ascii="仿宋" w:hAnsi="仿宋" w:eastAsia="仿宋" w:cs="仿宋"/>
                <w:sz w:val="24"/>
                <w:highlight w:val="none"/>
              </w:rPr>
            </w:pPr>
          </w:p>
        </w:tc>
      </w:tr>
      <w:tr w14:paraId="04E447B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302" w:hRule="atLeast"/>
          <w:jc w:val="center"/>
        </w:trPr>
        <w:tc>
          <w:tcPr>
            <w:tcW w:w="2235" w:type="dxa"/>
            <w:vAlign w:val="center"/>
          </w:tcPr>
          <w:p w14:paraId="499AA90A">
            <w:pPr>
              <w:jc w:val="center"/>
              <w:rPr>
                <w:rFonts w:ascii="仿宋" w:hAnsi="仿宋" w:eastAsia="仿宋" w:cs="仿宋"/>
                <w:sz w:val="24"/>
                <w:highlight w:val="none"/>
              </w:rPr>
            </w:pPr>
            <w:r>
              <w:rPr>
                <w:rFonts w:hint="eastAsia" w:ascii="仿宋" w:hAnsi="仿宋" w:eastAsia="仿宋" w:cs="仿宋"/>
                <w:sz w:val="24"/>
                <w:highlight w:val="none"/>
              </w:rPr>
              <w:t>经营范围备注</w:t>
            </w:r>
          </w:p>
        </w:tc>
        <w:tc>
          <w:tcPr>
            <w:tcW w:w="7485" w:type="dxa"/>
            <w:gridSpan w:val="6"/>
            <w:vAlign w:val="center"/>
          </w:tcPr>
          <w:p w14:paraId="3C88C564">
            <w:pPr>
              <w:jc w:val="center"/>
              <w:rPr>
                <w:rFonts w:ascii="仿宋" w:hAnsi="仿宋" w:eastAsia="仿宋" w:cs="仿宋"/>
                <w:sz w:val="24"/>
                <w:highlight w:val="none"/>
              </w:rPr>
            </w:pPr>
          </w:p>
        </w:tc>
      </w:tr>
    </w:tbl>
    <w:p w14:paraId="29605CD0">
      <w:pPr>
        <w:spacing w:line="440" w:lineRule="exact"/>
        <w:rPr>
          <w:rFonts w:ascii="仿宋" w:hAnsi="仿宋" w:eastAsia="仿宋" w:cs="仿宋"/>
          <w:sz w:val="24"/>
          <w:highlight w:val="none"/>
        </w:rPr>
      </w:pPr>
      <w:r>
        <w:rPr>
          <w:rFonts w:hint="eastAsia" w:ascii="仿宋" w:hAnsi="仿宋" w:eastAsia="仿宋" w:cs="仿宋"/>
          <w:sz w:val="24"/>
          <w:highlight w:val="none"/>
        </w:rPr>
        <w:t>供应商签章：</w:t>
      </w:r>
    </w:p>
    <w:p w14:paraId="729E127A">
      <w:pPr>
        <w:spacing w:line="440" w:lineRule="exact"/>
        <w:rPr>
          <w:rFonts w:ascii="仿宋" w:hAnsi="仿宋" w:eastAsia="仿宋" w:cs="仿宋"/>
          <w:sz w:val="24"/>
          <w:highlight w:val="none"/>
          <w:u w:val="single"/>
        </w:rPr>
      </w:pPr>
    </w:p>
    <w:p w14:paraId="531ADA53">
      <w:pPr>
        <w:spacing w:line="432" w:lineRule="auto"/>
        <w:rPr>
          <w:rFonts w:ascii="仿宋" w:hAnsi="仿宋" w:eastAsia="仿宋" w:cs="仿宋"/>
          <w:sz w:val="24"/>
          <w:highlight w:val="none"/>
          <w:u w:val="single"/>
        </w:rPr>
      </w:pPr>
      <w:r>
        <w:rPr>
          <w:rFonts w:hint="eastAsia" w:ascii="仿宋" w:hAnsi="仿宋" w:eastAsia="仿宋"/>
          <w:szCs w:val="21"/>
          <w:highlight w:val="none"/>
        </w:rPr>
        <w:t>日期：年 月 日</w:t>
      </w:r>
      <w:r>
        <w:rPr>
          <w:rFonts w:hint="eastAsia" w:ascii="仿宋" w:hAnsi="仿宋" w:eastAsia="仿宋" w:cs="仿宋"/>
          <w:sz w:val="24"/>
          <w:highlight w:val="none"/>
        </w:rPr>
        <w:t>：</w:t>
      </w:r>
    </w:p>
    <w:p w14:paraId="60913EA9">
      <w:pPr>
        <w:pStyle w:val="5"/>
        <w:ind w:left="964" w:hanging="964" w:hangingChars="400"/>
        <w:jc w:val="center"/>
        <w:rPr>
          <w:rFonts w:ascii="仿宋" w:hAnsi="仿宋" w:eastAsia="仿宋" w:cs="仿宋"/>
          <w:sz w:val="24"/>
          <w:highlight w:val="none"/>
        </w:rPr>
        <w:sectPr>
          <w:footerReference r:id="rId11" w:type="default"/>
          <w:footerReference r:id="rId12" w:type="even"/>
          <w:pgSz w:w="11906" w:h="16838"/>
          <w:pgMar w:top="1418" w:right="1247" w:bottom="1418" w:left="1814" w:header="851" w:footer="992" w:gutter="0"/>
          <w:cols w:space="425" w:num="1"/>
          <w:docGrid w:type="lines" w:linePitch="312" w:charSpace="0"/>
        </w:sectPr>
      </w:pPr>
    </w:p>
    <w:p w14:paraId="106B0AB6">
      <w:pPr>
        <w:pStyle w:val="42"/>
        <w:spacing w:before="312"/>
        <w:rPr>
          <w:rFonts w:hint="default"/>
          <w:highlight w:val="none"/>
        </w:rPr>
      </w:pPr>
      <w:bookmarkStart w:id="78" w:name="_Toc164674196"/>
      <w:r>
        <w:rPr>
          <w:highlight w:val="none"/>
        </w:rPr>
        <w:t>7. 技术文件</w:t>
      </w:r>
      <w:bookmarkEnd w:id="78"/>
    </w:p>
    <w:p w14:paraId="68C1473D">
      <w:pPr>
        <w:spacing w:line="432" w:lineRule="auto"/>
        <w:rPr>
          <w:rFonts w:ascii="仿宋" w:hAnsi="仿宋" w:eastAsia="仿宋" w:cs="仿宋"/>
          <w:sz w:val="24"/>
          <w:highlight w:val="none"/>
        </w:rPr>
      </w:pPr>
      <w:r>
        <w:rPr>
          <w:rFonts w:hint="eastAsia" w:ascii="仿宋" w:hAnsi="仿宋" w:eastAsia="仿宋" w:cs="仿宋"/>
          <w:sz w:val="24"/>
          <w:highlight w:val="none"/>
        </w:rPr>
        <w:t>内容包括：</w:t>
      </w:r>
    </w:p>
    <w:p w14:paraId="2D9E5D34">
      <w:pPr>
        <w:spacing w:line="432" w:lineRule="auto"/>
        <w:rPr>
          <w:rFonts w:ascii="仿宋" w:hAnsi="仿宋" w:eastAsia="仿宋" w:cs="仿宋"/>
          <w:sz w:val="24"/>
          <w:highlight w:val="none"/>
        </w:rPr>
      </w:pPr>
      <w:r>
        <w:rPr>
          <w:rFonts w:hint="eastAsia" w:ascii="仿宋" w:hAnsi="仿宋" w:eastAsia="仿宋" w:cs="仿宋"/>
          <w:sz w:val="24"/>
          <w:highlight w:val="none"/>
        </w:rPr>
        <w:t>1、承包方案（如果有）</w:t>
      </w:r>
    </w:p>
    <w:p w14:paraId="0946DA78">
      <w:pPr>
        <w:spacing w:line="400" w:lineRule="exact"/>
        <w:rPr>
          <w:rFonts w:ascii="仿宋" w:hAnsi="仿宋" w:eastAsia="仿宋" w:cs="仿宋"/>
          <w:sz w:val="24"/>
          <w:highlight w:val="none"/>
          <w:u w:val="single"/>
        </w:rPr>
      </w:pPr>
      <w:r>
        <w:rPr>
          <w:rFonts w:hint="eastAsia" w:ascii="仿宋" w:hAnsi="仿宋" w:eastAsia="仿宋" w:cs="仿宋"/>
          <w:sz w:val="24"/>
          <w:highlight w:val="none"/>
        </w:rPr>
        <w:t>2、供应商认为需要说明的其他内容（供应商视需要自行编写）</w:t>
      </w:r>
    </w:p>
    <w:p w14:paraId="2AA8B16C">
      <w:pPr>
        <w:spacing w:line="432" w:lineRule="auto"/>
        <w:rPr>
          <w:rFonts w:ascii="仿宋" w:hAnsi="仿宋" w:eastAsia="仿宋" w:cs="仿宋"/>
          <w:sz w:val="24"/>
          <w:highlight w:val="none"/>
        </w:rPr>
        <w:sectPr>
          <w:pgSz w:w="11906" w:h="16838"/>
          <w:pgMar w:top="1418" w:right="1247" w:bottom="1418" w:left="1814" w:header="851" w:footer="992" w:gutter="0"/>
          <w:cols w:space="425" w:num="1"/>
          <w:docGrid w:type="lines" w:linePitch="312" w:charSpace="0"/>
        </w:sectPr>
      </w:pPr>
    </w:p>
    <w:p w14:paraId="20CC72A6">
      <w:pPr>
        <w:pStyle w:val="42"/>
        <w:spacing w:before="240"/>
        <w:rPr>
          <w:rFonts w:hint="default"/>
          <w:highlight w:val="none"/>
        </w:rPr>
      </w:pPr>
      <w:bookmarkStart w:id="79" w:name="_Toc293934829"/>
      <w:bookmarkStart w:id="80" w:name="_Toc164674197"/>
      <w:r>
        <w:rPr>
          <w:highlight w:val="none"/>
        </w:rPr>
        <w:t>8. 资格证明文件</w:t>
      </w:r>
      <w:bookmarkEnd w:id="79"/>
      <w:bookmarkEnd w:id="80"/>
    </w:p>
    <w:p w14:paraId="17F533F9">
      <w:pPr>
        <w:pStyle w:val="11"/>
        <w:rPr>
          <w:rFonts w:hint="eastAsia"/>
          <w:highlight w:val="none"/>
        </w:rPr>
      </w:pPr>
    </w:p>
    <w:p w14:paraId="5DCCFF69">
      <w:pPr>
        <w:pStyle w:val="42"/>
        <w:spacing w:before="240"/>
        <w:rPr>
          <w:highlight w:val="none"/>
        </w:rPr>
      </w:pPr>
      <w:bookmarkStart w:id="81" w:name="_Toc157775629"/>
      <w:r>
        <w:rPr>
          <w:rFonts w:hint="eastAsia"/>
          <w:highlight w:val="none"/>
          <w:lang w:val="en-US" w:eastAsia="zh-CN"/>
        </w:rPr>
        <w:t>8</w:t>
      </w:r>
      <w:r>
        <w:rPr>
          <w:highlight w:val="none"/>
        </w:rPr>
        <w:t>.1</w:t>
      </w:r>
      <w:r>
        <w:rPr>
          <w:rFonts w:hint="eastAsia"/>
          <w:highlight w:val="none"/>
        </w:rPr>
        <w:t>、江西省政府采购供应商资格信用承诺函</w:t>
      </w:r>
      <w:bookmarkEnd w:id="81"/>
    </w:p>
    <w:p w14:paraId="7B1377C9">
      <w:pPr>
        <w:pStyle w:val="53"/>
        <w:spacing w:line="610" w:lineRule="exact"/>
        <w:ind w:firstLine="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致（采购人或政府采购代理机构）:</w:t>
      </w:r>
    </w:p>
    <w:p w14:paraId="74DB68E8">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单位名称（自然人姓名）:</w:t>
      </w:r>
    </w:p>
    <w:p w14:paraId="44C287B9">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统一社会信用代码（身份证号码）：</w:t>
      </w:r>
    </w:p>
    <w:p w14:paraId="60CC24B2">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法定代表人（负责人）：</w:t>
      </w:r>
    </w:p>
    <w:p w14:paraId="60A80405">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联系地址和电话：</w:t>
      </w:r>
    </w:p>
    <w:p w14:paraId="2125C0AD">
      <w:pPr>
        <w:pStyle w:val="53"/>
        <w:spacing w:line="600"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1A9C97ED">
      <w:pPr>
        <w:pStyle w:val="53"/>
        <w:spacing w:line="610"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（一）我单位（本人）符合采购文件要求以及《中华人民共和国政府采购法》第二十二条规定的条件：</w:t>
      </w:r>
    </w:p>
    <w:p w14:paraId="51B9B9E8">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具有独立承担民事责任的能力；</w:t>
      </w:r>
    </w:p>
    <w:p w14:paraId="2864F1FC">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具有良好的商业信誉和健全的财务会计制度；</w:t>
      </w:r>
    </w:p>
    <w:p w14:paraId="1EFC44A4">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具有履行合同所必需的设备和专业技术能力；</w:t>
      </w:r>
    </w:p>
    <w:p w14:paraId="78E59683">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有依法缴纳税收和社会保障资金的良好记录；</w:t>
      </w:r>
    </w:p>
    <w:p w14:paraId="4AE76928">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参加政府采购活动前三年内，在经营活动中没有重大违法记录；</w:t>
      </w:r>
    </w:p>
    <w:p w14:paraId="49FCDAFC">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符合法律、行政法规规定的其他条件。</w:t>
      </w:r>
    </w:p>
    <w:p w14:paraId="1BB29E4D">
      <w:pPr>
        <w:pStyle w:val="53"/>
        <w:spacing w:line="653"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（二）我单位（本人）未被列入严重失信主体名单、失信被执行人、</w:t>
      </w:r>
      <w:r>
        <w:rPr>
          <w:rFonts w:hint="eastAsia" w:ascii="仿宋" w:hAnsi="仿宋" w:eastAsia="仿宋" w:cs="仿宋"/>
          <w:color w:val="auto"/>
          <w:sz w:val="24"/>
          <w:szCs w:val="24"/>
          <w:highlight w:val="none"/>
          <w:lang w:val="en-US" w:eastAsia="zh-CN"/>
        </w:rPr>
        <w:t>税收违法黑名单</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重大</w:t>
      </w:r>
      <w:r>
        <w:rPr>
          <w:rFonts w:hint="eastAsia" w:ascii="仿宋" w:hAnsi="仿宋" w:eastAsia="仿宋" w:cs="仿宋"/>
          <w:color w:val="auto"/>
          <w:sz w:val="24"/>
          <w:szCs w:val="24"/>
          <w:highlight w:val="none"/>
        </w:rPr>
        <w:t>税收违法</w:t>
      </w:r>
      <w:r>
        <w:rPr>
          <w:rFonts w:hint="eastAsia" w:ascii="仿宋" w:hAnsi="仿宋" w:eastAsia="仿宋" w:cs="仿宋"/>
          <w:color w:val="auto"/>
          <w:sz w:val="24"/>
          <w:szCs w:val="24"/>
          <w:highlight w:val="none"/>
          <w:lang w:val="en-US" w:eastAsia="zh-CN"/>
        </w:rPr>
        <w:t>失信主体）</w:t>
      </w:r>
      <w:r>
        <w:rPr>
          <w:rFonts w:hint="eastAsia" w:ascii="仿宋" w:hAnsi="仿宋" w:eastAsia="仿宋" w:cs="仿宋"/>
          <w:color w:val="auto"/>
          <w:sz w:val="24"/>
          <w:szCs w:val="24"/>
          <w:highlight w:val="none"/>
        </w:rPr>
        <w:t>、政府采购严重违法失信行为记录名单。</w:t>
      </w:r>
    </w:p>
    <w:p w14:paraId="335E1B1D">
      <w:pPr>
        <w:pStyle w:val="53"/>
        <w:spacing w:after="580" w:line="605"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我单位（本人）对本承诺函及所承诺事项的真实性、合法性及有效性负责，并已知晓如所作信用承诺不实，可能涉嫌《中华人民共和国政府采购法》第七十七条第一款第（一）项规定的 </w:t>
      </w:r>
      <w:r>
        <w:rPr>
          <w:rFonts w:hint="eastAsia" w:ascii="仿宋" w:hAnsi="仿宋" w:eastAsia="仿宋" w:cs="仿宋"/>
          <w:color w:val="auto"/>
          <w:sz w:val="24"/>
          <w:szCs w:val="24"/>
          <w:highlight w:val="none"/>
          <w:lang w:val="zh-CN" w:eastAsia="zh-CN" w:bidi="zh-CN"/>
        </w:rPr>
        <w:t>“提供</w:t>
      </w:r>
      <w:r>
        <w:rPr>
          <w:rFonts w:hint="eastAsia" w:ascii="仿宋" w:hAnsi="仿宋" w:eastAsia="仿宋" w:cs="仿宋"/>
          <w:color w:val="auto"/>
          <w:sz w:val="24"/>
          <w:szCs w:val="24"/>
          <w:highlight w:val="none"/>
        </w:rPr>
        <w:t>虚假材料谋取中标、成交”违法情形。经调查属实的，自觉接受政府采购行政监管部门按照《中华人民共和国政府采购法》第七十七条：</w:t>
      </w:r>
      <w:r>
        <w:rPr>
          <w:rFonts w:hint="eastAsia" w:ascii="仿宋" w:hAnsi="仿宋" w:eastAsia="仿宋" w:cs="仿宋"/>
          <w:color w:val="auto"/>
          <w:sz w:val="24"/>
          <w:szCs w:val="24"/>
          <w:highlight w:val="none"/>
          <w:lang w:val="zh-CN" w:eastAsia="zh-CN" w:bidi="zh-CN"/>
        </w:rPr>
        <w:t>“处</w:t>
      </w:r>
      <w:r>
        <w:rPr>
          <w:rFonts w:hint="eastAsia" w:ascii="仿宋" w:hAnsi="仿宋" w:eastAsia="仿宋" w:cs="仿宋"/>
          <w:color w:val="auto"/>
          <w:sz w:val="24"/>
          <w:szCs w:val="24"/>
          <w:highlight w:val="none"/>
        </w:rPr>
        <w:t>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21DAC06C">
      <w:pPr>
        <w:pStyle w:val="53"/>
        <w:spacing w:line="605" w:lineRule="exact"/>
        <w:ind w:firstLine="0"/>
        <w:jc w:val="center"/>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供应商名称（单位公章）：</w:t>
      </w:r>
    </w:p>
    <w:p w14:paraId="5059B944">
      <w:pPr>
        <w:pStyle w:val="53"/>
        <w:spacing w:line="605" w:lineRule="exact"/>
        <w:ind w:firstLine="0"/>
        <w:jc w:val="center"/>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或自然人（签字）：</w:t>
      </w:r>
    </w:p>
    <w:p w14:paraId="0192926C">
      <w:pPr>
        <w:pStyle w:val="53"/>
        <w:spacing w:after="520" w:line="605" w:lineRule="exact"/>
        <w:ind w:firstLine="0"/>
        <w:jc w:val="right"/>
        <w:rPr>
          <w:rFonts w:hint="eastAsia" w:ascii="仿宋" w:hAnsi="仿宋" w:eastAsia="仿宋" w:cs="仿宋"/>
          <w:color w:val="auto"/>
          <w:sz w:val="24"/>
          <w:szCs w:val="24"/>
          <w:highlight w:val="none"/>
          <w:lang w:val="en-US" w:eastAsia="zh-CN"/>
        </w:rPr>
      </w:pPr>
    </w:p>
    <w:p w14:paraId="0BCC9ACA">
      <w:pPr>
        <w:pStyle w:val="53"/>
        <w:spacing w:after="520" w:line="605" w:lineRule="exact"/>
        <w:ind w:firstLine="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年月日</w:t>
      </w:r>
    </w:p>
    <w:p w14:paraId="243C1B83">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1E68DB0C">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我单位（本人）专指参加政府采购活动的供应商（含自然人）</w:t>
      </w:r>
    </w:p>
    <w:p w14:paraId="62F509FC">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2、供应商须在投标文件中按此模板提供承诺函，既未提供上述承诺函又未提供对应事项证明材料的，视为未实质响应招标文件要求，按无效投标处理。</w:t>
      </w:r>
    </w:p>
    <w:p w14:paraId="190404D4">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3、采购人可以在公告中标结果后、签订政府采购合同前, 核实中标供应商所作信用承诺事项的真实性。</w:t>
      </w:r>
    </w:p>
    <w:p w14:paraId="2548216B">
      <w:pPr>
        <w:pStyle w:val="53"/>
        <w:spacing w:after="580" w:line="605"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3750BA10">
      <w:pPr>
        <w:spacing w:before="78" w:line="360" w:lineRule="auto"/>
        <w:ind w:firstLine="482" w:firstLineChars="200"/>
        <w:outlineLvl w:val="1"/>
        <w:rPr>
          <w:rFonts w:hint="eastAsia" w:ascii="仿宋" w:hAnsi="仿宋" w:eastAsia="仿宋" w:cs="仿宋"/>
          <w:b/>
          <w:bCs/>
          <w:sz w:val="24"/>
          <w:highlight w:val="none"/>
        </w:rPr>
      </w:pPr>
      <w:bookmarkStart w:id="82" w:name="_Toc157775630"/>
      <w:r>
        <w:rPr>
          <w:rFonts w:hint="eastAsia" w:ascii="仿宋" w:hAnsi="仿宋" w:eastAsia="仿宋" w:cs="仿宋"/>
          <w:b/>
          <w:bCs/>
          <w:sz w:val="24"/>
          <w:highlight w:val="none"/>
        </w:rPr>
        <w:t>说明：如投标人提供了《江西省政府采购供应商资格信用承诺函》的，视同提供了“满足《中华人民共和国政府采购法》第二十二条规定须提供的证明文件”中</w:t>
      </w:r>
      <w:r>
        <w:rPr>
          <w:rFonts w:hint="eastAsia" w:ascii="仿宋" w:hAnsi="仿宋" w:eastAsia="仿宋" w:cs="仿宋"/>
          <w:b/>
          <w:bCs/>
          <w:sz w:val="24"/>
          <w:highlight w:val="none"/>
          <w:lang w:val="en-US" w:eastAsia="zh-CN"/>
        </w:rPr>
        <w:t>8.2</w:t>
      </w:r>
      <w:r>
        <w:rPr>
          <w:rFonts w:hint="eastAsia" w:ascii="仿宋" w:hAnsi="仿宋" w:eastAsia="仿宋" w:cs="仿宋"/>
          <w:b/>
          <w:bCs/>
          <w:sz w:val="24"/>
          <w:highlight w:val="none"/>
        </w:rPr>
        <w:t>～</w:t>
      </w:r>
      <w:r>
        <w:rPr>
          <w:rFonts w:hint="eastAsia" w:ascii="仿宋" w:hAnsi="仿宋" w:eastAsia="仿宋" w:cs="仿宋"/>
          <w:b/>
          <w:sz w:val="24"/>
          <w:highlight w:val="none"/>
          <w:lang w:val="en-US" w:eastAsia="zh-CN"/>
        </w:rPr>
        <w:t>8.</w:t>
      </w:r>
      <w:r>
        <w:rPr>
          <w:rFonts w:hint="eastAsia" w:ascii="仿宋" w:hAnsi="仿宋" w:eastAsia="仿宋" w:cs="仿宋"/>
          <w:b/>
          <w:bCs/>
          <w:sz w:val="24"/>
          <w:highlight w:val="none"/>
          <w:lang w:val="en-US" w:eastAsia="zh-CN"/>
        </w:rPr>
        <w:t>6</w:t>
      </w:r>
      <w:r>
        <w:rPr>
          <w:rFonts w:hint="eastAsia" w:ascii="仿宋" w:hAnsi="仿宋" w:eastAsia="仿宋" w:cs="仿宋"/>
          <w:b/>
          <w:bCs/>
          <w:sz w:val="24"/>
          <w:highlight w:val="none"/>
        </w:rPr>
        <w:t>资格要求的证明材料，无需再提供下列项证明文件。</w:t>
      </w:r>
      <w:bookmarkEnd w:id="82"/>
    </w:p>
    <w:p w14:paraId="281D25FA">
      <w:pPr>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lang w:val="en-US" w:eastAsia="zh-CN"/>
        </w:rPr>
        <w:t>8.2</w:t>
      </w:r>
      <w:r>
        <w:rPr>
          <w:rFonts w:hint="eastAsia" w:ascii="仿宋" w:hAnsi="仿宋" w:eastAsia="仿宋" w:cs="仿宋"/>
          <w:b/>
          <w:sz w:val="24"/>
          <w:highlight w:val="none"/>
        </w:rPr>
        <w:t>、</w:t>
      </w:r>
      <w:r>
        <w:rPr>
          <w:rFonts w:hint="eastAsia" w:ascii="仿宋" w:hAnsi="仿宋" w:eastAsia="仿宋" w:cs="仿宋"/>
          <w:b/>
          <w:bCs/>
          <w:sz w:val="24"/>
          <w:highlight w:val="none"/>
        </w:rPr>
        <w:t>具有独立承担民事责任的能力的资格证明文件</w:t>
      </w:r>
    </w:p>
    <w:p w14:paraId="7B9F6734">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组织机构代码证证明文件（实行“统一社会信用代码”的不需单独提供组织机构代码证）；如供应商是自然人的，应提供有效的自然人的身份证明(中国公民)。</w:t>
      </w:r>
    </w:p>
    <w:p w14:paraId="0F57945D">
      <w:p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highlight w:val="none"/>
          <w:lang w:val="en-US" w:eastAsia="zh-CN"/>
        </w:rPr>
        <w:t>8.3</w:t>
      </w:r>
      <w:r>
        <w:rPr>
          <w:rFonts w:hint="eastAsia" w:ascii="仿宋" w:hAnsi="仿宋" w:eastAsia="仿宋" w:cs="仿宋"/>
          <w:b/>
          <w:sz w:val="24"/>
          <w:szCs w:val="24"/>
          <w:highlight w:val="none"/>
        </w:rPr>
        <w:t>、具有良好的商业信誉和健全的财务会计制度的证明文件</w:t>
      </w:r>
    </w:p>
    <w:p w14:paraId="3E6A1F35">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供应商是法人的，提供谈判前</w:t>
      </w:r>
      <w:r>
        <w:rPr>
          <w:rFonts w:hint="eastAsia" w:ascii="仿宋" w:hAnsi="仿宋" w:eastAsia="仿宋" w:cs="仿宋"/>
          <w:sz w:val="24"/>
          <w:highlight w:val="none"/>
        </w:rPr>
        <w:t>二</w:t>
      </w:r>
      <w:r>
        <w:rPr>
          <w:rFonts w:hint="eastAsia" w:ascii="仿宋" w:hAnsi="仿宋" w:eastAsia="仿宋" w:cs="仿宋"/>
          <w:sz w:val="24"/>
          <w:szCs w:val="24"/>
          <w:highlight w:val="none"/>
        </w:rPr>
        <w:t>个年度内任一年度经审计的财务状况报告，或在谈判前</w:t>
      </w:r>
      <w:r>
        <w:rPr>
          <w:rFonts w:hint="eastAsia" w:ascii="仿宋" w:hAnsi="仿宋" w:eastAsia="仿宋" w:cs="仿宋"/>
          <w:sz w:val="24"/>
          <w:highlight w:val="none"/>
        </w:rPr>
        <w:t>三</w:t>
      </w:r>
      <w:r>
        <w:rPr>
          <w:rFonts w:hint="eastAsia" w:ascii="仿宋" w:hAnsi="仿宋" w:eastAsia="仿宋" w:cs="仿宋"/>
          <w:sz w:val="24"/>
          <w:szCs w:val="24"/>
          <w:highlight w:val="none"/>
        </w:rPr>
        <w:t>个月内其基本开户银行出具的资信证明；其他组织和自然人，没有经审计的财务报告，可以提供在谈判前</w:t>
      </w:r>
      <w:r>
        <w:rPr>
          <w:rFonts w:hint="eastAsia" w:ascii="仿宋" w:hAnsi="仿宋" w:eastAsia="仿宋" w:cs="仿宋"/>
          <w:sz w:val="24"/>
          <w:highlight w:val="none"/>
        </w:rPr>
        <w:t>三</w:t>
      </w:r>
      <w:r>
        <w:rPr>
          <w:rFonts w:hint="eastAsia" w:ascii="仿宋" w:hAnsi="仿宋" w:eastAsia="仿宋" w:cs="仿宋"/>
          <w:sz w:val="24"/>
          <w:szCs w:val="24"/>
          <w:highlight w:val="none"/>
        </w:rPr>
        <w:t>个月内银行出具的资信证明；个体工商户提供谈判前</w:t>
      </w:r>
      <w:r>
        <w:rPr>
          <w:rFonts w:hint="eastAsia" w:ascii="仿宋" w:hAnsi="仿宋" w:eastAsia="仿宋" w:cs="仿宋"/>
          <w:sz w:val="24"/>
          <w:highlight w:val="none"/>
        </w:rPr>
        <w:t>三</w:t>
      </w:r>
      <w:r>
        <w:rPr>
          <w:rFonts w:hint="eastAsia" w:ascii="仿宋" w:hAnsi="仿宋" w:eastAsia="仿宋" w:cs="仿宋"/>
          <w:sz w:val="24"/>
          <w:szCs w:val="24"/>
          <w:highlight w:val="none"/>
        </w:rPr>
        <w:t xml:space="preserve">个月内中国人民银行征信中心开具个人信用报告。 </w:t>
      </w:r>
    </w:p>
    <w:p w14:paraId="373DA3C8">
      <w:p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highlight w:val="none"/>
          <w:lang w:val="en-US" w:eastAsia="zh-CN"/>
        </w:rPr>
        <w:t>8.4</w:t>
      </w:r>
      <w:r>
        <w:rPr>
          <w:rFonts w:hint="eastAsia" w:ascii="仿宋" w:hAnsi="仿宋" w:eastAsia="仿宋" w:cs="仿宋"/>
          <w:b/>
          <w:sz w:val="24"/>
          <w:szCs w:val="24"/>
          <w:highlight w:val="none"/>
        </w:rPr>
        <w:t>、具有履行合同所必须的设备和专业技术能力的证明文件</w:t>
      </w:r>
    </w:p>
    <w:p w14:paraId="4B2B7170">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供应商提供具有履行合同所必须的设备和专业技术能力的承诺函；</w:t>
      </w:r>
      <w:r>
        <w:rPr>
          <w:rFonts w:hint="eastAsia" w:ascii="仿宋" w:hAnsi="仿宋" w:eastAsia="仿宋" w:cs="仿宋"/>
          <w:kern w:val="0"/>
          <w:sz w:val="24"/>
          <w:szCs w:val="24"/>
          <w:highlight w:val="none"/>
        </w:rPr>
        <w:t>（格式自拟）</w:t>
      </w:r>
    </w:p>
    <w:p w14:paraId="275C9965">
      <w:pPr>
        <w:spacing w:line="360" w:lineRule="auto"/>
        <w:ind w:firstLine="482" w:firstLineChars="200"/>
        <w:rPr>
          <w:rFonts w:ascii="仿宋" w:hAnsi="仿宋" w:eastAsia="仿宋" w:cs="仿宋"/>
          <w:sz w:val="24"/>
          <w:szCs w:val="24"/>
          <w:highlight w:val="none"/>
        </w:rPr>
      </w:pPr>
      <w:r>
        <w:rPr>
          <w:rFonts w:hint="eastAsia" w:ascii="仿宋" w:hAnsi="仿宋" w:eastAsia="仿宋" w:cs="仿宋"/>
          <w:b/>
          <w:sz w:val="24"/>
          <w:highlight w:val="none"/>
          <w:lang w:val="en-US" w:eastAsia="zh-CN"/>
        </w:rPr>
        <w:t>8.5</w:t>
      </w:r>
      <w:r>
        <w:rPr>
          <w:rFonts w:hint="eastAsia" w:ascii="仿宋" w:hAnsi="仿宋" w:eastAsia="仿宋" w:cs="仿宋"/>
          <w:b/>
          <w:sz w:val="24"/>
          <w:szCs w:val="24"/>
          <w:highlight w:val="none"/>
        </w:rPr>
        <w:t>、有依法缴纳税收和社会保障资金的良好记录的证明文件</w:t>
      </w:r>
    </w:p>
    <w:p w14:paraId="2B571F6F">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税务登记证（实行“统一社会信用代码”的不需单独提供）和谈判前</w:t>
      </w:r>
      <w:r>
        <w:rPr>
          <w:rFonts w:hint="eastAsia" w:ascii="仿宋" w:hAnsi="仿宋" w:eastAsia="仿宋" w:cs="仿宋"/>
          <w:sz w:val="24"/>
          <w:highlight w:val="none"/>
        </w:rPr>
        <w:t>六</w:t>
      </w:r>
      <w:r>
        <w:rPr>
          <w:rFonts w:hint="eastAsia" w:ascii="仿宋" w:hAnsi="仿宋" w:eastAsia="仿宋" w:cs="仿宋"/>
          <w:sz w:val="24"/>
          <w:szCs w:val="24"/>
          <w:highlight w:val="none"/>
        </w:rPr>
        <w:t>个月内任意一个月的企业缴税凭证或证明；</w:t>
      </w:r>
    </w:p>
    <w:p w14:paraId="12919AB2">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谈判前</w:t>
      </w:r>
      <w:r>
        <w:rPr>
          <w:rFonts w:hint="eastAsia" w:ascii="仿宋" w:hAnsi="仿宋" w:eastAsia="仿宋" w:cs="仿宋"/>
          <w:sz w:val="24"/>
          <w:highlight w:val="none"/>
        </w:rPr>
        <w:t>六</w:t>
      </w:r>
      <w:r>
        <w:rPr>
          <w:rFonts w:hint="eastAsia" w:ascii="仿宋" w:hAnsi="仿宋" w:eastAsia="仿宋" w:cs="仿宋"/>
          <w:sz w:val="24"/>
          <w:szCs w:val="24"/>
          <w:highlight w:val="none"/>
        </w:rPr>
        <w:t>个月内任意一个月的缴纳社会保障资金的凭证或当地社会保障局出具的缴纳明细。依法免税或不需要缴纳社会保障资金的供应商，应当提供相关文件证明其依法免税或不需要缴纳社会保障资金。</w:t>
      </w:r>
    </w:p>
    <w:p w14:paraId="2CB9018A">
      <w:pPr>
        <w:spacing w:line="360" w:lineRule="auto"/>
        <w:ind w:firstLine="482" w:firstLineChars="200"/>
        <w:rPr>
          <w:rFonts w:ascii="仿宋" w:hAnsi="仿宋" w:eastAsia="仿宋" w:cs="仿宋"/>
          <w:sz w:val="24"/>
          <w:szCs w:val="24"/>
          <w:highlight w:val="none"/>
        </w:rPr>
      </w:pPr>
      <w:r>
        <w:rPr>
          <w:rFonts w:hint="eastAsia" w:ascii="仿宋" w:hAnsi="仿宋" w:eastAsia="仿宋" w:cs="仿宋"/>
          <w:b/>
          <w:sz w:val="24"/>
          <w:highlight w:val="none"/>
          <w:lang w:val="en-US" w:eastAsia="zh-CN"/>
        </w:rPr>
        <w:t>8.6</w:t>
      </w:r>
      <w:r>
        <w:rPr>
          <w:rFonts w:hint="eastAsia" w:ascii="仿宋" w:hAnsi="仿宋" w:eastAsia="仿宋" w:cs="仿宋"/>
          <w:b/>
          <w:sz w:val="24"/>
          <w:szCs w:val="24"/>
          <w:highlight w:val="none"/>
        </w:rPr>
        <w:t>、参加采购前三年内,在经营活动中没有重大违法记录的证明文件</w:t>
      </w:r>
    </w:p>
    <w:p w14:paraId="44ADF777">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参加采购前三年内,在经营活动中没有重大违法记录承诺函；</w:t>
      </w:r>
      <w:r>
        <w:rPr>
          <w:rFonts w:hint="eastAsia" w:ascii="仿宋" w:hAnsi="仿宋" w:eastAsia="仿宋" w:cs="仿宋"/>
          <w:kern w:val="0"/>
          <w:sz w:val="24"/>
          <w:szCs w:val="24"/>
          <w:highlight w:val="none"/>
        </w:rPr>
        <w:t>（格式自拟）</w:t>
      </w:r>
    </w:p>
    <w:p w14:paraId="257CE6BB">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重大违法记录，是指供应商因违法经营受到刑事处罚或者责令停产停业、吊销许可证或者执照、较大罚款等行政处罚。</w:t>
      </w:r>
    </w:p>
    <w:p w14:paraId="2CAABE20">
      <w:p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highlight w:val="none"/>
          <w:lang w:val="en-US" w:eastAsia="zh-CN"/>
        </w:rPr>
        <w:t>8.7</w:t>
      </w:r>
      <w:r>
        <w:rPr>
          <w:rFonts w:hint="eastAsia" w:ascii="仿宋" w:hAnsi="仿宋" w:eastAsia="仿宋" w:cs="仿宋"/>
          <w:b/>
          <w:sz w:val="24"/>
          <w:szCs w:val="24"/>
          <w:highlight w:val="none"/>
        </w:rPr>
        <w:t>、其他资格证明材料；</w:t>
      </w:r>
    </w:p>
    <w:p w14:paraId="48B4B44C">
      <w:pPr>
        <w:rPr>
          <w:rFonts w:hint="eastAsia" w:ascii="仿宋" w:hAnsi="仿宋" w:eastAsia="仿宋" w:cs="仿宋"/>
          <w:b/>
          <w:bCs/>
          <w:sz w:val="28"/>
          <w:szCs w:val="28"/>
          <w:highlight w:val="none"/>
        </w:rPr>
      </w:pPr>
    </w:p>
    <w:p w14:paraId="4DE962A3">
      <w:pPr>
        <w:spacing w:line="360" w:lineRule="auto"/>
        <w:jc w:val="center"/>
        <w:rPr>
          <w:rFonts w:hint="eastAsia" w:ascii="仿宋" w:hAnsi="仿宋" w:eastAsia="仿宋" w:cs="仿宋"/>
          <w:b/>
          <w:bCs/>
          <w:sz w:val="28"/>
          <w:szCs w:val="28"/>
          <w:highlight w:val="none"/>
        </w:rPr>
      </w:pPr>
    </w:p>
    <w:p w14:paraId="3F44504E">
      <w:pPr>
        <w:spacing w:line="360" w:lineRule="auto"/>
        <w:jc w:val="center"/>
        <w:rPr>
          <w:rFonts w:ascii="仿宋" w:hAnsi="仿宋" w:eastAsia="仿宋" w:cs="仿宋"/>
          <w:sz w:val="24"/>
          <w:highlight w:val="none"/>
        </w:rPr>
      </w:pPr>
      <w:r>
        <w:rPr>
          <w:rFonts w:hint="eastAsia" w:ascii="仿宋" w:hAnsi="仿宋" w:eastAsia="仿宋" w:cs="仿宋"/>
          <w:b/>
          <w:bCs/>
          <w:sz w:val="28"/>
          <w:szCs w:val="28"/>
          <w:highlight w:val="none"/>
        </w:rPr>
        <w:t>格式8-</w:t>
      </w:r>
      <w:r>
        <w:rPr>
          <w:rFonts w:hint="eastAsia" w:ascii="仿宋" w:hAnsi="仿宋" w:eastAsia="仿宋" w:cs="仿宋"/>
          <w:b/>
          <w:bCs/>
          <w:sz w:val="28"/>
          <w:szCs w:val="28"/>
          <w:highlight w:val="none"/>
          <w:lang w:val="en-US" w:eastAsia="zh-CN"/>
        </w:rPr>
        <w:t>8</w:t>
      </w:r>
      <w:r>
        <w:rPr>
          <w:rFonts w:hint="eastAsia" w:ascii="仿宋" w:hAnsi="仿宋" w:eastAsia="仿宋" w:cs="仿宋"/>
          <w:b/>
          <w:bCs/>
          <w:sz w:val="28"/>
          <w:szCs w:val="28"/>
          <w:highlight w:val="none"/>
        </w:rPr>
        <w:t>.  法定代表人授权书</w:t>
      </w:r>
    </w:p>
    <w:p w14:paraId="303C4DF0">
      <w:pPr>
        <w:spacing w:line="440" w:lineRule="exac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致：</w:t>
      </w:r>
      <w:r>
        <w:rPr>
          <w:rFonts w:hint="eastAsia" w:ascii="仿宋" w:hAnsi="仿宋" w:eastAsia="仿宋" w:cs="仿宋"/>
          <w:sz w:val="24"/>
          <w:szCs w:val="24"/>
          <w:highlight w:val="none"/>
          <w:lang w:eastAsia="zh-CN"/>
        </w:rPr>
        <w:t>江西寰信工程造价咨询有限责任公司</w:t>
      </w:r>
    </w:p>
    <w:p w14:paraId="75B6F0A9">
      <w:pPr>
        <w:spacing w:line="44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（供应商全称）法定代表人授权（全权代表姓名）为全权代表,参加贵处组织的（项目编号）项目谈判活动，全权代表我方处理谈判活动中的一切事宜。</w:t>
      </w:r>
    </w:p>
    <w:p w14:paraId="21C027B7">
      <w:pPr>
        <w:spacing w:line="440" w:lineRule="exact"/>
        <w:rPr>
          <w:rFonts w:ascii="仿宋" w:hAnsi="仿宋" w:eastAsia="仿宋" w:cs="仿宋"/>
          <w:sz w:val="24"/>
          <w:szCs w:val="24"/>
          <w:highlight w:val="none"/>
        </w:rPr>
      </w:pPr>
    </w:p>
    <w:p w14:paraId="604EFF7B">
      <w:pPr>
        <w:spacing w:line="440" w:lineRule="exact"/>
        <w:rPr>
          <w:rFonts w:ascii="仿宋" w:hAnsi="仿宋" w:eastAsia="仿宋" w:cs="仿宋"/>
          <w:sz w:val="24"/>
          <w:szCs w:val="24"/>
          <w:highlight w:val="none"/>
        </w:rPr>
      </w:pPr>
    </w:p>
    <w:p w14:paraId="732AA076">
      <w:pPr>
        <w:spacing w:line="440" w:lineRule="exact"/>
        <w:rPr>
          <w:rFonts w:ascii="仿宋" w:hAnsi="仿宋" w:eastAsia="仿宋" w:cs="仿宋"/>
          <w:sz w:val="24"/>
          <w:szCs w:val="24"/>
          <w:highlight w:val="none"/>
        </w:rPr>
      </w:pPr>
    </w:p>
    <w:p w14:paraId="27902FA0">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法定代表人签字或签章：</w:t>
      </w:r>
    </w:p>
    <w:p w14:paraId="03D916FE">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供应商盖章：</w:t>
      </w:r>
    </w:p>
    <w:p w14:paraId="34A16432">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日期：</w:t>
      </w:r>
    </w:p>
    <w:p w14:paraId="131D4ADE">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附：</w:t>
      </w:r>
    </w:p>
    <w:p w14:paraId="14310885">
      <w:pPr>
        <w:spacing w:line="360" w:lineRule="auto"/>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全权代表姓名：</w:t>
      </w:r>
    </w:p>
    <w:p w14:paraId="4AC449D3">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职务：</w:t>
      </w:r>
    </w:p>
    <w:p w14:paraId="572D58B5">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电话：</w:t>
      </w:r>
    </w:p>
    <w:p w14:paraId="2B1218E6">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详细通讯地址：</w:t>
      </w:r>
    </w:p>
    <w:p w14:paraId="25C635FF">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邮政编码：</w:t>
      </w:r>
    </w:p>
    <w:p w14:paraId="4A933307">
      <w:pPr>
        <w:rPr>
          <w:rFonts w:ascii="仿宋" w:hAnsi="仿宋" w:eastAsia="仿宋" w:cs="仿宋"/>
          <w:sz w:val="24"/>
          <w:szCs w:val="24"/>
          <w:highlight w:val="none"/>
        </w:rPr>
      </w:pPr>
    </w:p>
    <w:p w14:paraId="5E9B4B98">
      <w:pPr>
        <w:spacing w:line="440" w:lineRule="exact"/>
        <w:rPr>
          <w:rFonts w:ascii="仿宋" w:hAnsi="仿宋" w:eastAsia="仿宋" w:cs="仿宋"/>
          <w:sz w:val="24"/>
          <w:szCs w:val="24"/>
          <w:highlight w:val="none"/>
        </w:rPr>
      </w:pPr>
    </w:p>
    <w:p w14:paraId="21224B3D">
      <w:pPr>
        <w:spacing w:line="440" w:lineRule="exact"/>
        <w:rPr>
          <w:rFonts w:ascii="仿宋" w:hAnsi="仿宋" w:eastAsia="仿宋" w:cs="仿宋"/>
          <w:sz w:val="24"/>
          <w:szCs w:val="24"/>
          <w:highlight w:val="none"/>
        </w:rPr>
      </w:pPr>
    </w:p>
    <w:p w14:paraId="22E0DBB2">
      <w:pPr>
        <w:spacing w:line="440" w:lineRule="exact"/>
        <w:rPr>
          <w:rFonts w:ascii="仿宋" w:hAnsi="仿宋" w:eastAsia="仿宋" w:cs="仿宋"/>
          <w:sz w:val="24"/>
          <w:szCs w:val="24"/>
          <w:highlight w:val="none"/>
        </w:rPr>
      </w:pPr>
    </w:p>
    <w:p w14:paraId="54875883">
      <w:pPr>
        <w:tabs>
          <w:tab w:val="left" w:pos="1470"/>
        </w:tabs>
        <w:spacing w:line="432" w:lineRule="auto"/>
        <w:rPr>
          <w:rFonts w:ascii="仿宋" w:hAnsi="仿宋" w:eastAsia="仿宋" w:cs="仿宋"/>
          <w:b/>
          <w:sz w:val="24"/>
          <w:szCs w:val="24"/>
          <w:highlight w:val="none"/>
        </w:rPr>
      </w:pPr>
      <w:bookmarkStart w:id="83" w:name="_Toc262628298"/>
      <w:bookmarkStart w:id="84" w:name="_Toc262628299"/>
      <w:r>
        <w:rPr>
          <w:rFonts w:hint="eastAsia" w:ascii="仿宋" w:hAnsi="仿宋" w:eastAsia="仿宋" w:cs="仿宋"/>
          <w:b/>
          <w:sz w:val="24"/>
          <w:szCs w:val="24"/>
          <w:highlight w:val="none"/>
        </w:rPr>
        <w:t>附：全权代表身份证扫描件（正、反面）</w:t>
      </w:r>
    </w:p>
    <w:p w14:paraId="40C0F659">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br w:type="page"/>
      </w:r>
    </w:p>
    <w:p w14:paraId="42F7CAE6">
      <w:pPr>
        <w:spacing w:after="312" w:afterLines="100"/>
        <w:jc w:val="center"/>
        <w:rPr>
          <w:rFonts w:ascii="仿宋" w:hAnsi="仿宋" w:eastAsia="仿宋" w:cs="仿宋"/>
          <w:sz w:val="28"/>
          <w:szCs w:val="28"/>
          <w:highlight w:val="none"/>
        </w:rPr>
      </w:pPr>
      <w:r>
        <w:rPr>
          <w:rFonts w:hint="eastAsia" w:ascii="仿宋" w:hAnsi="仿宋" w:eastAsia="仿宋" w:cs="仿宋"/>
          <w:b/>
          <w:bCs/>
          <w:sz w:val="28"/>
          <w:szCs w:val="28"/>
          <w:highlight w:val="none"/>
        </w:rPr>
        <w:t>格式8-</w:t>
      </w:r>
      <w:r>
        <w:rPr>
          <w:rFonts w:hint="eastAsia" w:ascii="仿宋" w:hAnsi="仿宋" w:eastAsia="仿宋" w:cs="仿宋"/>
          <w:b/>
          <w:bCs/>
          <w:sz w:val="28"/>
          <w:szCs w:val="28"/>
          <w:highlight w:val="none"/>
          <w:lang w:val="en-US" w:eastAsia="zh-CN"/>
        </w:rPr>
        <w:t>9</w:t>
      </w:r>
      <w:r>
        <w:rPr>
          <w:rFonts w:hint="eastAsia" w:ascii="仿宋" w:hAnsi="仿宋" w:eastAsia="仿宋" w:cs="仿宋"/>
          <w:b/>
          <w:bCs/>
          <w:sz w:val="28"/>
          <w:szCs w:val="28"/>
          <w:highlight w:val="none"/>
        </w:rPr>
        <w:t>．供应商的资格声明</w:t>
      </w:r>
      <w:bookmarkEnd w:id="83"/>
    </w:p>
    <w:p w14:paraId="4A8BBE42">
      <w:pPr>
        <w:spacing w:line="360" w:lineRule="auto"/>
        <w:rPr>
          <w:rFonts w:hint="eastAsia" w:ascii="仿宋" w:hAnsi="仿宋" w:eastAsia="仿宋" w:cs="仿宋"/>
          <w:spacing w:val="-2"/>
          <w:sz w:val="24"/>
          <w:szCs w:val="24"/>
          <w:highlight w:val="none"/>
          <w:lang w:eastAsia="zh-CN"/>
        </w:rPr>
      </w:pPr>
      <w:r>
        <w:rPr>
          <w:rFonts w:hint="eastAsia" w:ascii="仿宋" w:hAnsi="仿宋" w:eastAsia="仿宋" w:cs="仿宋"/>
          <w:sz w:val="24"/>
          <w:szCs w:val="24"/>
          <w:highlight w:val="none"/>
        </w:rPr>
        <w:t>致：</w:t>
      </w:r>
      <w:r>
        <w:rPr>
          <w:rFonts w:hint="eastAsia" w:ascii="仿宋" w:hAnsi="仿宋" w:eastAsia="仿宋" w:cs="仿宋"/>
          <w:sz w:val="24"/>
          <w:szCs w:val="24"/>
          <w:highlight w:val="none"/>
          <w:lang w:eastAsia="zh-CN"/>
        </w:rPr>
        <w:t>江西寰信工程造价咨询有限责任公司</w:t>
      </w:r>
    </w:p>
    <w:p w14:paraId="4E357451">
      <w:pPr>
        <w:spacing w:line="360" w:lineRule="auto"/>
        <w:ind w:firstLine="472" w:firstLineChars="200"/>
        <w:rPr>
          <w:rFonts w:ascii="仿宋" w:hAnsi="仿宋" w:eastAsia="仿宋" w:cs="仿宋"/>
          <w:sz w:val="24"/>
          <w:szCs w:val="24"/>
          <w:highlight w:val="none"/>
        </w:rPr>
      </w:pPr>
      <w:r>
        <w:rPr>
          <w:rFonts w:hint="eastAsia" w:ascii="仿宋" w:hAnsi="仿宋" w:eastAsia="仿宋" w:cs="仿宋"/>
          <w:spacing w:val="-2"/>
          <w:sz w:val="24"/>
          <w:szCs w:val="24"/>
          <w:highlight w:val="none"/>
        </w:rPr>
        <w:t>为响应贵方</w:t>
      </w:r>
      <w:r>
        <w:rPr>
          <w:rFonts w:hint="eastAsia" w:ascii="仿宋" w:hAnsi="仿宋" w:eastAsia="仿宋" w:cs="仿宋"/>
          <w:spacing w:val="-2"/>
          <w:sz w:val="24"/>
          <w:szCs w:val="24"/>
          <w:highlight w:val="none"/>
          <w:u w:val="single"/>
        </w:rPr>
        <w:t>（项目名称、项目编号）</w:t>
      </w:r>
      <w:r>
        <w:rPr>
          <w:rFonts w:hint="eastAsia" w:ascii="仿宋" w:hAnsi="仿宋" w:eastAsia="仿宋" w:cs="仿宋"/>
          <w:spacing w:val="-2"/>
          <w:sz w:val="24"/>
          <w:szCs w:val="24"/>
          <w:highlight w:val="none"/>
        </w:rPr>
        <w:t>谈判邀请，下述签字人愿参与谈判，提供采购需求一览表和技术要求</w:t>
      </w:r>
      <w:r>
        <w:rPr>
          <w:rFonts w:hint="eastAsia" w:ascii="仿宋" w:hAnsi="仿宋" w:eastAsia="仿宋" w:cs="仿宋"/>
          <w:sz w:val="24"/>
          <w:szCs w:val="24"/>
          <w:highlight w:val="none"/>
        </w:rPr>
        <w:t>规定的工程和有关服务</w:t>
      </w:r>
      <w:r>
        <w:rPr>
          <w:rFonts w:hint="eastAsia" w:ascii="仿宋" w:hAnsi="仿宋" w:eastAsia="仿宋" w:cs="仿宋"/>
          <w:spacing w:val="-2"/>
          <w:sz w:val="24"/>
          <w:szCs w:val="24"/>
          <w:highlight w:val="none"/>
        </w:rPr>
        <w:t>，提交下述文件并声明全</w:t>
      </w:r>
      <w:r>
        <w:rPr>
          <w:rFonts w:hint="eastAsia" w:ascii="仿宋" w:hAnsi="仿宋" w:eastAsia="仿宋" w:cs="仿宋"/>
          <w:sz w:val="24"/>
          <w:szCs w:val="24"/>
          <w:highlight w:val="none"/>
        </w:rPr>
        <w:t>部说明是真实的和正确的。</w:t>
      </w:r>
    </w:p>
    <w:p w14:paraId="02B29E8F">
      <w:pPr>
        <w:numPr>
          <w:ilvl w:val="0"/>
          <w:numId w:val="1"/>
        </w:numPr>
        <w:spacing w:line="360" w:lineRule="auto"/>
        <w:ind w:left="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我方具有履行合同所必须的设备和专业技术能力；</w:t>
      </w:r>
    </w:p>
    <w:p w14:paraId="256350D9">
      <w:pPr>
        <w:numPr>
          <w:ilvl w:val="0"/>
          <w:numId w:val="1"/>
        </w:numPr>
        <w:spacing w:line="360" w:lineRule="auto"/>
        <w:ind w:left="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我方在参加采购前三年内,在经营活动中没有重大违法记录；</w:t>
      </w:r>
    </w:p>
    <w:p w14:paraId="0FC53DB4">
      <w:pPr>
        <w:numPr>
          <w:ilvl w:val="0"/>
          <w:numId w:val="1"/>
        </w:numPr>
        <w:spacing w:line="360" w:lineRule="auto"/>
        <w:ind w:left="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下述签字人在证书中证明本资格文件中的内容是真实的和正确的；</w:t>
      </w:r>
    </w:p>
    <w:p w14:paraId="2CF9A881">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4.我方没有单位负责人为同一人或者存在直接控股、管理关系的不同供应商，参加本项目采购活动的情形；</w:t>
      </w:r>
    </w:p>
    <w:p w14:paraId="161C0D2F">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5.我方没有为本项目提供整体设计、规范编制或者项目管理、监理、检测等服务。</w:t>
      </w:r>
    </w:p>
    <w:p w14:paraId="0A4740F1">
      <w:pPr>
        <w:spacing w:line="360" w:lineRule="auto"/>
        <w:ind w:firstLine="480" w:firstLineChars="200"/>
        <w:rPr>
          <w:rFonts w:ascii="仿宋" w:hAnsi="仿宋" w:eastAsia="仿宋" w:cs="仿宋"/>
          <w:sz w:val="24"/>
          <w:szCs w:val="24"/>
          <w:highlight w:val="none"/>
        </w:rPr>
      </w:pPr>
    </w:p>
    <w:p w14:paraId="6435F005">
      <w:pPr>
        <w:spacing w:line="360" w:lineRule="auto"/>
        <w:ind w:firstLine="480" w:firstLineChars="200"/>
        <w:rPr>
          <w:rFonts w:ascii="仿宋" w:hAnsi="仿宋" w:eastAsia="仿宋" w:cs="仿宋"/>
          <w:sz w:val="24"/>
          <w:szCs w:val="24"/>
          <w:highlight w:val="none"/>
        </w:rPr>
      </w:pPr>
    </w:p>
    <w:p w14:paraId="64E3A50B">
      <w:pPr>
        <w:spacing w:line="360" w:lineRule="auto"/>
        <w:ind w:firstLine="480" w:firstLineChars="200"/>
        <w:rPr>
          <w:rFonts w:ascii="仿宋" w:hAnsi="仿宋" w:eastAsia="仿宋" w:cs="仿宋"/>
          <w:sz w:val="24"/>
          <w:szCs w:val="24"/>
          <w:highlight w:val="none"/>
        </w:rPr>
      </w:pPr>
    </w:p>
    <w:p w14:paraId="532387C7">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供应商代表签字或签章</w:t>
      </w:r>
    </w:p>
    <w:p w14:paraId="1485219A">
      <w:pPr>
        <w:spacing w:line="360" w:lineRule="auto"/>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供应商盖章</w:t>
      </w:r>
    </w:p>
    <w:p w14:paraId="53DEC20A">
      <w:pPr>
        <w:spacing w:line="360" w:lineRule="auto"/>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日期</w:t>
      </w:r>
    </w:p>
    <w:bookmarkEnd w:id="84"/>
    <w:p w14:paraId="643C34AA">
      <w:pPr>
        <w:tabs>
          <w:tab w:val="left" w:pos="1470"/>
        </w:tabs>
        <w:spacing w:line="432" w:lineRule="auto"/>
        <w:rPr>
          <w:rFonts w:ascii="仿宋" w:hAnsi="仿宋" w:eastAsia="仿宋" w:cs="仿宋"/>
          <w:sz w:val="24"/>
          <w:highlight w:val="none"/>
          <w:u w:val="single"/>
        </w:rPr>
      </w:pPr>
    </w:p>
    <w:p w14:paraId="3BF8D1C9">
      <w:pPr>
        <w:tabs>
          <w:tab w:val="left" w:pos="1470"/>
        </w:tabs>
        <w:spacing w:line="432" w:lineRule="auto"/>
        <w:rPr>
          <w:rFonts w:ascii="仿宋" w:hAnsi="仿宋" w:eastAsia="仿宋" w:cs="仿宋"/>
          <w:sz w:val="24"/>
          <w:highlight w:val="none"/>
          <w:u w:val="single"/>
        </w:rPr>
        <w:sectPr>
          <w:footerReference r:id="rId13" w:type="default"/>
          <w:footerReference r:id="rId14" w:type="even"/>
          <w:pgSz w:w="11906" w:h="16838"/>
          <w:pgMar w:top="1418" w:right="1247" w:bottom="1418" w:left="1814" w:header="851" w:footer="992" w:gutter="0"/>
          <w:cols w:space="425" w:num="1"/>
          <w:docGrid w:type="lines" w:linePitch="312" w:charSpace="0"/>
        </w:sectPr>
      </w:pPr>
    </w:p>
    <w:p w14:paraId="1955EF51">
      <w:pPr>
        <w:spacing w:line="360" w:lineRule="auto"/>
        <w:jc w:val="center"/>
        <w:rPr>
          <w:rFonts w:ascii="仿宋" w:hAnsi="仿宋" w:eastAsia="仿宋" w:cs="仿宋"/>
          <w:b/>
          <w:sz w:val="28"/>
          <w:szCs w:val="28"/>
          <w:highlight w:val="none"/>
        </w:rPr>
      </w:pPr>
      <w:r>
        <w:rPr>
          <w:rFonts w:hint="eastAsia" w:ascii="仿宋" w:hAnsi="仿宋" w:eastAsia="仿宋" w:cs="仿宋"/>
          <w:b/>
          <w:sz w:val="28"/>
          <w:szCs w:val="28"/>
          <w:highlight w:val="none"/>
        </w:rPr>
        <w:t>格式8-</w:t>
      </w:r>
      <w:r>
        <w:rPr>
          <w:rFonts w:hint="eastAsia" w:ascii="仿宋" w:hAnsi="仿宋" w:eastAsia="仿宋" w:cs="仿宋"/>
          <w:b/>
          <w:sz w:val="28"/>
          <w:szCs w:val="28"/>
          <w:highlight w:val="none"/>
          <w:lang w:val="en-US" w:eastAsia="zh-CN"/>
        </w:rPr>
        <w:t>10</w:t>
      </w:r>
      <w:r>
        <w:rPr>
          <w:rFonts w:hint="eastAsia" w:ascii="仿宋" w:hAnsi="仿宋" w:eastAsia="仿宋" w:cs="仿宋"/>
          <w:b/>
          <w:sz w:val="28"/>
          <w:szCs w:val="28"/>
          <w:highlight w:val="none"/>
        </w:rPr>
        <w:t>.谈判文件第一章“谈判邀请”中要求的证明材料</w:t>
      </w:r>
    </w:p>
    <w:p w14:paraId="6BCAF1F4">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附：</w:t>
      </w:r>
    </w:p>
    <w:p w14:paraId="70B7DC3D">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投标人盖章的保证金凭证复印件或截图</w:t>
      </w:r>
    </w:p>
    <w:p w14:paraId="192B836A">
      <w:pPr>
        <w:spacing w:line="432"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本项目的特定资格要求</w:t>
      </w:r>
    </w:p>
    <w:p w14:paraId="2135A8E4">
      <w:pPr>
        <w:spacing w:line="360" w:lineRule="auto"/>
        <w:jc w:val="center"/>
        <w:rPr>
          <w:rFonts w:ascii="仿宋" w:hAnsi="仿宋" w:eastAsia="仿宋" w:cs="仿宋"/>
          <w:b/>
          <w:sz w:val="28"/>
          <w:szCs w:val="28"/>
          <w:highlight w:val="none"/>
        </w:rPr>
      </w:pPr>
    </w:p>
    <w:p w14:paraId="6F53014B">
      <w:pPr>
        <w:spacing w:line="360" w:lineRule="auto"/>
        <w:jc w:val="center"/>
        <w:rPr>
          <w:rFonts w:ascii="仿宋" w:hAnsi="仿宋" w:eastAsia="仿宋" w:cs="仿宋"/>
          <w:b/>
          <w:sz w:val="28"/>
          <w:szCs w:val="28"/>
          <w:highlight w:val="none"/>
        </w:rPr>
      </w:pPr>
    </w:p>
    <w:p w14:paraId="1A20D605">
      <w:pPr>
        <w:spacing w:line="360" w:lineRule="auto"/>
        <w:jc w:val="center"/>
        <w:rPr>
          <w:rFonts w:ascii="仿宋" w:hAnsi="仿宋" w:eastAsia="仿宋" w:cs="仿宋"/>
          <w:b/>
          <w:sz w:val="28"/>
          <w:szCs w:val="28"/>
          <w:highlight w:val="none"/>
        </w:rPr>
      </w:pPr>
    </w:p>
    <w:p w14:paraId="6A385DE1">
      <w:pPr>
        <w:spacing w:line="360" w:lineRule="auto"/>
        <w:jc w:val="center"/>
        <w:rPr>
          <w:rFonts w:ascii="仿宋" w:hAnsi="仿宋" w:eastAsia="仿宋" w:cs="仿宋"/>
          <w:b/>
          <w:sz w:val="28"/>
          <w:szCs w:val="28"/>
          <w:highlight w:val="none"/>
        </w:rPr>
      </w:pPr>
    </w:p>
    <w:p w14:paraId="5488800C">
      <w:pPr>
        <w:spacing w:line="360" w:lineRule="auto"/>
        <w:jc w:val="center"/>
        <w:rPr>
          <w:rFonts w:ascii="仿宋" w:hAnsi="仿宋" w:eastAsia="仿宋" w:cs="仿宋"/>
          <w:b/>
          <w:sz w:val="28"/>
          <w:szCs w:val="28"/>
          <w:highlight w:val="none"/>
        </w:rPr>
      </w:pPr>
    </w:p>
    <w:p w14:paraId="06F7E5C0">
      <w:pPr>
        <w:spacing w:line="360" w:lineRule="auto"/>
        <w:jc w:val="center"/>
        <w:rPr>
          <w:rFonts w:ascii="仿宋" w:hAnsi="仿宋" w:eastAsia="仿宋" w:cs="仿宋"/>
          <w:b/>
          <w:sz w:val="28"/>
          <w:szCs w:val="28"/>
          <w:highlight w:val="none"/>
        </w:rPr>
      </w:pPr>
    </w:p>
    <w:p w14:paraId="11AC8C59">
      <w:pPr>
        <w:spacing w:line="360" w:lineRule="auto"/>
        <w:jc w:val="center"/>
        <w:rPr>
          <w:rFonts w:ascii="仿宋" w:hAnsi="仿宋" w:eastAsia="仿宋" w:cs="仿宋"/>
          <w:b/>
          <w:sz w:val="28"/>
          <w:szCs w:val="28"/>
          <w:highlight w:val="none"/>
        </w:rPr>
      </w:pPr>
    </w:p>
    <w:p w14:paraId="2B1EE7B9">
      <w:pPr>
        <w:spacing w:line="360" w:lineRule="auto"/>
        <w:jc w:val="center"/>
        <w:rPr>
          <w:rFonts w:ascii="仿宋" w:hAnsi="仿宋" w:eastAsia="仿宋" w:cs="仿宋"/>
          <w:b/>
          <w:sz w:val="28"/>
          <w:szCs w:val="28"/>
          <w:highlight w:val="none"/>
        </w:rPr>
      </w:pPr>
    </w:p>
    <w:p w14:paraId="65DBE23B">
      <w:pPr>
        <w:spacing w:line="360" w:lineRule="auto"/>
        <w:jc w:val="center"/>
        <w:rPr>
          <w:rFonts w:ascii="仿宋" w:hAnsi="仿宋" w:eastAsia="仿宋" w:cs="仿宋"/>
          <w:b/>
          <w:sz w:val="28"/>
          <w:szCs w:val="28"/>
          <w:highlight w:val="none"/>
        </w:rPr>
      </w:pPr>
    </w:p>
    <w:p w14:paraId="3E13865F">
      <w:pPr>
        <w:spacing w:line="360" w:lineRule="auto"/>
        <w:jc w:val="center"/>
        <w:rPr>
          <w:rFonts w:ascii="仿宋" w:hAnsi="仿宋" w:eastAsia="仿宋" w:cs="仿宋"/>
          <w:b/>
          <w:sz w:val="28"/>
          <w:szCs w:val="28"/>
          <w:highlight w:val="none"/>
        </w:rPr>
      </w:pPr>
    </w:p>
    <w:p w14:paraId="03442092">
      <w:pPr>
        <w:spacing w:line="360" w:lineRule="auto"/>
        <w:jc w:val="center"/>
        <w:rPr>
          <w:rFonts w:ascii="仿宋" w:hAnsi="仿宋" w:eastAsia="仿宋" w:cs="仿宋"/>
          <w:b/>
          <w:sz w:val="28"/>
          <w:szCs w:val="28"/>
          <w:highlight w:val="none"/>
        </w:rPr>
      </w:pPr>
    </w:p>
    <w:p w14:paraId="2E3CF065">
      <w:pPr>
        <w:spacing w:line="360" w:lineRule="auto"/>
        <w:jc w:val="center"/>
        <w:rPr>
          <w:rFonts w:ascii="仿宋" w:hAnsi="仿宋" w:eastAsia="仿宋" w:cs="仿宋"/>
          <w:b/>
          <w:sz w:val="28"/>
          <w:szCs w:val="28"/>
          <w:highlight w:val="none"/>
        </w:rPr>
      </w:pPr>
    </w:p>
    <w:p w14:paraId="2A1CFD78">
      <w:pPr>
        <w:spacing w:line="360" w:lineRule="auto"/>
        <w:jc w:val="center"/>
        <w:rPr>
          <w:rFonts w:ascii="仿宋" w:hAnsi="仿宋" w:eastAsia="仿宋" w:cs="仿宋"/>
          <w:b/>
          <w:sz w:val="28"/>
          <w:szCs w:val="28"/>
          <w:highlight w:val="none"/>
        </w:rPr>
      </w:pPr>
    </w:p>
    <w:p w14:paraId="57054D2B">
      <w:pPr>
        <w:spacing w:line="360" w:lineRule="auto"/>
        <w:jc w:val="center"/>
        <w:rPr>
          <w:rFonts w:ascii="仿宋" w:hAnsi="仿宋" w:eastAsia="仿宋" w:cs="仿宋"/>
          <w:b/>
          <w:sz w:val="28"/>
          <w:szCs w:val="28"/>
          <w:highlight w:val="none"/>
        </w:rPr>
      </w:pPr>
    </w:p>
    <w:p w14:paraId="4DD4B94D">
      <w:pPr>
        <w:spacing w:line="360" w:lineRule="auto"/>
        <w:jc w:val="center"/>
        <w:rPr>
          <w:rFonts w:ascii="仿宋" w:hAnsi="仿宋" w:eastAsia="仿宋" w:cs="仿宋"/>
          <w:b/>
          <w:sz w:val="28"/>
          <w:szCs w:val="28"/>
          <w:highlight w:val="none"/>
        </w:rPr>
      </w:pPr>
    </w:p>
    <w:p w14:paraId="7DAAD8A4">
      <w:pPr>
        <w:spacing w:line="360" w:lineRule="auto"/>
        <w:jc w:val="center"/>
        <w:rPr>
          <w:rFonts w:ascii="仿宋" w:hAnsi="仿宋" w:eastAsia="仿宋" w:cs="仿宋"/>
          <w:b/>
          <w:sz w:val="28"/>
          <w:szCs w:val="28"/>
          <w:highlight w:val="none"/>
        </w:rPr>
      </w:pPr>
    </w:p>
    <w:p w14:paraId="2E6E5D1C">
      <w:pPr>
        <w:spacing w:line="360" w:lineRule="auto"/>
        <w:jc w:val="center"/>
        <w:rPr>
          <w:rFonts w:ascii="仿宋" w:hAnsi="仿宋" w:eastAsia="仿宋" w:cs="仿宋"/>
          <w:b/>
          <w:sz w:val="28"/>
          <w:szCs w:val="28"/>
          <w:highlight w:val="none"/>
        </w:rPr>
      </w:pPr>
    </w:p>
    <w:p w14:paraId="465C0735">
      <w:pPr>
        <w:spacing w:line="360" w:lineRule="auto"/>
        <w:jc w:val="center"/>
        <w:rPr>
          <w:rFonts w:ascii="仿宋" w:hAnsi="仿宋" w:eastAsia="仿宋" w:cs="仿宋"/>
          <w:b/>
          <w:sz w:val="28"/>
          <w:szCs w:val="28"/>
          <w:highlight w:val="none"/>
        </w:rPr>
      </w:pPr>
    </w:p>
    <w:p w14:paraId="6D28749B">
      <w:pPr>
        <w:spacing w:line="360" w:lineRule="auto"/>
        <w:jc w:val="center"/>
        <w:rPr>
          <w:rFonts w:ascii="仿宋" w:hAnsi="仿宋" w:eastAsia="仿宋" w:cs="仿宋"/>
          <w:b/>
          <w:sz w:val="28"/>
          <w:szCs w:val="28"/>
          <w:highlight w:val="none"/>
        </w:rPr>
      </w:pPr>
    </w:p>
    <w:p w14:paraId="53FEB2A3">
      <w:pPr>
        <w:spacing w:line="360" w:lineRule="auto"/>
        <w:jc w:val="center"/>
        <w:rPr>
          <w:rFonts w:ascii="仿宋" w:hAnsi="仿宋" w:eastAsia="仿宋" w:cs="仿宋"/>
          <w:b/>
          <w:sz w:val="28"/>
          <w:szCs w:val="28"/>
          <w:highlight w:val="none"/>
        </w:rPr>
      </w:pPr>
    </w:p>
    <w:p w14:paraId="517B4331">
      <w:pPr>
        <w:spacing w:line="360" w:lineRule="auto"/>
        <w:jc w:val="center"/>
        <w:rPr>
          <w:rFonts w:ascii="仿宋" w:hAnsi="仿宋" w:eastAsia="仿宋" w:cs="仿宋"/>
          <w:b/>
          <w:sz w:val="28"/>
          <w:szCs w:val="28"/>
          <w:highlight w:val="none"/>
        </w:rPr>
      </w:pPr>
    </w:p>
    <w:p w14:paraId="541C3654">
      <w:pPr>
        <w:spacing w:line="360" w:lineRule="auto"/>
        <w:rPr>
          <w:rFonts w:ascii="仿宋" w:hAnsi="仿宋" w:eastAsia="仿宋" w:cs="仿宋"/>
          <w:b/>
          <w:sz w:val="24"/>
          <w:highlight w:val="none"/>
        </w:rPr>
      </w:pPr>
      <w:r>
        <w:rPr>
          <w:rFonts w:hint="eastAsia" w:ascii="仿宋" w:hAnsi="仿宋" w:eastAsia="仿宋" w:cs="仿宋"/>
          <w:b/>
          <w:sz w:val="24"/>
          <w:highlight w:val="none"/>
        </w:rPr>
        <w:br w:type="page"/>
      </w:r>
    </w:p>
    <w:p w14:paraId="7503ED28">
      <w:pPr>
        <w:spacing w:line="360" w:lineRule="auto"/>
        <w:jc w:val="center"/>
        <w:rPr>
          <w:rFonts w:hint="eastAsia" w:ascii="仿宋" w:hAnsi="仿宋" w:eastAsia="仿宋" w:cs="仿宋"/>
          <w:b/>
          <w:sz w:val="28"/>
          <w:szCs w:val="28"/>
          <w:highlight w:val="none"/>
        </w:rPr>
      </w:pPr>
      <w:bookmarkStart w:id="85" w:name="_Toc157775640"/>
      <w:bookmarkStart w:id="86" w:name="_Toc15790"/>
      <w:r>
        <w:rPr>
          <w:rFonts w:hint="eastAsia" w:ascii="仿宋" w:hAnsi="仿宋" w:eastAsia="仿宋" w:cs="仿宋"/>
          <w:b/>
          <w:sz w:val="28"/>
          <w:szCs w:val="28"/>
          <w:highlight w:val="none"/>
          <w:lang w:val="en-US" w:eastAsia="zh-CN"/>
        </w:rPr>
        <w:t>9</w:t>
      </w:r>
      <w:r>
        <w:rPr>
          <w:rFonts w:hint="eastAsia" w:ascii="仿宋" w:hAnsi="仿宋" w:eastAsia="仿宋" w:cs="仿宋"/>
          <w:b/>
          <w:sz w:val="28"/>
          <w:szCs w:val="28"/>
          <w:highlight w:val="none"/>
        </w:rPr>
        <w:t>、为落实政府采购政策投标人须提供的证明材料</w:t>
      </w:r>
      <w:bookmarkEnd w:id="85"/>
      <w:bookmarkEnd w:id="86"/>
    </w:p>
    <w:p w14:paraId="3201643B">
      <w:pPr>
        <w:rPr>
          <w:rFonts w:hint="eastAsia" w:ascii="宋体" w:hAnsi="宋体" w:cs="宋体"/>
          <w:highlight w:val="none"/>
        </w:rPr>
      </w:pPr>
    </w:p>
    <w:p w14:paraId="4203B3D8">
      <w:pPr>
        <w:spacing w:line="360" w:lineRule="auto"/>
        <w:jc w:val="center"/>
        <w:rPr>
          <w:rFonts w:hint="eastAsia" w:ascii="仿宋" w:hAnsi="仿宋" w:eastAsia="仿宋" w:cs="仿宋"/>
          <w:b/>
          <w:sz w:val="28"/>
          <w:szCs w:val="28"/>
          <w:highlight w:val="none"/>
        </w:rPr>
      </w:pPr>
      <w:bookmarkStart w:id="87" w:name="_Toc474492115"/>
      <w:bookmarkStart w:id="88" w:name="_Toc494292939"/>
      <w:bookmarkStart w:id="89" w:name="_Toc494138652"/>
      <w:bookmarkStart w:id="90" w:name="_Toc21651"/>
      <w:bookmarkStart w:id="91" w:name="_Toc157775641"/>
      <w:r>
        <w:rPr>
          <w:rFonts w:hint="eastAsia" w:ascii="仿宋" w:hAnsi="仿宋" w:eastAsia="仿宋" w:cs="仿宋"/>
          <w:b/>
          <w:sz w:val="28"/>
          <w:szCs w:val="28"/>
          <w:highlight w:val="none"/>
        </w:rPr>
        <w:t>格式</w:t>
      </w:r>
      <w:r>
        <w:rPr>
          <w:rFonts w:hint="eastAsia" w:ascii="仿宋" w:hAnsi="仿宋" w:eastAsia="仿宋" w:cs="仿宋"/>
          <w:b/>
          <w:sz w:val="28"/>
          <w:szCs w:val="28"/>
          <w:highlight w:val="none"/>
          <w:lang w:val="en-US" w:eastAsia="zh-CN"/>
        </w:rPr>
        <w:t>9</w:t>
      </w:r>
      <w:r>
        <w:rPr>
          <w:rFonts w:hint="eastAsia" w:ascii="仿宋" w:hAnsi="仿宋" w:eastAsia="仿宋" w:cs="仿宋"/>
          <w:b/>
          <w:sz w:val="28"/>
          <w:szCs w:val="28"/>
          <w:highlight w:val="none"/>
        </w:rPr>
        <w:t>-1.中小企业声明</w:t>
      </w:r>
      <w:bookmarkEnd w:id="87"/>
      <w:bookmarkEnd w:id="88"/>
      <w:bookmarkEnd w:id="89"/>
      <w:r>
        <w:rPr>
          <w:rFonts w:hint="eastAsia" w:ascii="仿宋" w:hAnsi="仿宋" w:eastAsia="仿宋" w:cs="仿宋"/>
          <w:b/>
          <w:sz w:val="28"/>
          <w:szCs w:val="28"/>
          <w:highlight w:val="none"/>
        </w:rPr>
        <w:t>函</w:t>
      </w:r>
      <w:bookmarkEnd w:id="90"/>
      <w:bookmarkEnd w:id="91"/>
    </w:p>
    <w:p w14:paraId="72614159">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本公司（联合体）郑重声明，根据《政府采购促进中小企业发展管理办法》（财库﹝2020﹞46 号）的规定，</w:t>
      </w:r>
      <w:r>
        <w:rPr>
          <w:rFonts w:hint="eastAsia" w:ascii="仿宋" w:hAnsi="仿宋" w:eastAsia="仿宋" w:cs="仿宋"/>
          <w:sz w:val="24"/>
          <w:szCs w:val="24"/>
          <w:highlight w:val="none"/>
          <w:u w:val="single"/>
        </w:rPr>
        <w:t>本公司（联合体）</w:t>
      </w:r>
      <w:r>
        <w:rPr>
          <w:rFonts w:hint="eastAsia" w:ascii="仿宋" w:hAnsi="仿宋" w:eastAsia="仿宋" w:cs="仿宋"/>
          <w:sz w:val="24"/>
          <w:szCs w:val="24"/>
          <w:highlight w:val="none"/>
        </w:rPr>
        <w:t>参加</w:t>
      </w:r>
      <w:r>
        <w:rPr>
          <w:rFonts w:hint="eastAsia" w:ascii="仿宋" w:hAnsi="仿宋" w:eastAsia="仿宋" w:cs="仿宋"/>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sz w:val="24"/>
          <w:szCs w:val="24"/>
          <w:highlight w:val="none"/>
          <w:u w:val="single"/>
        </w:rPr>
        <w:t>（项目名称）</w:t>
      </w:r>
      <w:r>
        <w:rPr>
          <w:rFonts w:hint="eastAsia" w:ascii="仿宋" w:hAnsi="仿宋" w:eastAsia="仿宋" w:cs="仿宋"/>
          <w:sz w:val="24"/>
          <w:szCs w:val="24"/>
          <w:highlight w:val="none"/>
        </w:rPr>
        <w:t>采购活动，提供的货物全部为符合政策要求的中小企业（或者：服务全部由符合政策要求的中小企业承接）。相关企业（含联合体中的中小企业、签订分包意向协议的中小企业）的具体情况如下：</w:t>
      </w:r>
    </w:p>
    <w:p w14:paraId="1E85C13F">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u w:val="single"/>
        </w:rPr>
        <w:t>（标的名称）</w:t>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（采购文件中明确的所属行业）</w:t>
      </w:r>
      <w:r>
        <w:rPr>
          <w:rFonts w:hint="eastAsia" w:ascii="仿宋" w:hAnsi="仿宋" w:eastAsia="仿宋" w:cs="仿宋"/>
          <w:sz w:val="24"/>
          <w:szCs w:val="24"/>
          <w:highlight w:val="none"/>
        </w:rPr>
        <w:t>；制造商为</w:t>
      </w:r>
      <w:r>
        <w:rPr>
          <w:rFonts w:hint="eastAsia" w:ascii="仿宋" w:hAnsi="仿宋" w:eastAsia="仿宋" w:cs="仿宋"/>
          <w:sz w:val="24"/>
          <w:szCs w:val="24"/>
          <w:highlight w:val="none"/>
          <w:u w:val="single"/>
        </w:rPr>
        <w:t>（企业名称）</w:t>
      </w:r>
      <w:r>
        <w:rPr>
          <w:rFonts w:hint="eastAsia" w:ascii="仿宋" w:hAnsi="仿宋" w:eastAsia="仿宋" w:cs="仿宋"/>
          <w:sz w:val="24"/>
          <w:szCs w:val="24"/>
          <w:highlight w:val="none"/>
        </w:rPr>
        <w:t>，从业人员</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人，营业收入为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万元，资产总额为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w:t>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"_bookmark1"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（中型企业、小型企业、微型企业）</w:t>
      </w:r>
      <w:r>
        <w:rPr>
          <w:rFonts w:hint="eastAsia" w:ascii="仿宋" w:hAnsi="仿宋" w:eastAsia="仿宋" w:cs="仿宋"/>
          <w:sz w:val="24"/>
          <w:szCs w:val="24"/>
          <w:highlight w:val="none"/>
        </w:rPr>
        <w:t>；</w:t>
      </w:r>
    </w:p>
    <w:p w14:paraId="4907D005">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sz w:val="24"/>
          <w:szCs w:val="24"/>
          <w:highlight w:val="none"/>
          <w:u w:val="single"/>
        </w:rPr>
        <w:t xml:space="preserve"> （标的名称）</w:t>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（采购文件中明确的所属行业）</w:t>
      </w:r>
      <w:r>
        <w:rPr>
          <w:rFonts w:hint="eastAsia" w:ascii="仿宋" w:hAnsi="仿宋" w:eastAsia="仿宋" w:cs="仿宋"/>
          <w:sz w:val="24"/>
          <w:szCs w:val="24"/>
          <w:highlight w:val="none"/>
        </w:rPr>
        <w:t>；制造商为</w:t>
      </w:r>
      <w:r>
        <w:rPr>
          <w:rFonts w:hint="eastAsia" w:ascii="仿宋" w:hAnsi="仿宋" w:eastAsia="仿宋" w:cs="仿宋"/>
          <w:sz w:val="24"/>
          <w:szCs w:val="24"/>
          <w:highlight w:val="none"/>
          <w:u w:val="single"/>
        </w:rPr>
        <w:t>（企业名称）</w:t>
      </w:r>
      <w:r>
        <w:rPr>
          <w:rFonts w:hint="eastAsia" w:ascii="仿宋" w:hAnsi="仿宋" w:eastAsia="仿宋" w:cs="仿宋"/>
          <w:sz w:val="24"/>
          <w:szCs w:val="24"/>
          <w:highlight w:val="none"/>
        </w:rPr>
        <w:t>，从业人员</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人，营业收入为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万元，资产总额为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w:t>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"_bookmark1"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（中型企业、小型企业、微型企业）</w:t>
      </w:r>
      <w:r>
        <w:rPr>
          <w:rFonts w:hint="eastAsia" w:ascii="仿宋" w:hAnsi="仿宋" w:eastAsia="仿宋" w:cs="仿宋"/>
          <w:sz w:val="24"/>
          <w:szCs w:val="24"/>
          <w:highlight w:val="none"/>
        </w:rPr>
        <w:t>；</w:t>
      </w:r>
    </w:p>
    <w:p w14:paraId="74EA4053">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p>
    <w:p w14:paraId="0F759BD3">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以上企业，不属于大企业的分支机构，不存在控股股东为大企业的情形，也不存在与大企业的负责人为同一人的情形。</w:t>
      </w:r>
    </w:p>
    <w:p w14:paraId="5DAF6489">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本企业对上述声明内容的真实性负责。如有虚假，将依法承担相应责任。</w:t>
      </w:r>
    </w:p>
    <w:p w14:paraId="40121287">
      <w:pPr>
        <w:spacing w:line="432"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企业名称（盖章）：</w:t>
      </w:r>
    </w:p>
    <w:p w14:paraId="1BB286F3">
      <w:pPr>
        <w:spacing w:line="432"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日期：</w:t>
      </w:r>
    </w:p>
    <w:p w14:paraId="1D14CAC2">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注：1、从业人员、营业收入、资产总额填报上一年度数据，无上一年度数据的新成立企业可不填报。</w:t>
      </w:r>
    </w:p>
    <w:p w14:paraId="58062DF4">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2、不符合小型、微型企业条件的不需提供。</w:t>
      </w:r>
    </w:p>
    <w:p w14:paraId="1B1C2257">
      <w:pPr>
        <w:ind w:firstLine="480" w:firstLineChars="200"/>
        <w:rPr>
          <w:rFonts w:hint="eastAsia" w:ascii="宋体" w:hAnsi="宋体" w:cs="宋体"/>
          <w:b/>
          <w:sz w:val="24"/>
          <w:highlight w:val="none"/>
        </w:rPr>
      </w:pPr>
      <w:r>
        <w:rPr>
          <w:rFonts w:hint="eastAsia" w:ascii="仿宋" w:hAnsi="仿宋" w:eastAsia="仿宋" w:cs="仿宋"/>
          <w:sz w:val="24"/>
          <w:szCs w:val="24"/>
          <w:highlight w:val="none"/>
        </w:rPr>
        <w:br w:type="page"/>
      </w:r>
    </w:p>
    <w:p w14:paraId="0642F484">
      <w:pPr>
        <w:rPr>
          <w:rFonts w:ascii="仿宋" w:hAnsi="仿宋" w:eastAsia="仿宋" w:cs="仿宋"/>
          <w:highlight w:val="none"/>
        </w:rPr>
      </w:pPr>
    </w:p>
    <w:p w14:paraId="7515E03F">
      <w:pPr>
        <w:pStyle w:val="40"/>
        <w:rPr>
          <w:rFonts w:hint="default"/>
          <w:highlight w:val="none"/>
        </w:rPr>
      </w:pPr>
      <w:bookmarkStart w:id="92" w:name="_Toc164674198"/>
      <w:r>
        <w:rPr>
          <w:highlight w:val="none"/>
        </w:rPr>
        <w:t>第五章  采购需求一览表及采购要求</w:t>
      </w:r>
      <w:bookmarkEnd w:id="92"/>
    </w:p>
    <w:p w14:paraId="5CD750BF">
      <w:pPr>
        <w:rPr>
          <w:rFonts w:ascii="仿宋" w:hAnsi="仿宋" w:eastAsia="仿宋" w:cs="仿宋"/>
          <w:spacing w:val="-6"/>
          <w:sz w:val="52"/>
          <w:highlight w:val="none"/>
        </w:rPr>
      </w:pPr>
    </w:p>
    <w:p w14:paraId="1B9EB7FE">
      <w:pPr>
        <w:pStyle w:val="42"/>
        <w:spacing w:before="240"/>
        <w:rPr>
          <w:rFonts w:hint="default"/>
          <w:highlight w:val="none"/>
        </w:rPr>
      </w:pPr>
      <w:bookmarkStart w:id="93" w:name="_Toc164674199"/>
      <w:r>
        <w:rPr>
          <w:highlight w:val="none"/>
        </w:rPr>
        <w:t>一、采购需求一览表</w:t>
      </w:r>
      <w:bookmarkEnd w:id="93"/>
    </w:p>
    <w:p w14:paraId="076148D8">
      <w:pPr>
        <w:adjustRightInd w:val="0"/>
        <w:snapToGrid w:val="0"/>
        <w:spacing w:line="432" w:lineRule="auto"/>
        <w:ind w:left="-8" w:leftChars="-4" w:firstLine="7" w:firstLineChars="3"/>
        <w:rPr>
          <w:rFonts w:ascii="仿宋" w:hAnsi="仿宋" w:eastAsia="仿宋" w:cs="仿宋"/>
          <w:b/>
          <w:sz w:val="24"/>
          <w:highlight w:val="none"/>
        </w:rPr>
      </w:pPr>
    </w:p>
    <w:tbl>
      <w:tblPr>
        <w:tblStyle w:val="17"/>
        <w:tblpPr w:leftFromText="180" w:rightFromText="180" w:vertAnchor="text" w:tblpY="1"/>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3"/>
        <w:gridCol w:w="6541"/>
      </w:tblGrid>
      <w:tr w14:paraId="0C6E5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trPr>
        <w:tc>
          <w:tcPr>
            <w:tcW w:w="1619" w:type="pct"/>
            <w:tcBorders>
              <w:tl2br w:val="single" w:color="auto" w:sz="4" w:space="0"/>
            </w:tcBorders>
          </w:tcPr>
          <w:p w14:paraId="4B64C693">
            <w:pPr>
              <w:spacing w:line="360" w:lineRule="auto"/>
              <w:ind w:firstLine="465"/>
              <w:rPr>
                <w:rFonts w:ascii="仿宋" w:hAnsi="仿宋" w:eastAsia="仿宋" w:cs="仿宋"/>
                <w:sz w:val="24"/>
                <w:highlight w:val="none"/>
              </w:rPr>
            </w:pPr>
          </w:p>
          <w:p w14:paraId="5B1EBFCF">
            <w:pPr>
              <w:spacing w:line="360" w:lineRule="auto"/>
              <w:ind w:firstLine="1300" w:firstLineChars="542"/>
              <w:rPr>
                <w:rFonts w:ascii="仿宋" w:hAnsi="仿宋" w:eastAsia="仿宋" w:cs="仿宋"/>
                <w:sz w:val="24"/>
                <w:highlight w:val="none"/>
              </w:rPr>
            </w:pPr>
            <w:r>
              <w:rPr>
                <w:rFonts w:hint="eastAsia" w:ascii="仿宋" w:hAnsi="仿宋" w:eastAsia="仿宋" w:cs="仿宋"/>
                <w:sz w:val="24"/>
                <w:highlight w:val="none"/>
              </w:rPr>
              <w:t>采购名称</w:t>
            </w:r>
          </w:p>
          <w:p w14:paraId="035D403F">
            <w:pPr>
              <w:spacing w:line="360" w:lineRule="auto"/>
              <w:ind w:firstLine="465"/>
              <w:rPr>
                <w:rFonts w:ascii="仿宋" w:hAnsi="仿宋" w:eastAsia="仿宋" w:cs="仿宋"/>
                <w:sz w:val="24"/>
                <w:highlight w:val="none"/>
              </w:rPr>
            </w:pPr>
            <w:r>
              <w:rPr>
                <w:rFonts w:hint="eastAsia" w:ascii="仿宋" w:hAnsi="仿宋" w:eastAsia="仿宋" w:cs="仿宋"/>
                <w:sz w:val="24"/>
                <w:highlight w:val="none"/>
              </w:rPr>
              <w:t>内容</w:t>
            </w:r>
          </w:p>
        </w:tc>
        <w:tc>
          <w:tcPr>
            <w:tcW w:w="3380" w:type="pct"/>
            <w:vAlign w:val="center"/>
          </w:tcPr>
          <w:p w14:paraId="16C6E491">
            <w:pPr>
              <w:spacing w:line="360" w:lineRule="auto"/>
              <w:jc w:val="center"/>
              <w:rPr>
                <w:rFonts w:ascii="仿宋" w:hAnsi="仿宋" w:eastAsia="仿宋" w:cs="仿宋"/>
                <w:sz w:val="24"/>
                <w:highlight w:val="none"/>
              </w:rPr>
            </w:pPr>
            <w:r>
              <w:rPr>
                <w:rFonts w:hint="eastAsia" w:ascii="仿宋" w:hAnsi="仿宋" w:eastAsia="仿宋" w:cs="仿宋"/>
                <w:sz w:val="24"/>
                <w:highlight w:val="none"/>
              </w:rPr>
              <w:t>详见“第一章谈判邀请”</w:t>
            </w:r>
          </w:p>
        </w:tc>
      </w:tr>
      <w:tr w14:paraId="33A10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1619" w:type="pct"/>
            <w:vAlign w:val="center"/>
          </w:tcPr>
          <w:p w14:paraId="1C10B2E9">
            <w:pPr>
              <w:spacing w:line="360" w:lineRule="auto"/>
              <w:jc w:val="center"/>
              <w:rPr>
                <w:rFonts w:ascii="仿宋" w:hAnsi="仿宋" w:eastAsia="仿宋" w:cs="仿宋"/>
                <w:sz w:val="24"/>
                <w:highlight w:val="none"/>
              </w:rPr>
            </w:pPr>
            <w:r>
              <w:rPr>
                <w:rFonts w:hint="eastAsia" w:ascii="仿宋" w:hAnsi="仿宋" w:eastAsia="仿宋" w:cs="仿宋"/>
                <w:sz w:val="24"/>
                <w:highlight w:val="none"/>
              </w:rPr>
              <w:t>数量</w:t>
            </w:r>
          </w:p>
        </w:tc>
        <w:tc>
          <w:tcPr>
            <w:tcW w:w="3380" w:type="pct"/>
            <w:vAlign w:val="center"/>
          </w:tcPr>
          <w:p w14:paraId="5652564C">
            <w:pPr>
              <w:spacing w:line="360" w:lineRule="auto"/>
              <w:jc w:val="center"/>
              <w:rPr>
                <w:rFonts w:ascii="仿宋" w:hAnsi="仿宋" w:eastAsia="仿宋" w:cs="仿宋"/>
                <w:sz w:val="24"/>
                <w:highlight w:val="none"/>
              </w:rPr>
            </w:pPr>
            <w:r>
              <w:rPr>
                <w:rFonts w:hint="eastAsia" w:ascii="仿宋" w:hAnsi="仿宋" w:eastAsia="仿宋" w:cs="仿宋"/>
                <w:sz w:val="24"/>
                <w:highlight w:val="none"/>
              </w:rPr>
              <w:t>详见第五章中的“采购要求”</w:t>
            </w:r>
          </w:p>
        </w:tc>
      </w:tr>
      <w:tr w14:paraId="528E1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trPr>
        <w:tc>
          <w:tcPr>
            <w:tcW w:w="1619" w:type="pct"/>
            <w:vAlign w:val="center"/>
          </w:tcPr>
          <w:p w14:paraId="67022BDF">
            <w:pPr>
              <w:spacing w:line="360" w:lineRule="auto"/>
              <w:jc w:val="center"/>
              <w:rPr>
                <w:rFonts w:ascii="仿宋" w:hAnsi="仿宋" w:eastAsia="仿宋" w:cs="仿宋"/>
                <w:sz w:val="24"/>
                <w:highlight w:val="none"/>
              </w:rPr>
            </w:pPr>
            <w:r>
              <w:rPr>
                <w:rFonts w:hint="eastAsia" w:ascii="仿宋" w:hAnsi="仿宋" w:eastAsia="仿宋" w:cs="仿宋"/>
                <w:sz w:val="24"/>
                <w:highlight w:val="none"/>
              </w:rPr>
              <w:t>交货期</w:t>
            </w:r>
          </w:p>
        </w:tc>
        <w:tc>
          <w:tcPr>
            <w:tcW w:w="3380" w:type="pct"/>
            <w:vAlign w:val="center"/>
          </w:tcPr>
          <w:p w14:paraId="5D8886E1">
            <w:pPr>
              <w:spacing w:line="360" w:lineRule="auto"/>
              <w:jc w:val="center"/>
              <w:rPr>
                <w:rFonts w:ascii="仿宋" w:hAnsi="仿宋" w:eastAsia="仿宋" w:cs="仿宋"/>
                <w:sz w:val="24"/>
                <w:highlight w:val="none"/>
              </w:rPr>
            </w:pPr>
            <w:r>
              <w:rPr>
                <w:rFonts w:hint="eastAsia" w:ascii="仿宋" w:hAnsi="仿宋" w:eastAsia="仿宋" w:cs="仿宋"/>
                <w:sz w:val="24"/>
                <w:highlight w:val="none"/>
              </w:rPr>
              <w:t>详见第五章中的“商务需求”</w:t>
            </w:r>
          </w:p>
        </w:tc>
      </w:tr>
      <w:tr w14:paraId="40C56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1619" w:type="pct"/>
            <w:vAlign w:val="center"/>
          </w:tcPr>
          <w:p w14:paraId="6B9B4BA3">
            <w:pPr>
              <w:spacing w:line="360" w:lineRule="auto"/>
              <w:jc w:val="center"/>
              <w:rPr>
                <w:rFonts w:ascii="仿宋" w:hAnsi="仿宋" w:eastAsia="仿宋" w:cs="仿宋"/>
                <w:sz w:val="24"/>
                <w:highlight w:val="none"/>
              </w:rPr>
            </w:pPr>
            <w:r>
              <w:rPr>
                <w:rFonts w:hint="eastAsia" w:ascii="仿宋" w:hAnsi="仿宋" w:eastAsia="仿宋" w:cs="仿宋"/>
                <w:sz w:val="24"/>
                <w:highlight w:val="none"/>
              </w:rPr>
              <w:t>交货地点</w:t>
            </w:r>
          </w:p>
        </w:tc>
        <w:tc>
          <w:tcPr>
            <w:tcW w:w="3380" w:type="pct"/>
            <w:vAlign w:val="center"/>
          </w:tcPr>
          <w:p w14:paraId="68C24124">
            <w:pPr>
              <w:spacing w:line="360" w:lineRule="auto"/>
              <w:ind w:left="480" w:hanging="480" w:hangingChars="200"/>
              <w:jc w:val="center"/>
              <w:rPr>
                <w:rFonts w:ascii="仿宋" w:hAnsi="仿宋" w:eastAsia="仿宋" w:cs="仿宋"/>
                <w:bCs/>
                <w:sz w:val="24"/>
                <w:szCs w:val="24"/>
                <w:highlight w:val="none"/>
              </w:rPr>
            </w:pPr>
            <w:r>
              <w:rPr>
                <w:rFonts w:hint="eastAsia" w:ascii="仿宋" w:hAnsi="仿宋" w:eastAsia="仿宋" w:cs="仿宋"/>
                <w:sz w:val="24"/>
                <w:highlight w:val="none"/>
              </w:rPr>
              <w:t>详见第五章中的“商务需求”</w:t>
            </w:r>
          </w:p>
        </w:tc>
      </w:tr>
      <w:tr w14:paraId="4EF1E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2" w:hRule="atLeast"/>
        </w:trPr>
        <w:tc>
          <w:tcPr>
            <w:tcW w:w="1619" w:type="pct"/>
            <w:vAlign w:val="center"/>
          </w:tcPr>
          <w:p w14:paraId="686993FC">
            <w:pPr>
              <w:spacing w:line="360" w:lineRule="auto"/>
              <w:jc w:val="center"/>
              <w:rPr>
                <w:rFonts w:ascii="仿宋" w:hAnsi="仿宋" w:eastAsia="仿宋" w:cs="仿宋"/>
                <w:sz w:val="24"/>
                <w:highlight w:val="none"/>
              </w:rPr>
            </w:pPr>
            <w:r>
              <w:rPr>
                <w:rFonts w:hint="eastAsia" w:ascii="仿宋" w:hAnsi="仿宋" w:eastAsia="仿宋" w:cs="仿宋"/>
                <w:sz w:val="24"/>
                <w:highlight w:val="none"/>
              </w:rPr>
              <w:t>备注</w:t>
            </w:r>
          </w:p>
        </w:tc>
        <w:tc>
          <w:tcPr>
            <w:tcW w:w="3380" w:type="pct"/>
            <w:vAlign w:val="center"/>
          </w:tcPr>
          <w:p w14:paraId="1FC25316">
            <w:pPr>
              <w:spacing w:line="360" w:lineRule="auto"/>
              <w:ind w:firstLine="422" w:firstLineChars="175"/>
              <w:jc w:val="left"/>
              <w:rPr>
                <w:rFonts w:ascii="仿宋" w:hAnsi="仿宋" w:eastAsia="仿宋" w:cs="仿宋"/>
                <w:b/>
                <w:bCs/>
                <w:sz w:val="24"/>
                <w:szCs w:val="24"/>
                <w:highlight w:val="none"/>
              </w:rPr>
            </w:pPr>
          </w:p>
        </w:tc>
      </w:tr>
    </w:tbl>
    <w:p w14:paraId="2B9003B7">
      <w:pPr>
        <w:jc w:val="center"/>
        <w:rPr>
          <w:rFonts w:ascii="仿宋" w:hAnsi="仿宋" w:eastAsia="仿宋" w:cs="仿宋"/>
          <w:spacing w:val="-6"/>
          <w:sz w:val="52"/>
          <w:highlight w:val="none"/>
        </w:rPr>
        <w:sectPr>
          <w:footerReference r:id="rId15" w:type="default"/>
          <w:pgSz w:w="11906" w:h="16838"/>
          <w:pgMar w:top="1440" w:right="1028" w:bottom="1440" w:left="1418" w:header="851" w:footer="851" w:gutter="0"/>
          <w:cols w:space="425" w:num="1"/>
          <w:docGrid w:linePitch="312" w:charSpace="0"/>
        </w:sectPr>
      </w:pPr>
      <w:r>
        <w:rPr>
          <w:rFonts w:hint="eastAsia" w:ascii="仿宋" w:hAnsi="仿宋" w:eastAsia="仿宋" w:cs="仿宋"/>
          <w:spacing w:val="-6"/>
          <w:sz w:val="52"/>
          <w:highlight w:val="none"/>
        </w:rPr>
        <w:br w:type="textWrapping" w:clear="all"/>
      </w:r>
      <w:r>
        <w:rPr>
          <w:rFonts w:hint="eastAsia" w:ascii="仿宋" w:hAnsi="仿宋" w:eastAsia="仿宋" w:cs="仿宋"/>
          <w:spacing w:val="-6"/>
          <w:sz w:val="52"/>
          <w:highlight w:val="none"/>
        </w:rPr>
        <w:br w:type="textWrapping" w:clear="all"/>
      </w:r>
    </w:p>
    <w:p w14:paraId="50CB0DAC">
      <w:pPr>
        <w:pStyle w:val="5"/>
        <w:spacing w:before="0" w:after="0" w:line="360" w:lineRule="auto"/>
        <w:jc w:val="center"/>
        <w:rPr>
          <w:rFonts w:ascii="仿宋" w:hAnsi="仿宋" w:eastAsia="仿宋" w:cs="仿宋"/>
          <w:sz w:val="24"/>
          <w:szCs w:val="24"/>
          <w:highlight w:val="none"/>
        </w:rPr>
      </w:pPr>
      <w:bookmarkStart w:id="94" w:name="_Toc160126631"/>
      <w:bookmarkStart w:id="95" w:name="_Toc164674200"/>
      <w:r>
        <w:rPr>
          <w:rFonts w:hint="eastAsia" w:ascii="仿宋" w:hAnsi="仿宋" w:eastAsia="仿宋" w:cs="仿宋"/>
          <w:sz w:val="24"/>
          <w:szCs w:val="24"/>
          <w:highlight w:val="none"/>
        </w:rPr>
        <w:t>二、采购需求</w:t>
      </w:r>
      <w:bookmarkEnd w:id="94"/>
      <w:bookmarkEnd w:id="95"/>
    </w:p>
    <w:p w14:paraId="71040FFC">
      <w:pPr>
        <w:spacing w:line="460" w:lineRule="exact"/>
        <w:outlineLvl w:val="2"/>
        <w:rPr>
          <w:rFonts w:ascii="仿宋" w:hAnsi="仿宋" w:eastAsia="仿宋" w:cs="仿宋"/>
          <w:b/>
          <w:bCs/>
          <w:sz w:val="24"/>
          <w:szCs w:val="24"/>
          <w:highlight w:val="none"/>
        </w:rPr>
      </w:pPr>
      <w:bookmarkStart w:id="96" w:name="_Toc164674201"/>
      <w:r>
        <w:rPr>
          <w:rFonts w:hint="eastAsia" w:ascii="仿宋" w:hAnsi="仿宋" w:eastAsia="仿宋" w:cs="仿宋"/>
          <w:b/>
          <w:bCs/>
          <w:sz w:val="24"/>
          <w:szCs w:val="24"/>
          <w:highlight w:val="none"/>
        </w:rPr>
        <w:t>（一）技术需求</w:t>
      </w:r>
      <w:bookmarkEnd w:id="96"/>
    </w:p>
    <w:tbl>
      <w:tblPr>
        <w:tblStyle w:val="17"/>
        <w:tblW w:w="13594"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8"/>
        <w:gridCol w:w="963"/>
        <w:gridCol w:w="1430"/>
        <w:gridCol w:w="1060"/>
        <w:gridCol w:w="1060"/>
        <w:gridCol w:w="1060"/>
        <w:gridCol w:w="1060"/>
        <w:gridCol w:w="1380"/>
        <w:gridCol w:w="1111"/>
        <w:gridCol w:w="1391"/>
        <w:gridCol w:w="1391"/>
      </w:tblGrid>
      <w:tr w14:paraId="477AD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C268E">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bookmarkStart w:id="97" w:name="_Toc164674202"/>
            <w:r>
              <w:rPr>
                <w:rFonts w:hint="eastAsia" w:ascii="仿宋" w:hAnsi="仿宋" w:eastAsia="仿宋" w:cs="仿宋"/>
                <w:b/>
                <w:bCs/>
                <w:i w:val="0"/>
                <w:iCs w:val="0"/>
                <w:color w:val="000000"/>
                <w:kern w:val="0"/>
                <w:sz w:val="24"/>
                <w:szCs w:val="24"/>
                <w:highlight w:val="none"/>
                <w:u w:val="none"/>
                <w:lang w:val="en-US" w:eastAsia="zh-CN" w:bidi="ar"/>
              </w:rPr>
              <w:t>电梯类型</w:t>
            </w:r>
          </w:p>
        </w:tc>
        <w:tc>
          <w:tcPr>
            <w:tcW w:w="9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39A46E">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台</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数</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8D8553">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额定载</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重量Kg</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377C7">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井道尺寸mm</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D2244">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电梯门洞mm</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DF37AC">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速度</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m/s</w:t>
            </w:r>
          </w:p>
        </w:tc>
        <w:tc>
          <w:tcPr>
            <w:tcW w:w="11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E1F3AD">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停靠</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站数</w:t>
            </w:r>
          </w:p>
        </w:tc>
        <w:tc>
          <w:tcPr>
            <w:tcW w:w="13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C97E0C">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坑底深度</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mm</w:t>
            </w:r>
          </w:p>
        </w:tc>
        <w:tc>
          <w:tcPr>
            <w:tcW w:w="13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8AD030">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顶层高度</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mm</w:t>
            </w:r>
          </w:p>
        </w:tc>
      </w:tr>
      <w:tr w14:paraId="3F138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84D17">
            <w:pPr>
              <w:jc w:val="center"/>
              <w:rPr>
                <w:rFonts w:hint="eastAsia" w:ascii="仿宋" w:hAnsi="仿宋" w:eastAsia="仿宋" w:cs="仿宋"/>
                <w:b/>
                <w:bCs/>
                <w:i w:val="0"/>
                <w:iCs w:val="0"/>
                <w:color w:val="000000"/>
                <w:sz w:val="24"/>
                <w:szCs w:val="24"/>
                <w:highlight w:val="none"/>
                <w:u w:val="none"/>
              </w:rPr>
            </w:pPr>
          </w:p>
        </w:tc>
        <w:tc>
          <w:tcPr>
            <w:tcW w:w="9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4780D">
            <w:pPr>
              <w:jc w:val="center"/>
              <w:rPr>
                <w:rFonts w:hint="eastAsia" w:ascii="仿宋" w:hAnsi="仿宋" w:eastAsia="仿宋" w:cs="仿宋"/>
                <w:b/>
                <w:bCs/>
                <w:i w:val="0"/>
                <w:iCs w:val="0"/>
                <w:color w:val="000000"/>
                <w:sz w:val="24"/>
                <w:szCs w:val="24"/>
                <w:highlight w:val="none"/>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767B2">
            <w:pPr>
              <w:jc w:val="center"/>
              <w:rPr>
                <w:rFonts w:hint="eastAsia" w:ascii="仿宋" w:hAnsi="仿宋" w:eastAsia="仿宋" w:cs="仿宋"/>
                <w:b/>
                <w:bCs/>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F9DC">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CC20">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654B7">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6DC65">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高</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118E3">
            <w:pPr>
              <w:jc w:val="center"/>
              <w:rPr>
                <w:rFonts w:hint="eastAsia" w:ascii="仿宋" w:hAnsi="仿宋" w:eastAsia="仿宋" w:cs="仿宋"/>
                <w:b/>
                <w:bCs/>
                <w:i w:val="0"/>
                <w:iCs w:val="0"/>
                <w:color w:val="000000"/>
                <w:sz w:val="24"/>
                <w:szCs w:val="24"/>
                <w:highlight w:val="none"/>
                <w:u w:val="none"/>
              </w:rPr>
            </w:pPr>
          </w:p>
        </w:tc>
        <w:tc>
          <w:tcPr>
            <w:tcW w:w="11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7D07D">
            <w:pPr>
              <w:jc w:val="center"/>
              <w:rPr>
                <w:rFonts w:hint="eastAsia" w:ascii="仿宋" w:hAnsi="仿宋" w:eastAsia="仿宋" w:cs="仿宋"/>
                <w:b/>
                <w:bCs/>
                <w:i w:val="0"/>
                <w:iCs w:val="0"/>
                <w:color w:val="000000"/>
                <w:sz w:val="24"/>
                <w:szCs w:val="24"/>
                <w:highlight w:val="none"/>
                <w:u w:val="none"/>
              </w:rPr>
            </w:pPr>
          </w:p>
        </w:tc>
        <w:tc>
          <w:tcPr>
            <w:tcW w:w="13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FAD83">
            <w:pPr>
              <w:jc w:val="center"/>
              <w:rPr>
                <w:rFonts w:hint="eastAsia" w:ascii="仿宋" w:hAnsi="仿宋" w:eastAsia="仿宋" w:cs="仿宋"/>
                <w:b/>
                <w:bCs/>
                <w:i w:val="0"/>
                <w:iCs w:val="0"/>
                <w:color w:val="000000"/>
                <w:sz w:val="24"/>
                <w:szCs w:val="24"/>
                <w:highlight w:val="none"/>
                <w:u w:val="none"/>
              </w:rPr>
            </w:pPr>
          </w:p>
        </w:tc>
        <w:tc>
          <w:tcPr>
            <w:tcW w:w="13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12390">
            <w:pPr>
              <w:jc w:val="center"/>
              <w:rPr>
                <w:rFonts w:hint="eastAsia" w:ascii="仿宋" w:hAnsi="仿宋" w:eastAsia="仿宋" w:cs="仿宋"/>
                <w:b/>
                <w:bCs/>
                <w:i w:val="0"/>
                <w:iCs w:val="0"/>
                <w:color w:val="000000"/>
                <w:sz w:val="24"/>
                <w:szCs w:val="24"/>
                <w:highlight w:val="none"/>
                <w:u w:val="none"/>
              </w:rPr>
            </w:pPr>
          </w:p>
        </w:tc>
      </w:tr>
      <w:tr w14:paraId="72CB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C1A90">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客梯1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39257">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7A82D">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B4F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E9551">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C2A7B">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4450">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6247E">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 xml:space="preserve">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DCB19">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8F55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1A23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2900</w:t>
            </w:r>
          </w:p>
        </w:tc>
      </w:tr>
      <w:tr w14:paraId="598E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075E7">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客梯2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3C8AB">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E749E">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3AD62">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9BFF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1FB08">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DCDE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CC10">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 xml:space="preserve">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676DF">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BF8F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92D9C">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2900</w:t>
            </w:r>
          </w:p>
        </w:tc>
      </w:tr>
      <w:tr w14:paraId="407F5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8A8C5">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客梯3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BADF7">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C827D">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A5FBE">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F5C3B">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E9574">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6312E">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D8D58">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 xml:space="preserve">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E59F3">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FE43">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499A0">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2900</w:t>
            </w:r>
          </w:p>
        </w:tc>
      </w:tr>
    </w:tbl>
    <w:p w14:paraId="4B1FE897">
      <w:pPr>
        <w:numPr>
          <w:ilvl w:val="0"/>
          <w:numId w:val="0"/>
        </w:numPr>
        <w:spacing w:line="360" w:lineRule="exact"/>
        <w:jc w:val="left"/>
        <w:rPr>
          <w:rFonts w:ascii="仿宋" w:hAnsi="仿宋" w:eastAsia="仿宋"/>
          <w:sz w:val="24"/>
          <w:szCs w:val="24"/>
          <w:highlight w:val="none"/>
        </w:rPr>
      </w:pPr>
    </w:p>
    <w:p w14:paraId="03997F3F">
      <w:pPr>
        <w:spacing w:line="360" w:lineRule="exact"/>
        <w:ind w:firstLine="480" w:firstLineChars="200"/>
        <w:outlineLvl w:val="2"/>
        <w:rPr>
          <w:rFonts w:ascii="仿宋" w:hAnsi="仿宋" w:eastAsia="仿宋"/>
          <w:b/>
          <w:sz w:val="24"/>
          <w:highlight w:val="none"/>
        </w:rPr>
      </w:pPr>
      <w:r>
        <w:rPr>
          <w:rFonts w:hint="eastAsia" w:ascii="仿宋" w:hAnsi="仿宋" w:eastAsia="仿宋"/>
          <w:b/>
          <w:sz w:val="24"/>
          <w:highlight w:val="none"/>
        </w:rPr>
        <w:t>注：1.以上要求必须全部满足或优于，否则视为无效响应。</w:t>
      </w:r>
    </w:p>
    <w:p w14:paraId="729CCA33">
      <w:pPr>
        <w:pStyle w:val="16"/>
        <w:ind w:firstLine="210"/>
        <w:rPr>
          <w:highlight w:val="none"/>
        </w:rPr>
      </w:pPr>
    </w:p>
    <w:p w14:paraId="3D6027E0">
      <w:pPr>
        <w:pStyle w:val="16"/>
        <w:ind w:firstLine="210"/>
        <w:rPr>
          <w:highlight w:val="none"/>
        </w:rPr>
      </w:pPr>
    </w:p>
    <w:p w14:paraId="441C4DAE">
      <w:pPr>
        <w:spacing w:line="460" w:lineRule="exact"/>
        <w:outlineLvl w:val="2"/>
        <w:rPr>
          <w:rFonts w:ascii="仿宋" w:hAnsi="仿宋" w:eastAsia="仿宋" w:cs="仿宋"/>
          <w:b/>
          <w:bCs/>
          <w:sz w:val="24"/>
          <w:szCs w:val="24"/>
          <w:highlight w:val="none"/>
        </w:rPr>
        <w:sectPr>
          <w:footerReference r:id="rId16" w:type="default"/>
          <w:pgSz w:w="16838" w:h="11906" w:orient="landscape"/>
          <w:pgMar w:top="1797" w:right="1440" w:bottom="1797" w:left="1440" w:header="851" w:footer="992" w:gutter="0"/>
          <w:cols w:space="425" w:num="1"/>
          <w:docGrid w:type="linesAndChars" w:linePitch="312" w:charSpace="0"/>
        </w:sectPr>
      </w:pPr>
    </w:p>
    <w:p w14:paraId="2E5F695A">
      <w:pPr>
        <w:spacing w:line="460" w:lineRule="exact"/>
        <w:outlineLvl w:val="2"/>
        <w:rPr>
          <w:rFonts w:ascii="仿宋" w:hAnsi="仿宋" w:eastAsia="仿宋" w:cs="仿宋"/>
          <w:b/>
          <w:bCs/>
          <w:sz w:val="24"/>
          <w:szCs w:val="24"/>
          <w:highlight w:val="none"/>
        </w:rPr>
      </w:pPr>
      <w:r>
        <w:rPr>
          <w:rFonts w:hint="eastAsia" w:ascii="仿宋" w:hAnsi="仿宋" w:eastAsia="仿宋" w:cs="仿宋"/>
          <w:b/>
          <w:bCs/>
          <w:sz w:val="24"/>
          <w:szCs w:val="24"/>
          <w:highlight w:val="none"/>
        </w:rPr>
        <w:t>（二）商务需求</w:t>
      </w:r>
      <w:bookmarkEnd w:id="97"/>
    </w:p>
    <w:tbl>
      <w:tblPr>
        <w:tblStyle w:val="1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323"/>
        <w:gridCol w:w="6512"/>
      </w:tblGrid>
      <w:tr w14:paraId="15136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02" w:type="dxa"/>
            <w:vAlign w:val="center"/>
          </w:tcPr>
          <w:p w14:paraId="3CE136E6">
            <w:pPr>
              <w:spacing w:line="446" w:lineRule="exact"/>
              <w:rPr>
                <w:rFonts w:ascii="仿宋" w:hAnsi="仿宋" w:eastAsia="仿宋"/>
                <w:sz w:val="24"/>
                <w:szCs w:val="24"/>
                <w:highlight w:val="none"/>
              </w:rPr>
            </w:pPr>
            <w:r>
              <w:rPr>
                <w:rFonts w:hint="eastAsia" w:ascii="仿宋" w:hAnsi="仿宋" w:eastAsia="仿宋"/>
                <w:sz w:val="24"/>
                <w:szCs w:val="24"/>
                <w:highlight w:val="none"/>
              </w:rPr>
              <w:t>序号</w:t>
            </w:r>
          </w:p>
        </w:tc>
        <w:tc>
          <w:tcPr>
            <w:tcW w:w="1323" w:type="dxa"/>
            <w:vAlign w:val="center"/>
          </w:tcPr>
          <w:p w14:paraId="745B4528">
            <w:pPr>
              <w:spacing w:line="446" w:lineRule="exact"/>
              <w:rPr>
                <w:rFonts w:ascii="仿宋" w:hAnsi="仿宋" w:eastAsia="仿宋"/>
                <w:sz w:val="24"/>
                <w:szCs w:val="24"/>
                <w:highlight w:val="none"/>
              </w:rPr>
            </w:pPr>
            <w:r>
              <w:rPr>
                <w:rFonts w:hint="eastAsia" w:ascii="仿宋" w:hAnsi="仿宋" w:eastAsia="仿宋"/>
                <w:sz w:val="24"/>
                <w:szCs w:val="24"/>
                <w:highlight w:val="none"/>
              </w:rPr>
              <w:t>需求名称</w:t>
            </w:r>
          </w:p>
        </w:tc>
        <w:tc>
          <w:tcPr>
            <w:tcW w:w="6512" w:type="dxa"/>
            <w:vAlign w:val="center"/>
          </w:tcPr>
          <w:p w14:paraId="3967B81B">
            <w:pPr>
              <w:spacing w:line="446" w:lineRule="exact"/>
              <w:rPr>
                <w:rFonts w:ascii="仿宋" w:hAnsi="仿宋" w:eastAsia="仿宋"/>
                <w:sz w:val="24"/>
                <w:szCs w:val="24"/>
                <w:highlight w:val="none"/>
              </w:rPr>
            </w:pPr>
            <w:r>
              <w:rPr>
                <w:rFonts w:hint="eastAsia" w:ascii="仿宋" w:hAnsi="仿宋" w:eastAsia="仿宋"/>
                <w:sz w:val="24"/>
                <w:szCs w:val="24"/>
                <w:highlight w:val="none"/>
              </w:rPr>
              <w:t>需求说明</w:t>
            </w:r>
          </w:p>
        </w:tc>
      </w:tr>
      <w:tr w14:paraId="47A80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2" w:type="dxa"/>
            <w:vAlign w:val="center"/>
          </w:tcPr>
          <w:p w14:paraId="29BB8C25">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1</w:t>
            </w:r>
          </w:p>
        </w:tc>
        <w:tc>
          <w:tcPr>
            <w:tcW w:w="1323" w:type="dxa"/>
            <w:vAlign w:val="center"/>
          </w:tcPr>
          <w:p w14:paraId="417CE35B">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交货地点</w:t>
            </w:r>
          </w:p>
        </w:tc>
        <w:tc>
          <w:tcPr>
            <w:tcW w:w="6512" w:type="dxa"/>
            <w:vAlign w:val="center"/>
          </w:tcPr>
          <w:p w14:paraId="309E6918">
            <w:pPr>
              <w:spacing w:line="446" w:lineRule="exact"/>
              <w:rPr>
                <w:rFonts w:ascii="仿宋" w:hAnsi="仿宋" w:eastAsia="仿宋"/>
                <w:b/>
                <w:bCs/>
                <w:sz w:val="24"/>
                <w:szCs w:val="24"/>
                <w:highlight w:val="none"/>
              </w:rPr>
            </w:pPr>
            <w:r>
              <w:rPr>
                <w:rFonts w:hint="eastAsia" w:ascii="仿宋" w:hAnsi="仿宋" w:eastAsia="仿宋"/>
                <w:sz w:val="24"/>
                <w:szCs w:val="24"/>
                <w:highlight w:val="none"/>
              </w:rPr>
              <w:t>采购人指定地点。</w:t>
            </w:r>
          </w:p>
        </w:tc>
      </w:tr>
      <w:tr w14:paraId="7AE4E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8" w:hRule="atLeast"/>
          <w:jc w:val="center"/>
        </w:trPr>
        <w:tc>
          <w:tcPr>
            <w:tcW w:w="802" w:type="dxa"/>
            <w:vAlign w:val="center"/>
          </w:tcPr>
          <w:p w14:paraId="6FF4B1FD">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2</w:t>
            </w:r>
          </w:p>
        </w:tc>
        <w:tc>
          <w:tcPr>
            <w:tcW w:w="1323" w:type="dxa"/>
            <w:vAlign w:val="center"/>
          </w:tcPr>
          <w:p w14:paraId="3AB39162">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交货期</w:t>
            </w:r>
          </w:p>
        </w:tc>
        <w:tc>
          <w:tcPr>
            <w:tcW w:w="6512" w:type="dxa"/>
            <w:vAlign w:val="center"/>
          </w:tcPr>
          <w:p w14:paraId="01542BB5">
            <w:pPr>
              <w:spacing w:line="446" w:lineRule="exact"/>
              <w:rPr>
                <w:rFonts w:hint="eastAsia" w:ascii="仿宋" w:hAnsi="仿宋" w:eastAsia="仿宋"/>
                <w:sz w:val="24"/>
                <w:szCs w:val="24"/>
                <w:highlight w:val="none"/>
              </w:rPr>
            </w:pPr>
            <w:r>
              <w:rPr>
                <w:rFonts w:hint="eastAsia" w:ascii="仿宋" w:hAnsi="仿宋" w:eastAsia="仿宋"/>
                <w:sz w:val="24"/>
                <w:szCs w:val="24"/>
                <w:highlight w:val="none"/>
                <w:lang w:eastAsia="zh-CN"/>
              </w:rPr>
              <w:t>1.交</w:t>
            </w:r>
            <w:r>
              <w:rPr>
                <w:rFonts w:hint="eastAsia" w:ascii="仿宋" w:hAnsi="仿宋" w:eastAsia="仿宋"/>
                <w:sz w:val="24"/>
                <w:szCs w:val="24"/>
                <w:highlight w:val="none"/>
              </w:rPr>
              <w:t>货期：</w:t>
            </w:r>
            <w:r>
              <w:rPr>
                <w:rFonts w:hint="eastAsia" w:ascii="仿宋" w:hAnsi="仿宋" w:eastAsia="仿宋"/>
                <w:sz w:val="24"/>
                <w:szCs w:val="24"/>
                <w:highlight w:val="none"/>
                <w:lang w:eastAsia="zh-CN"/>
              </w:rPr>
              <w:t>合同签订之日起</w:t>
            </w:r>
            <w:r>
              <w:rPr>
                <w:rFonts w:hint="eastAsia" w:ascii="仿宋" w:hAnsi="仿宋" w:eastAsia="仿宋"/>
                <w:sz w:val="24"/>
                <w:szCs w:val="24"/>
                <w:highlight w:val="none"/>
                <w:lang w:val="en-US" w:eastAsia="zh-CN"/>
              </w:rPr>
              <w:t>15</w:t>
            </w:r>
            <w:r>
              <w:rPr>
                <w:rFonts w:hint="eastAsia" w:ascii="仿宋" w:hAnsi="仿宋" w:eastAsia="仿宋"/>
                <w:sz w:val="24"/>
                <w:szCs w:val="24"/>
                <w:highlight w:val="none"/>
                <w:lang w:eastAsia="zh-CN"/>
              </w:rPr>
              <w:t>天内完成供货并交付使用</w:t>
            </w:r>
            <w:r>
              <w:rPr>
                <w:rFonts w:hint="eastAsia" w:ascii="仿宋" w:hAnsi="仿宋" w:eastAsia="仿宋"/>
                <w:sz w:val="24"/>
                <w:szCs w:val="24"/>
                <w:highlight w:val="none"/>
              </w:rPr>
              <w:t>。</w:t>
            </w:r>
          </w:p>
          <w:p w14:paraId="3A99C9F5">
            <w:pPr>
              <w:spacing w:line="446" w:lineRule="exact"/>
              <w:rPr>
                <w:rFonts w:ascii="仿宋" w:hAnsi="仿宋" w:eastAsia="仿宋"/>
                <w:sz w:val="24"/>
                <w:szCs w:val="24"/>
                <w:highlight w:val="none"/>
              </w:rPr>
            </w:pPr>
            <w:r>
              <w:rPr>
                <w:rFonts w:hint="eastAsia" w:ascii="仿宋" w:hAnsi="仿宋" w:eastAsia="仿宋"/>
                <w:sz w:val="24"/>
                <w:szCs w:val="24"/>
                <w:highlight w:val="none"/>
              </w:rPr>
              <w:t>2.卖方所提供货物的质量、性能不符合合同规定标准的，采购人有权拒收;因此产生的一切经济损失由卖方承担，</w:t>
            </w:r>
          </w:p>
          <w:p w14:paraId="14BE2515">
            <w:pPr>
              <w:spacing w:line="446" w:lineRule="exact"/>
              <w:rPr>
                <w:rFonts w:ascii="仿宋" w:hAnsi="仿宋" w:eastAsia="仿宋"/>
                <w:sz w:val="24"/>
                <w:szCs w:val="24"/>
                <w:highlight w:val="none"/>
              </w:rPr>
            </w:pPr>
            <w:r>
              <w:rPr>
                <w:rFonts w:hint="eastAsia" w:ascii="仿宋" w:hAnsi="仿宋" w:eastAsia="仿宋"/>
                <w:sz w:val="24"/>
                <w:szCs w:val="24"/>
                <w:highlight w:val="none"/>
              </w:rPr>
              <w:t>3.如果卖方没有按照合同规定或采购人同意延长的时间交货，每延期一天，按延期批次货物金额的1%扣除货款作为违约金，但违约赔偿费的最高限额为延期批次货物金额的10%。如果卖方在达到最高限额后仍不能交付的或未经采购人同意延迟供货达到三次以上，采购人可单方考虑终止合同，因此产生的一切经济损失由卖方承担。</w:t>
            </w:r>
          </w:p>
          <w:p w14:paraId="03E50FBE">
            <w:pPr>
              <w:spacing w:line="446" w:lineRule="exact"/>
              <w:rPr>
                <w:rFonts w:ascii="仿宋" w:hAnsi="仿宋" w:eastAsia="仿宋"/>
                <w:sz w:val="24"/>
                <w:szCs w:val="24"/>
                <w:highlight w:val="none"/>
              </w:rPr>
            </w:pPr>
            <w:r>
              <w:rPr>
                <w:rFonts w:hint="eastAsia" w:ascii="仿宋" w:hAnsi="仿宋" w:eastAsia="仿宋"/>
                <w:sz w:val="24"/>
                <w:szCs w:val="24"/>
                <w:highlight w:val="none"/>
              </w:rPr>
              <w:t>4.卖方不能交付产品时，卖方向采购人偿付产品款总额10%的违约金。</w:t>
            </w:r>
          </w:p>
        </w:tc>
      </w:tr>
      <w:tr w14:paraId="15DE1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2" w:type="dxa"/>
            <w:vAlign w:val="center"/>
          </w:tcPr>
          <w:p w14:paraId="5C5EDBEB">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3</w:t>
            </w:r>
          </w:p>
        </w:tc>
        <w:tc>
          <w:tcPr>
            <w:tcW w:w="1323" w:type="dxa"/>
            <w:vAlign w:val="center"/>
          </w:tcPr>
          <w:p w14:paraId="287210E5">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付款方式</w:t>
            </w:r>
          </w:p>
        </w:tc>
        <w:tc>
          <w:tcPr>
            <w:tcW w:w="6512" w:type="dxa"/>
            <w:vAlign w:val="center"/>
          </w:tcPr>
          <w:p w14:paraId="72528C45">
            <w:pPr>
              <w:spacing w:line="446" w:lineRule="exact"/>
              <w:rPr>
                <w:rFonts w:ascii="仿宋" w:hAnsi="仿宋" w:eastAsia="仿宋"/>
                <w:b/>
                <w:bCs/>
                <w:sz w:val="24"/>
                <w:szCs w:val="24"/>
                <w:highlight w:val="none"/>
              </w:rPr>
            </w:pPr>
            <w:r>
              <w:rPr>
                <w:rFonts w:hint="eastAsia" w:ascii="仿宋" w:hAnsi="仿宋" w:eastAsia="仿宋"/>
                <w:sz w:val="24"/>
                <w:szCs w:val="24"/>
                <w:highlight w:val="none"/>
              </w:rPr>
              <w:t>1.合同签订后，全部货物到达采购人指定现场后支付至合同总价款30%，货物全部安装完毕并经初验收合格后支付至合同总价款的60%，全部设备运行三个月后最终验收合格后支付至合同总价款的95%，5%的余款在质保期后无质量问题后退还（无息）需开具与合同同等货物金额的13%增值税专用发票。</w:t>
            </w:r>
          </w:p>
        </w:tc>
      </w:tr>
      <w:tr w14:paraId="0700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2" w:type="dxa"/>
            <w:vAlign w:val="center"/>
          </w:tcPr>
          <w:p w14:paraId="0191D6B9">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4</w:t>
            </w:r>
          </w:p>
        </w:tc>
        <w:tc>
          <w:tcPr>
            <w:tcW w:w="1323" w:type="dxa"/>
            <w:vAlign w:val="center"/>
          </w:tcPr>
          <w:p w14:paraId="3E6A5984">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报价方式</w:t>
            </w:r>
          </w:p>
        </w:tc>
        <w:tc>
          <w:tcPr>
            <w:tcW w:w="6512" w:type="dxa"/>
            <w:vAlign w:val="center"/>
          </w:tcPr>
          <w:p w14:paraId="73672A95">
            <w:pPr>
              <w:spacing w:line="446" w:lineRule="exact"/>
              <w:rPr>
                <w:rFonts w:ascii="仿宋" w:hAnsi="仿宋" w:eastAsia="仿宋"/>
                <w:b/>
                <w:bCs/>
                <w:sz w:val="24"/>
                <w:szCs w:val="24"/>
                <w:highlight w:val="none"/>
              </w:rPr>
            </w:pPr>
            <w:r>
              <w:rPr>
                <w:rFonts w:hint="eastAsia" w:ascii="仿宋" w:hAnsi="仿宋" w:eastAsia="仿宋"/>
                <w:sz w:val="24"/>
                <w:szCs w:val="24"/>
                <w:highlight w:val="none"/>
              </w:rPr>
              <w:t>1.以人民币报价，报价包含完成本项目所需的货款、标准附件、备品备件、技术服务、包装、运输、装卸、检验、保险、培训、货物安装、验收、税费、售后服务、采购代理服务费等相关费用，均应列入货物总报价。</w:t>
            </w:r>
          </w:p>
        </w:tc>
      </w:tr>
      <w:tr w14:paraId="49B86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2" w:type="dxa"/>
            <w:vAlign w:val="center"/>
          </w:tcPr>
          <w:p w14:paraId="1A991927">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5</w:t>
            </w:r>
          </w:p>
        </w:tc>
        <w:tc>
          <w:tcPr>
            <w:tcW w:w="1323" w:type="dxa"/>
            <w:vAlign w:val="center"/>
          </w:tcPr>
          <w:p w14:paraId="353A6492">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项目验收</w:t>
            </w:r>
          </w:p>
        </w:tc>
        <w:tc>
          <w:tcPr>
            <w:tcW w:w="6512" w:type="dxa"/>
            <w:vAlign w:val="center"/>
          </w:tcPr>
          <w:p w14:paraId="0D4961AA">
            <w:pPr>
              <w:spacing w:line="446" w:lineRule="exact"/>
              <w:rPr>
                <w:rFonts w:ascii="仿宋" w:hAnsi="仿宋" w:eastAsia="仿宋"/>
                <w:sz w:val="24"/>
                <w:szCs w:val="24"/>
                <w:highlight w:val="none"/>
              </w:rPr>
            </w:pPr>
            <w:r>
              <w:rPr>
                <w:rFonts w:hint="eastAsia" w:ascii="仿宋" w:hAnsi="仿宋" w:eastAsia="仿宋"/>
                <w:sz w:val="24"/>
                <w:szCs w:val="24"/>
                <w:highlight w:val="none"/>
              </w:rPr>
              <w:t>1.货物运抵采购人指定地点后，由采购人组织相关人员和中标供应商在场的情况下开箱清点货物，共同对货物的数量、型号、外观、包装质量、技术资料等进行验收，双方确认后开始组织安装、调试。</w:t>
            </w:r>
          </w:p>
          <w:p w14:paraId="140CF82B">
            <w:pPr>
              <w:spacing w:line="446" w:lineRule="exact"/>
              <w:rPr>
                <w:rFonts w:ascii="仿宋" w:hAnsi="仿宋" w:eastAsia="仿宋"/>
                <w:sz w:val="24"/>
                <w:szCs w:val="24"/>
                <w:highlight w:val="none"/>
              </w:rPr>
            </w:pPr>
            <w:r>
              <w:rPr>
                <w:rFonts w:hint="eastAsia" w:ascii="仿宋" w:hAnsi="仿宋" w:eastAsia="仿宋"/>
                <w:sz w:val="24"/>
                <w:szCs w:val="24"/>
                <w:highlight w:val="none"/>
              </w:rPr>
              <w:t>2.交付验收标准：依次序对照适用标准为：①符合中华人民共和国国家安全质量标准、环保标准或行业标准；②符合招标文件和投标承诺中采购人认可的合理最佳配置、参数及各项要求；③货物来源国官方标准。</w:t>
            </w:r>
          </w:p>
          <w:p w14:paraId="2B7EC528">
            <w:pPr>
              <w:spacing w:line="446" w:lineRule="exact"/>
              <w:rPr>
                <w:rFonts w:ascii="仿宋" w:hAnsi="仿宋" w:eastAsia="仿宋"/>
                <w:sz w:val="24"/>
                <w:szCs w:val="24"/>
                <w:highlight w:val="none"/>
              </w:rPr>
            </w:pPr>
            <w:r>
              <w:rPr>
                <w:rFonts w:hint="eastAsia" w:ascii="仿宋" w:hAnsi="仿宋" w:eastAsia="仿宋"/>
                <w:sz w:val="24"/>
                <w:szCs w:val="24"/>
                <w:highlight w:val="none"/>
              </w:rPr>
              <w:t>3.中标供应商须为验收提供必需的设备、工具及其他便利条件。</w:t>
            </w:r>
          </w:p>
          <w:p w14:paraId="44525890">
            <w:pPr>
              <w:spacing w:line="446" w:lineRule="exact"/>
              <w:rPr>
                <w:rFonts w:ascii="仿宋" w:hAnsi="仿宋" w:eastAsia="仿宋"/>
                <w:sz w:val="24"/>
                <w:szCs w:val="24"/>
                <w:highlight w:val="none"/>
              </w:rPr>
            </w:pPr>
            <w:r>
              <w:rPr>
                <w:rFonts w:hint="eastAsia" w:ascii="仿宋" w:hAnsi="仿宋" w:eastAsia="仿宋"/>
                <w:sz w:val="24"/>
                <w:szCs w:val="24"/>
                <w:highlight w:val="none"/>
              </w:rPr>
              <w:t>4.在验收过程中发现数量不足或有质量、技术等问题，中标供应商应负责按照采购人的要求采取补足、更换或退货等措施妥善处理，并承担由此发生的一切费用和损失。</w:t>
            </w:r>
          </w:p>
          <w:p w14:paraId="31C0B9EE">
            <w:pPr>
              <w:spacing w:line="446" w:lineRule="exact"/>
              <w:rPr>
                <w:rFonts w:ascii="仿宋" w:hAnsi="仿宋" w:eastAsia="仿宋"/>
                <w:b/>
                <w:bCs/>
                <w:sz w:val="24"/>
                <w:szCs w:val="24"/>
                <w:highlight w:val="none"/>
              </w:rPr>
            </w:pPr>
            <w:r>
              <w:rPr>
                <w:rFonts w:hint="eastAsia" w:ascii="仿宋" w:hAnsi="仿宋" w:eastAsia="仿宋"/>
                <w:sz w:val="24"/>
                <w:szCs w:val="24"/>
                <w:highlight w:val="none"/>
              </w:rPr>
              <w:t>5.验收所产生的一切费用由中标供应商承担。</w:t>
            </w:r>
          </w:p>
        </w:tc>
      </w:tr>
      <w:tr w14:paraId="21592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2" w:type="dxa"/>
            <w:vAlign w:val="center"/>
          </w:tcPr>
          <w:p w14:paraId="10DF5C82">
            <w:pPr>
              <w:spacing w:line="446" w:lineRule="exact"/>
              <w:jc w:val="center"/>
              <w:rPr>
                <w:rFonts w:ascii="仿宋" w:hAnsi="仿宋" w:eastAsia="仿宋"/>
                <w:sz w:val="24"/>
                <w:szCs w:val="24"/>
                <w:highlight w:val="none"/>
              </w:rPr>
            </w:pPr>
            <w:r>
              <w:rPr>
                <w:rFonts w:hint="eastAsia" w:ascii="仿宋" w:hAnsi="仿宋" w:eastAsia="仿宋"/>
                <w:sz w:val="24"/>
                <w:szCs w:val="24"/>
                <w:highlight w:val="none"/>
              </w:rPr>
              <w:t>6</w:t>
            </w:r>
          </w:p>
        </w:tc>
        <w:tc>
          <w:tcPr>
            <w:tcW w:w="1323" w:type="dxa"/>
            <w:vAlign w:val="center"/>
          </w:tcPr>
          <w:p w14:paraId="39671700">
            <w:pPr>
              <w:spacing w:line="446" w:lineRule="exact"/>
              <w:rPr>
                <w:rFonts w:ascii="仿宋" w:hAnsi="仿宋" w:eastAsia="仿宋"/>
                <w:sz w:val="24"/>
                <w:szCs w:val="24"/>
                <w:highlight w:val="none"/>
              </w:rPr>
            </w:pPr>
            <w:r>
              <w:rPr>
                <w:rFonts w:hint="eastAsia" w:ascii="仿宋" w:hAnsi="仿宋" w:eastAsia="仿宋"/>
                <w:sz w:val="24"/>
                <w:szCs w:val="24"/>
                <w:highlight w:val="none"/>
              </w:rPr>
              <w:t>货物要求</w:t>
            </w:r>
          </w:p>
        </w:tc>
        <w:tc>
          <w:tcPr>
            <w:tcW w:w="6512" w:type="dxa"/>
            <w:vAlign w:val="center"/>
          </w:tcPr>
          <w:p w14:paraId="32E4D92D">
            <w:pPr>
              <w:spacing w:line="446" w:lineRule="exact"/>
              <w:ind w:left="2" w:leftChars="1"/>
              <w:rPr>
                <w:rFonts w:ascii="仿宋" w:hAnsi="仿宋" w:eastAsia="仿宋"/>
                <w:sz w:val="24"/>
                <w:szCs w:val="24"/>
                <w:highlight w:val="none"/>
              </w:rPr>
            </w:pPr>
            <w:r>
              <w:rPr>
                <w:rFonts w:hint="eastAsia" w:ascii="仿宋" w:hAnsi="仿宋" w:eastAsia="仿宋"/>
                <w:sz w:val="24"/>
                <w:szCs w:val="24"/>
                <w:highlight w:val="none"/>
              </w:rPr>
              <w:t>1.中标供应商必须保证所提供的货物符合本合同规定的质量、规格。</w:t>
            </w:r>
          </w:p>
          <w:p w14:paraId="4EC847EC">
            <w:pPr>
              <w:spacing w:line="446" w:lineRule="exact"/>
              <w:ind w:left="2" w:leftChars="1"/>
              <w:rPr>
                <w:rFonts w:ascii="仿宋" w:hAnsi="仿宋" w:eastAsia="仿宋"/>
                <w:sz w:val="24"/>
                <w:szCs w:val="24"/>
                <w:highlight w:val="none"/>
              </w:rPr>
            </w:pPr>
            <w:r>
              <w:rPr>
                <w:rFonts w:hint="eastAsia" w:ascii="仿宋" w:hAnsi="仿宋" w:eastAsia="仿宋"/>
                <w:sz w:val="24"/>
                <w:szCs w:val="24"/>
                <w:highlight w:val="none"/>
              </w:rPr>
              <w:t>2.中标供应商所提供的货物必须为原厂原装、全新产品，无污染、表面无划损、无任何缺陷隐患，符合国家有关质量标准的。</w:t>
            </w:r>
          </w:p>
          <w:p w14:paraId="7A1C6DFD">
            <w:pPr>
              <w:spacing w:line="446" w:lineRule="exact"/>
              <w:ind w:left="2" w:leftChars="1"/>
              <w:rPr>
                <w:rFonts w:ascii="仿宋" w:hAnsi="仿宋" w:eastAsia="仿宋"/>
                <w:sz w:val="24"/>
                <w:szCs w:val="24"/>
                <w:highlight w:val="none"/>
              </w:rPr>
            </w:pPr>
            <w:r>
              <w:rPr>
                <w:rFonts w:hint="eastAsia" w:ascii="仿宋" w:hAnsi="仿宋" w:eastAsia="仿宋"/>
                <w:sz w:val="24"/>
                <w:szCs w:val="24"/>
                <w:highlight w:val="none"/>
              </w:rPr>
              <w:t>3.中标供应商应保证采购人在使用该货物或其任何一部分时不受第三方提出侵犯专利权、商标权、著作权、工业设计权或其它知识产权起诉的指控。如果任何第三方提出侵权指控或赔偿要求，乙方须与第三方交涉并承担可能发生的一切损失、费用和法律责任。</w:t>
            </w:r>
          </w:p>
        </w:tc>
      </w:tr>
      <w:tr w14:paraId="1CFD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2" w:type="dxa"/>
            <w:vAlign w:val="center"/>
          </w:tcPr>
          <w:p w14:paraId="74A55D65">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7</w:t>
            </w:r>
          </w:p>
        </w:tc>
        <w:tc>
          <w:tcPr>
            <w:tcW w:w="1323" w:type="dxa"/>
            <w:vAlign w:val="center"/>
          </w:tcPr>
          <w:p w14:paraId="2EBCAD59">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包装要求</w:t>
            </w:r>
          </w:p>
        </w:tc>
        <w:tc>
          <w:tcPr>
            <w:tcW w:w="6512" w:type="dxa"/>
            <w:vAlign w:val="center"/>
          </w:tcPr>
          <w:p w14:paraId="37E85195">
            <w:pPr>
              <w:spacing w:line="446" w:lineRule="exact"/>
              <w:rPr>
                <w:rFonts w:ascii="仿宋" w:hAnsi="仿宋" w:eastAsia="仿宋"/>
                <w:b/>
                <w:bCs/>
                <w:sz w:val="24"/>
                <w:szCs w:val="24"/>
                <w:highlight w:val="none"/>
              </w:rPr>
            </w:pPr>
            <w:r>
              <w:rPr>
                <w:rFonts w:hint="eastAsia" w:ascii="仿宋" w:hAnsi="仿宋" w:eastAsia="仿宋"/>
                <w:sz w:val="24"/>
                <w:szCs w:val="24"/>
                <w:highlight w:val="none"/>
              </w:rPr>
              <w:t>1.除合同另有规定外，卖方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卖方承担。</w:t>
            </w:r>
          </w:p>
          <w:p w14:paraId="06D388B7">
            <w:pPr>
              <w:spacing w:line="446" w:lineRule="exact"/>
              <w:rPr>
                <w:rFonts w:ascii="仿宋" w:hAnsi="仿宋" w:eastAsia="仿宋"/>
                <w:b/>
                <w:bCs/>
                <w:sz w:val="24"/>
                <w:szCs w:val="24"/>
                <w:highlight w:val="none"/>
              </w:rPr>
            </w:pPr>
            <w:r>
              <w:rPr>
                <w:rFonts w:hint="eastAsia" w:ascii="仿宋" w:hAnsi="仿宋" w:eastAsia="仿宋"/>
                <w:sz w:val="24"/>
                <w:szCs w:val="24"/>
                <w:highlight w:val="none"/>
              </w:rPr>
              <w:t>2.卖方每提供一批货物应相应提供完整的技术资料(质量合格证明、出厂报告等)。</w:t>
            </w:r>
          </w:p>
        </w:tc>
      </w:tr>
      <w:tr w14:paraId="3FE46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2" w:type="dxa"/>
            <w:vAlign w:val="center"/>
          </w:tcPr>
          <w:p w14:paraId="02E4C8EB">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8</w:t>
            </w:r>
          </w:p>
        </w:tc>
        <w:tc>
          <w:tcPr>
            <w:tcW w:w="1323" w:type="dxa"/>
            <w:vAlign w:val="center"/>
          </w:tcPr>
          <w:p w14:paraId="4208D93D">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运输及保管、保险</w:t>
            </w:r>
          </w:p>
        </w:tc>
        <w:tc>
          <w:tcPr>
            <w:tcW w:w="6512" w:type="dxa"/>
            <w:vAlign w:val="center"/>
          </w:tcPr>
          <w:p w14:paraId="2150C2F7">
            <w:pPr>
              <w:spacing w:line="446" w:lineRule="exact"/>
              <w:rPr>
                <w:rFonts w:ascii="仿宋" w:hAnsi="仿宋" w:eastAsia="仿宋"/>
                <w:b/>
                <w:bCs/>
                <w:sz w:val="24"/>
                <w:szCs w:val="24"/>
                <w:highlight w:val="none"/>
              </w:rPr>
            </w:pPr>
            <w:r>
              <w:rPr>
                <w:rFonts w:hint="eastAsia" w:ascii="仿宋" w:hAnsi="仿宋" w:eastAsia="仿宋"/>
                <w:sz w:val="24"/>
                <w:szCs w:val="24"/>
                <w:highlight w:val="none"/>
              </w:rPr>
              <w:t>1.成交供应商根据各产品不同的交货地点，将货物送到现场过程中的全部运输;包括装卸车、货物现场的搬运等;</w:t>
            </w:r>
          </w:p>
          <w:p w14:paraId="21A4DCA6">
            <w:pPr>
              <w:spacing w:line="446" w:lineRule="exact"/>
              <w:rPr>
                <w:rFonts w:ascii="仿宋" w:hAnsi="仿宋" w:eastAsia="仿宋"/>
                <w:b/>
                <w:bCs/>
                <w:sz w:val="24"/>
                <w:szCs w:val="24"/>
                <w:highlight w:val="none"/>
              </w:rPr>
            </w:pPr>
            <w:r>
              <w:rPr>
                <w:rFonts w:hint="eastAsia" w:ascii="仿宋" w:hAnsi="仿宋" w:eastAsia="仿宋"/>
                <w:sz w:val="24"/>
                <w:szCs w:val="24"/>
                <w:highlight w:val="none"/>
              </w:rPr>
              <w:t>2.货物在验收合格前的保险由成交供应商负责，其拟派的现场服务人员人身意外保险由成交供应商负责，出现任何意外均由成交供应商负责。</w:t>
            </w:r>
          </w:p>
        </w:tc>
      </w:tr>
      <w:tr w14:paraId="06109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2" w:type="dxa"/>
            <w:vAlign w:val="center"/>
          </w:tcPr>
          <w:p w14:paraId="3DFF9C11">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9</w:t>
            </w:r>
          </w:p>
        </w:tc>
        <w:tc>
          <w:tcPr>
            <w:tcW w:w="1323" w:type="dxa"/>
            <w:vAlign w:val="center"/>
          </w:tcPr>
          <w:p w14:paraId="4C46B7BD">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质保期及售后服务</w:t>
            </w:r>
          </w:p>
        </w:tc>
        <w:tc>
          <w:tcPr>
            <w:tcW w:w="6512" w:type="dxa"/>
            <w:vAlign w:val="center"/>
          </w:tcPr>
          <w:p w14:paraId="0C159E27">
            <w:pPr>
              <w:spacing w:line="446" w:lineRule="exact"/>
              <w:rPr>
                <w:rFonts w:ascii="仿宋" w:hAnsi="仿宋" w:eastAsia="仿宋"/>
                <w:sz w:val="24"/>
                <w:szCs w:val="24"/>
                <w:highlight w:val="none"/>
              </w:rPr>
            </w:pPr>
            <w:r>
              <w:rPr>
                <w:rFonts w:hint="eastAsia" w:ascii="仿宋" w:hAnsi="仿宋" w:eastAsia="仿宋"/>
                <w:sz w:val="24"/>
                <w:szCs w:val="24"/>
                <w:highlight w:val="none"/>
              </w:rPr>
              <w:t>1.合同项下标的物的设备质量保质期为最终验收合格之日3年。</w:t>
            </w:r>
          </w:p>
          <w:p w14:paraId="449E83C3">
            <w:pPr>
              <w:spacing w:line="446" w:lineRule="exact"/>
              <w:rPr>
                <w:rFonts w:ascii="仿宋" w:hAnsi="仿宋" w:eastAsia="仿宋"/>
                <w:sz w:val="24"/>
                <w:szCs w:val="24"/>
                <w:highlight w:val="none"/>
              </w:rPr>
            </w:pPr>
            <w:r>
              <w:rPr>
                <w:rFonts w:hint="eastAsia" w:ascii="仿宋" w:hAnsi="仿宋" w:eastAsia="仿宋"/>
                <w:sz w:val="24"/>
                <w:szCs w:val="24"/>
                <w:highlight w:val="none"/>
              </w:rPr>
              <w:t>2.在质保期内，提供技术服务热线（每周7×24小时），负责解答采购人在货物使用中遇到的问题，并及时提出解决问题的建议和方法。接到采购人信息，中标供应商必须在</w:t>
            </w:r>
            <w:r>
              <w:rPr>
                <w:rFonts w:hint="eastAsia" w:ascii="仿宋" w:hAnsi="仿宋" w:eastAsia="仿宋"/>
                <w:sz w:val="24"/>
                <w:szCs w:val="24"/>
                <w:highlight w:val="none"/>
                <w:lang w:val="en-US" w:eastAsia="zh-CN"/>
              </w:rPr>
              <w:t>2</w:t>
            </w:r>
            <w:r>
              <w:rPr>
                <w:rFonts w:hint="eastAsia" w:ascii="仿宋" w:hAnsi="仿宋" w:eastAsia="仿宋"/>
                <w:sz w:val="24"/>
                <w:szCs w:val="24"/>
                <w:highlight w:val="none"/>
              </w:rPr>
              <w:t>小时内对采购人所提出的要求做出实质性反应，提供应急策略；24小时内到达现场并解决问题（节假日照常服务）；如到达现场48小时仍不能解决问题，应在5天内提供同类替代产品，保证采购人正常使用，使用同类替代产品采购人无需另行支付费用。如不能提供替代产品，由于问题所造成的全部损失由中标供应商承担。</w:t>
            </w:r>
          </w:p>
          <w:p w14:paraId="70860204">
            <w:pPr>
              <w:spacing w:line="446" w:lineRule="exact"/>
              <w:rPr>
                <w:rFonts w:ascii="仿宋" w:hAnsi="仿宋" w:eastAsia="仿宋"/>
                <w:b/>
                <w:bCs/>
                <w:sz w:val="24"/>
                <w:szCs w:val="24"/>
                <w:highlight w:val="none"/>
              </w:rPr>
            </w:pPr>
            <w:r>
              <w:rPr>
                <w:rFonts w:hint="eastAsia" w:ascii="仿宋" w:hAnsi="仿宋" w:eastAsia="仿宋"/>
                <w:sz w:val="24"/>
                <w:szCs w:val="24"/>
                <w:highlight w:val="none"/>
              </w:rPr>
              <w:t>3.在质保期期间，中标供应商负责免费上门维修，免费更换有缺陷的零部件及服务；质保期后货物使用的维修服务，采购人只支付材料成本费，提供终身维护服务。并且确保设备的配件供应。因产品制造质量不良而产生损坏或不能正常工作，情节严重的同意免费更换。</w:t>
            </w:r>
          </w:p>
        </w:tc>
      </w:tr>
      <w:tr w14:paraId="57E3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802" w:type="dxa"/>
            <w:vAlign w:val="center"/>
          </w:tcPr>
          <w:p w14:paraId="58C62F0C">
            <w:pPr>
              <w:spacing w:line="446" w:lineRule="exact"/>
              <w:jc w:val="center"/>
              <w:rPr>
                <w:rFonts w:ascii="仿宋" w:hAnsi="仿宋" w:eastAsia="仿宋"/>
                <w:b/>
                <w:bCs/>
                <w:sz w:val="24"/>
                <w:szCs w:val="24"/>
                <w:highlight w:val="none"/>
              </w:rPr>
            </w:pPr>
            <w:r>
              <w:rPr>
                <w:rFonts w:hint="eastAsia" w:ascii="仿宋" w:hAnsi="仿宋" w:eastAsia="仿宋"/>
                <w:sz w:val="24"/>
                <w:szCs w:val="24"/>
                <w:highlight w:val="none"/>
              </w:rPr>
              <w:t>10</w:t>
            </w:r>
          </w:p>
        </w:tc>
        <w:tc>
          <w:tcPr>
            <w:tcW w:w="1323" w:type="dxa"/>
            <w:vAlign w:val="center"/>
          </w:tcPr>
          <w:p w14:paraId="6988AB2E">
            <w:pPr>
              <w:spacing w:line="446" w:lineRule="exact"/>
              <w:jc w:val="center"/>
              <w:rPr>
                <w:rFonts w:ascii="仿宋" w:hAnsi="仿宋" w:eastAsia="仿宋"/>
                <w:sz w:val="24"/>
                <w:szCs w:val="24"/>
                <w:highlight w:val="none"/>
              </w:rPr>
            </w:pPr>
            <w:r>
              <w:rPr>
                <w:rFonts w:hint="eastAsia" w:ascii="仿宋" w:hAnsi="仿宋" w:eastAsia="仿宋"/>
                <w:sz w:val="24"/>
                <w:szCs w:val="24"/>
                <w:highlight w:val="none"/>
              </w:rPr>
              <w:t>其  他</w:t>
            </w:r>
          </w:p>
        </w:tc>
        <w:tc>
          <w:tcPr>
            <w:tcW w:w="6512" w:type="dxa"/>
          </w:tcPr>
          <w:p w14:paraId="10E296D2">
            <w:pPr>
              <w:spacing w:line="446" w:lineRule="exact"/>
              <w:rPr>
                <w:rFonts w:ascii="仿宋" w:hAnsi="仿宋" w:eastAsia="仿宋"/>
                <w:sz w:val="24"/>
                <w:szCs w:val="24"/>
                <w:highlight w:val="none"/>
              </w:rPr>
            </w:pPr>
            <w:r>
              <w:rPr>
                <w:rFonts w:hint="eastAsia" w:ascii="仿宋" w:hAnsi="仿宋" w:eastAsia="仿宋"/>
                <w:sz w:val="24"/>
                <w:szCs w:val="24"/>
                <w:highlight w:val="none"/>
              </w:rPr>
              <w:t>1.中标单位派出工作员工在工作期间内发生意外等一切事故，由中标单位负责，与采购单位无关。</w:t>
            </w:r>
          </w:p>
        </w:tc>
      </w:tr>
    </w:tbl>
    <w:p w14:paraId="41DEAFA7">
      <w:pPr>
        <w:keepNext/>
        <w:keepLines/>
        <w:spacing w:line="460" w:lineRule="exact"/>
        <w:rPr>
          <w:rFonts w:ascii="仿宋" w:hAnsi="仿宋" w:eastAsia="仿宋" w:cs="仿宋"/>
          <w:sz w:val="24"/>
          <w:szCs w:val="24"/>
          <w:highlight w:val="none"/>
        </w:rPr>
      </w:pPr>
    </w:p>
    <w:p w14:paraId="731B361C">
      <w:pPr>
        <w:widowControl/>
        <w:spacing w:line="300" w:lineRule="exact"/>
        <w:ind w:right="-105" w:rightChars="-50"/>
        <w:jc w:val="left"/>
        <w:rPr>
          <w:rFonts w:ascii="仿宋" w:hAnsi="仿宋" w:eastAsia="仿宋"/>
          <w:b/>
          <w:sz w:val="24"/>
          <w:highlight w:val="none"/>
        </w:rPr>
      </w:pPr>
      <w:r>
        <w:rPr>
          <w:rFonts w:hint="eastAsia" w:ascii="仿宋" w:hAnsi="仿宋" w:eastAsia="仿宋" w:cs="宋体"/>
          <w:b/>
          <w:kern w:val="0"/>
          <w:sz w:val="24"/>
          <w:highlight w:val="none"/>
        </w:rPr>
        <w:t>备注：以上商务条款投标人必须完全响应，不得负偏离，否则作无效投标处理。</w:t>
      </w:r>
    </w:p>
    <w:p w14:paraId="2BF9422F">
      <w:pPr>
        <w:pStyle w:val="45"/>
        <w:rPr>
          <w:rFonts w:hint="default"/>
          <w:highlight w:val="none"/>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21092">
    <w:pPr>
      <w:framePr w:wrap="around" w:vAnchor="text" w:hAnchor="margin" w:xAlign="center" w:y="1"/>
      <w:tabs>
        <w:tab w:val="center" w:pos="4153"/>
        <w:tab w:val="right" w:pos="8306"/>
      </w:tabs>
    </w:pPr>
    <w:r>
      <w:fldChar w:fldCharType="begin"/>
    </w:r>
    <w:r>
      <w:instrText xml:space="preserve">PAGE  </w:instrText>
    </w:r>
    <w:r>
      <w:fldChar w:fldCharType="separate"/>
    </w:r>
    <w:r>
      <w:t>1</w:t>
    </w:r>
    <w:r>
      <w:fldChar w:fldCharType="end"/>
    </w:r>
  </w:p>
  <w:p w14:paraId="04E41FF1">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3C6D6">
    <w:pPr>
      <w:framePr w:wrap="around" w:vAnchor="text" w:hAnchor="margin" w:xAlign="center" w:y="1"/>
      <w:tabs>
        <w:tab w:val="center" w:pos="4153"/>
        <w:tab w:val="right" w:pos="8306"/>
      </w:tabs>
    </w:pPr>
    <w:r>
      <w:fldChar w:fldCharType="begin"/>
    </w:r>
    <w:r>
      <w:instrText xml:space="preserve">PAGE  </w:instrText>
    </w:r>
    <w:r>
      <w:fldChar w:fldCharType="end"/>
    </w:r>
  </w:p>
  <w:p w14:paraId="6D2F98E5">
    <w:pPr>
      <w:tabs>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7CCF5">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E48C4">
    <w:pPr>
      <w:framePr w:wrap="around" w:vAnchor="text" w:hAnchor="margin" w:xAlign="center" w:y="1"/>
      <w:tabs>
        <w:tab w:val="center" w:pos="4153"/>
        <w:tab w:val="right" w:pos="8306"/>
      </w:tabs>
    </w:pPr>
    <w:r>
      <w:fldChar w:fldCharType="begin"/>
    </w:r>
    <w:r>
      <w:instrText xml:space="preserve">PAGE  </w:instrText>
    </w:r>
    <w:r>
      <w:fldChar w:fldCharType="separate"/>
    </w:r>
    <w:r>
      <w:t>21</w:t>
    </w:r>
    <w:r>
      <w:fldChar w:fldCharType="end"/>
    </w:r>
  </w:p>
  <w:p w14:paraId="6894D5D0">
    <w:pPr>
      <w:tabs>
        <w:tab w:val="center" w:pos="4153"/>
        <w:tab w:val="right"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5F215">
    <w:pPr>
      <w:framePr w:wrap="around" w:vAnchor="text" w:hAnchor="margin" w:xAlign="center" w:y="1"/>
      <w:tabs>
        <w:tab w:val="center" w:pos="4153"/>
        <w:tab w:val="right" w:pos="8306"/>
      </w:tabs>
    </w:pPr>
    <w:r>
      <w:fldChar w:fldCharType="begin"/>
    </w:r>
    <w:r>
      <w:instrText xml:space="preserve">PAGE  </w:instrText>
    </w:r>
    <w:r>
      <w:fldChar w:fldCharType="separate"/>
    </w:r>
    <w:r>
      <w:t>23</w:t>
    </w:r>
    <w:r>
      <w:fldChar w:fldCharType="end"/>
    </w:r>
  </w:p>
  <w:p w14:paraId="1A8DD85B">
    <w:pPr>
      <w:tabs>
        <w:tab w:val="center" w:pos="4153"/>
        <w:tab w:val="right"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C2C20">
    <w:pPr>
      <w:framePr w:wrap="around" w:vAnchor="text" w:hAnchor="margin" w:xAlign="center" w:y="1"/>
      <w:tabs>
        <w:tab w:val="center" w:pos="4153"/>
        <w:tab w:val="right" w:pos="8306"/>
      </w:tabs>
    </w:pPr>
    <w:r>
      <w:fldChar w:fldCharType="begin"/>
    </w:r>
    <w:r>
      <w:instrText xml:space="preserve">PAGE  </w:instrText>
    </w:r>
    <w:r>
      <w:fldChar w:fldCharType="end"/>
    </w:r>
  </w:p>
  <w:p w14:paraId="78D17D6B">
    <w:pPr>
      <w:tabs>
        <w:tab w:val="center" w:pos="4153"/>
        <w:tab w:val="right" w:pos="8306"/>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5B65B">
    <w:pPr>
      <w:framePr w:wrap="around" w:vAnchor="text" w:hAnchor="margin" w:xAlign="center" w:y="1"/>
      <w:tabs>
        <w:tab w:val="center" w:pos="4153"/>
        <w:tab w:val="right" w:pos="8306"/>
      </w:tabs>
    </w:pPr>
    <w:r>
      <w:fldChar w:fldCharType="begin"/>
    </w:r>
    <w:r>
      <w:instrText xml:space="preserve">PAGE  </w:instrText>
    </w:r>
    <w:r>
      <w:fldChar w:fldCharType="separate"/>
    </w:r>
    <w:r>
      <w:t>27</w:t>
    </w:r>
    <w:r>
      <w:fldChar w:fldCharType="end"/>
    </w:r>
  </w:p>
  <w:p w14:paraId="7147E329">
    <w:pPr>
      <w:tabs>
        <w:tab w:val="center" w:pos="4153"/>
        <w:tab w:val="right" w:pos="8306"/>
      </w:tabs>
      <w:ind w:right="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07250">
    <w:pPr>
      <w:framePr w:wrap="around" w:vAnchor="text" w:hAnchor="margin" w:xAlign="center" w:y="1"/>
      <w:tabs>
        <w:tab w:val="center" w:pos="4153"/>
        <w:tab w:val="right" w:pos="8306"/>
      </w:tabs>
    </w:pPr>
    <w:r>
      <w:fldChar w:fldCharType="begin"/>
    </w:r>
    <w:r>
      <w:instrText xml:space="preserve">PAGE  </w:instrText>
    </w:r>
    <w:r>
      <w:fldChar w:fldCharType="end"/>
    </w:r>
  </w:p>
  <w:p w14:paraId="2CB6A7E7">
    <w:pPr>
      <w:tabs>
        <w:tab w:val="center" w:pos="4153"/>
        <w:tab w:val="right" w:pos="8306"/>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E50C9">
    <w:pPr>
      <w:framePr w:wrap="around" w:vAnchor="text" w:hAnchor="margin" w:xAlign="center" w:y="1"/>
      <w:tabs>
        <w:tab w:val="center" w:pos="4153"/>
        <w:tab w:val="right" w:pos="8306"/>
      </w:tabs>
    </w:pPr>
    <w:r>
      <w:fldChar w:fldCharType="begin"/>
    </w:r>
    <w:r>
      <w:instrText xml:space="preserve">PAGE  </w:instrText>
    </w:r>
    <w:r>
      <w:fldChar w:fldCharType="separate"/>
    </w:r>
    <w:r>
      <w:t>31</w:t>
    </w:r>
    <w:r>
      <w:fldChar w:fldCharType="end"/>
    </w:r>
  </w:p>
  <w:p w14:paraId="75E446AE">
    <w:pPr>
      <w:tabs>
        <w:tab w:val="center" w:pos="4153"/>
        <w:tab w:val="right" w:pos="8306"/>
      </w:tabs>
      <w:ind w:right="360"/>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FF1C">
    <w:pPr>
      <w:framePr w:wrap="around" w:vAnchor="text" w:hAnchor="margin" w:xAlign="center" w:y="1"/>
      <w:tabs>
        <w:tab w:val="center" w:pos="4153"/>
        <w:tab w:val="right" w:pos="8306"/>
      </w:tabs>
    </w:pPr>
    <w:r>
      <w:fldChar w:fldCharType="begin"/>
    </w:r>
    <w:r>
      <w:instrText xml:space="preserve">PAGE  </w:instrText>
    </w:r>
    <w:r>
      <w:fldChar w:fldCharType="end"/>
    </w:r>
  </w:p>
  <w:p w14:paraId="68F032E6">
    <w:pPr>
      <w:tabs>
        <w:tab w:val="center" w:pos="4153"/>
        <w:tab w:val="right" w:pos="8306"/>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C0195">
    <w:pPr>
      <w:framePr w:wrap="around" w:vAnchor="text" w:hAnchor="margin" w:xAlign="center" w:y="1"/>
      <w:tabs>
        <w:tab w:val="center" w:pos="4153"/>
        <w:tab w:val="right" w:pos="8306"/>
      </w:tabs>
    </w:pPr>
    <w:r>
      <w:fldChar w:fldCharType="begin"/>
    </w:r>
    <w:r>
      <w:instrText xml:space="preserve">PAGE  </w:instrText>
    </w:r>
    <w:r>
      <w:fldChar w:fldCharType="separate"/>
    </w:r>
    <w:r>
      <w:t>33</w:t>
    </w:r>
    <w:r>
      <w:fldChar w:fldCharType="end"/>
    </w:r>
  </w:p>
  <w:p w14:paraId="077E7950">
    <w:pPr>
      <w:tabs>
        <w:tab w:val="center" w:pos="4153"/>
        <w:tab w:val="right" w:pos="8306"/>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0375F">
    <w:pPr>
      <w:framePr w:wrap="around" w:vAnchor="text" w:hAnchor="margin" w:xAlign="center" w:y="1"/>
      <w:tabs>
        <w:tab w:val="center" w:pos="4153"/>
        <w:tab w:val="right" w:pos="8306"/>
      </w:tabs>
    </w:pPr>
    <w:r>
      <w:fldChar w:fldCharType="begin"/>
    </w:r>
    <w:r>
      <w:instrText xml:space="preserve">PAGE  </w:instrText>
    </w:r>
    <w:r>
      <w:fldChar w:fldCharType="separate"/>
    </w:r>
    <w:r>
      <w:t>53</w:t>
    </w:r>
    <w:r>
      <w:fldChar w:fldCharType="end"/>
    </w:r>
  </w:p>
  <w:p w14:paraId="15D47EAD">
    <w:pPr>
      <w:tabs>
        <w:tab w:val="center" w:pos="4153"/>
        <w:tab w:val="right" w:pos="8306"/>
      </w:tabs>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A7132">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E2DDF">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78B4C0"/>
    <w:multiLevelType w:val="singleLevel"/>
    <w:tmpl w:val="3678B4C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iMjE5MmQ2ZGM3NDFlMGNmMWYzYjJlNjE1MDg4NjMifQ=="/>
  </w:docVars>
  <w:rsids>
    <w:rsidRoot w:val="009C34C4"/>
    <w:rsid w:val="00000DFF"/>
    <w:rsid w:val="00001511"/>
    <w:rsid w:val="000025B4"/>
    <w:rsid w:val="00002C17"/>
    <w:rsid w:val="00003426"/>
    <w:rsid w:val="00003650"/>
    <w:rsid w:val="00003CBC"/>
    <w:rsid w:val="000052FF"/>
    <w:rsid w:val="000101E0"/>
    <w:rsid w:val="00011D83"/>
    <w:rsid w:val="0001223E"/>
    <w:rsid w:val="0001257D"/>
    <w:rsid w:val="00012F2B"/>
    <w:rsid w:val="0001438D"/>
    <w:rsid w:val="000152CB"/>
    <w:rsid w:val="0001616F"/>
    <w:rsid w:val="00020712"/>
    <w:rsid w:val="00023206"/>
    <w:rsid w:val="00024401"/>
    <w:rsid w:val="000259E8"/>
    <w:rsid w:val="00026444"/>
    <w:rsid w:val="00026FD9"/>
    <w:rsid w:val="000312BB"/>
    <w:rsid w:val="00032511"/>
    <w:rsid w:val="00034B0D"/>
    <w:rsid w:val="00034E02"/>
    <w:rsid w:val="00037036"/>
    <w:rsid w:val="000404E0"/>
    <w:rsid w:val="000413FD"/>
    <w:rsid w:val="00042494"/>
    <w:rsid w:val="0004266F"/>
    <w:rsid w:val="00042A56"/>
    <w:rsid w:val="00044958"/>
    <w:rsid w:val="000461A4"/>
    <w:rsid w:val="000533FC"/>
    <w:rsid w:val="00054B4B"/>
    <w:rsid w:val="00056066"/>
    <w:rsid w:val="00057499"/>
    <w:rsid w:val="0006169B"/>
    <w:rsid w:val="00066BF0"/>
    <w:rsid w:val="00066E55"/>
    <w:rsid w:val="00070945"/>
    <w:rsid w:val="000710A7"/>
    <w:rsid w:val="00071954"/>
    <w:rsid w:val="00071C14"/>
    <w:rsid w:val="00074CDE"/>
    <w:rsid w:val="000753B8"/>
    <w:rsid w:val="00080DCC"/>
    <w:rsid w:val="00083842"/>
    <w:rsid w:val="000838A3"/>
    <w:rsid w:val="000857CC"/>
    <w:rsid w:val="00086941"/>
    <w:rsid w:val="00090382"/>
    <w:rsid w:val="000904DB"/>
    <w:rsid w:val="000906C2"/>
    <w:rsid w:val="0009168F"/>
    <w:rsid w:val="0009493C"/>
    <w:rsid w:val="00094D27"/>
    <w:rsid w:val="000962E6"/>
    <w:rsid w:val="0009665D"/>
    <w:rsid w:val="0009700A"/>
    <w:rsid w:val="000975C3"/>
    <w:rsid w:val="000A0A62"/>
    <w:rsid w:val="000A44F6"/>
    <w:rsid w:val="000A5145"/>
    <w:rsid w:val="000A53F7"/>
    <w:rsid w:val="000A5AD7"/>
    <w:rsid w:val="000A5EC3"/>
    <w:rsid w:val="000A71CA"/>
    <w:rsid w:val="000A7F12"/>
    <w:rsid w:val="000B19FC"/>
    <w:rsid w:val="000B33C0"/>
    <w:rsid w:val="000B61FA"/>
    <w:rsid w:val="000B7F7C"/>
    <w:rsid w:val="000C0C6C"/>
    <w:rsid w:val="000C0E7C"/>
    <w:rsid w:val="000C17D6"/>
    <w:rsid w:val="000C1D79"/>
    <w:rsid w:val="000C2349"/>
    <w:rsid w:val="000C317B"/>
    <w:rsid w:val="000C4553"/>
    <w:rsid w:val="000C4F8B"/>
    <w:rsid w:val="000C7EB8"/>
    <w:rsid w:val="000D03E5"/>
    <w:rsid w:val="000D0657"/>
    <w:rsid w:val="000D1A6C"/>
    <w:rsid w:val="000D218E"/>
    <w:rsid w:val="000D2F06"/>
    <w:rsid w:val="000D308D"/>
    <w:rsid w:val="000D3691"/>
    <w:rsid w:val="000D3A97"/>
    <w:rsid w:val="000D73EA"/>
    <w:rsid w:val="000D79C5"/>
    <w:rsid w:val="000E07B1"/>
    <w:rsid w:val="000E310B"/>
    <w:rsid w:val="000E35D7"/>
    <w:rsid w:val="000E3A52"/>
    <w:rsid w:val="000E4823"/>
    <w:rsid w:val="000E6431"/>
    <w:rsid w:val="000E64FC"/>
    <w:rsid w:val="000E676F"/>
    <w:rsid w:val="000F181D"/>
    <w:rsid w:val="000F19EB"/>
    <w:rsid w:val="000F1E91"/>
    <w:rsid w:val="000F43E9"/>
    <w:rsid w:val="000F6699"/>
    <w:rsid w:val="000F7357"/>
    <w:rsid w:val="000F7D68"/>
    <w:rsid w:val="00100AB7"/>
    <w:rsid w:val="00101683"/>
    <w:rsid w:val="00101894"/>
    <w:rsid w:val="00103F38"/>
    <w:rsid w:val="00104997"/>
    <w:rsid w:val="00105372"/>
    <w:rsid w:val="0010545D"/>
    <w:rsid w:val="00105756"/>
    <w:rsid w:val="0010646F"/>
    <w:rsid w:val="00110C75"/>
    <w:rsid w:val="001115A1"/>
    <w:rsid w:val="00112529"/>
    <w:rsid w:val="00113305"/>
    <w:rsid w:val="00113E54"/>
    <w:rsid w:val="00114BC7"/>
    <w:rsid w:val="001150FB"/>
    <w:rsid w:val="001160B4"/>
    <w:rsid w:val="00116190"/>
    <w:rsid w:val="001173DD"/>
    <w:rsid w:val="00117AEF"/>
    <w:rsid w:val="001200ED"/>
    <w:rsid w:val="00122288"/>
    <w:rsid w:val="00123745"/>
    <w:rsid w:val="001241C4"/>
    <w:rsid w:val="00124803"/>
    <w:rsid w:val="00124B0C"/>
    <w:rsid w:val="0012549A"/>
    <w:rsid w:val="001258D6"/>
    <w:rsid w:val="001264AF"/>
    <w:rsid w:val="001272D7"/>
    <w:rsid w:val="001302A7"/>
    <w:rsid w:val="00130EE8"/>
    <w:rsid w:val="001328DC"/>
    <w:rsid w:val="001334AF"/>
    <w:rsid w:val="0013484C"/>
    <w:rsid w:val="001357C3"/>
    <w:rsid w:val="0013594D"/>
    <w:rsid w:val="00136331"/>
    <w:rsid w:val="00136CD0"/>
    <w:rsid w:val="0014060C"/>
    <w:rsid w:val="001414DC"/>
    <w:rsid w:val="00141AD4"/>
    <w:rsid w:val="00142242"/>
    <w:rsid w:val="0014267C"/>
    <w:rsid w:val="001442E9"/>
    <w:rsid w:val="0014580C"/>
    <w:rsid w:val="0015121D"/>
    <w:rsid w:val="001519A3"/>
    <w:rsid w:val="00152358"/>
    <w:rsid w:val="00153985"/>
    <w:rsid w:val="00157717"/>
    <w:rsid w:val="00161BFE"/>
    <w:rsid w:val="00162574"/>
    <w:rsid w:val="00162CAD"/>
    <w:rsid w:val="00162DA0"/>
    <w:rsid w:val="00163509"/>
    <w:rsid w:val="00165C6E"/>
    <w:rsid w:val="00167741"/>
    <w:rsid w:val="001678AD"/>
    <w:rsid w:val="00167C3F"/>
    <w:rsid w:val="001719BB"/>
    <w:rsid w:val="00171A0E"/>
    <w:rsid w:val="001743DB"/>
    <w:rsid w:val="00175112"/>
    <w:rsid w:val="0017529C"/>
    <w:rsid w:val="0017786C"/>
    <w:rsid w:val="00181283"/>
    <w:rsid w:val="00181367"/>
    <w:rsid w:val="00182E8F"/>
    <w:rsid w:val="00183022"/>
    <w:rsid w:val="001850F5"/>
    <w:rsid w:val="001855A1"/>
    <w:rsid w:val="00186E9E"/>
    <w:rsid w:val="00190E2C"/>
    <w:rsid w:val="00191770"/>
    <w:rsid w:val="00192802"/>
    <w:rsid w:val="00192ABC"/>
    <w:rsid w:val="001936DF"/>
    <w:rsid w:val="00193F39"/>
    <w:rsid w:val="00193FCE"/>
    <w:rsid w:val="0019458C"/>
    <w:rsid w:val="00195993"/>
    <w:rsid w:val="001A1586"/>
    <w:rsid w:val="001A2182"/>
    <w:rsid w:val="001A3F92"/>
    <w:rsid w:val="001A5E5D"/>
    <w:rsid w:val="001A63A8"/>
    <w:rsid w:val="001B0593"/>
    <w:rsid w:val="001B0AC2"/>
    <w:rsid w:val="001B6EA5"/>
    <w:rsid w:val="001B7523"/>
    <w:rsid w:val="001B765B"/>
    <w:rsid w:val="001C0434"/>
    <w:rsid w:val="001C0832"/>
    <w:rsid w:val="001C31FE"/>
    <w:rsid w:val="001C356F"/>
    <w:rsid w:val="001C35CD"/>
    <w:rsid w:val="001C52A4"/>
    <w:rsid w:val="001C6AC1"/>
    <w:rsid w:val="001D21AC"/>
    <w:rsid w:val="001D41D7"/>
    <w:rsid w:val="001D4C6E"/>
    <w:rsid w:val="001D5CCE"/>
    <w:rsid w:val="001D62C3"/>
    <w:rsid w:val="001D63B6"/>
    <w:rsid w:val="001D6F41"/>
    <w:rsid w:val="001D7545"/>
    <w:rsid w:val="001D78C2"/>
    <w:rsid w:val="001D797F"/>
    <w:rsid w:val="001E0AFF"/>
    <w:rsid w:val="001E0BD2"/>
    <w:rsid w:val="001E17AE"/>
    <w:rsid w:val="001E1A2C"/>
    <w:rsid w:val="001E2701"/>
    <w:rsid w:val="001E2BC6"/>
    <w:rsid w:val="001E3B5E"/>
    <w:rsid w:val="001E3FBA"/>
    <w:rsid w:val="001E4FF1"/>
    <w:rsid w:val="001E60A1"/>
    <w:rsid w:val="001E6801"/>
    <w:rsid w:val="001E6C8D"/>
    <w:rsid w:val="001F20C6"/>
    <w:rsid w:val="001F2FE0"/>
    <w:rsid w:val="001F30A0"/>
    <w:rsid w:val="001F39EB"/>
    <w:rsid w:val="001F4B64"/>
    <w:rsid w:val="002010F7"/>
    <w:rsid w:val="00201E70"/>
    <w:rsid w:val="0020332B"/>
    <w:rsid w:val="00203D0E"/>
    <w:rsid w:val="002045AC"/>
    <w:rsid w:val="0020510E"/>
    <w:rsid w:val="002054BA"/>
    <w:rsid w:val="00206E8C"/>
    <w:rsid w:val="002119B1"/>
    <w:rsid w:val="00212EB1"/>
    <w:rsid w:val="0021312D"/>
    <w:rsid w:val="00213823"/>
    <w:rsid w:val="002138DB"/>
    <w:rsid w:val="002139B3"/>
    <w:rsid w:val="00213F64"/>
    <w:rsid w:val="00214422"/>
    <w:rsid w:val="00215779"/>
    <w:rsid w:val="002160BE"/>
    <w:rsid w:val="002170BE"/>
    <w:rsid w:val="0022125A"/>
    <w:rsid w:val="00226C45"/>
    <w:rsid w:val="00226CC7"/>
    <w:rsid w:val="00227396"/>
    <w:rsid w:val="00231820"/>
    <w:rsid w:val="00231C30"/>
    <w:rsid w:val="00231DAD"/>
    <w:rsid w:val="00232309"/>
    <w:rsid w:val="00240111"/>
    <w:rsid w:val="0024114C"/>
    <w:rsid w:val="002419D6"/>
    <w:rsid w:val="00242749"/>
    <w:rsid w:val="002456FA"/>
    <w:rsid w:val="00245F57"/>
    <w:rsid w:val="00246FF0"/>
    <w:rsid w:val="00247538"/>
    <w:rsid w:val="00247AC3"/>
    <w:rsid w:val="00247CFD"/>
    <w:rsid w:val="00247CFE"/>
    <w:rsid w:val="00250622"/>
    <w:rsid w:val="00250F70"/>
    <w:rsid w:val="002517AF"/>
    <w:rsid w:val="002525CC"/>
    <w:rsid w:val="002535A1"/>
    <w:rsid w:val="002539B0"/>
    <w:rsid w:val="00253E1C"/>
    <w:rsid w:val="0025459C"/>
    <w:rsid w:val="00256B41"/>
    <w:rsid w:val="00257760"/>
    <w:rsid w:val="002577DA"/>
    <w:rsid w:val="00261E7C"/>
    <w:rsid w:val="00262049"/>
    <w:rsid w:val="002631E6"/>
    <w:rsid w:val="00263B9E"/>
    <w:rsid w:val="00263CD4"/>
    <w:rsid w:val="00264161"/>
    <w:rsid w:val="002649BA"/>
    <w:rsid w:val="00264D84"/>
    <w:rsid w:val="00265143"/>
    <w:rsid w:val="00266030"/>
    <w:rsid w:val="00266461"/>
    <w:rsid w:val="00266DA8"/>
    <w:rsid w:val="0027014E"/>
    <w:rsid w:val="002711A7"/>
    <w:rsid w:val="002717E9"/>
    <w:rsid w:val="00271C97"/>
    <w:rsid w:val="00271D84"/>
    <w:rsid w:val="0027372E"/>
    <w:rsid w:val="0027378A"/>
    <w:rsid w:val="00275463"/>
    <w:rsid w:val="0027656F"/>
    <w:rsid w:val="00282443"/>
    <w:rsid w:val="002861E6"/>
    <w:rsid w:val="00291BC7"/>
    <w:rsid w:val="00291D5B"/>
    <w:rsid w:val="00292919"/>
    <w:rsid w:val="0029378D"/>
    <w:rsid w:val="002949FA"/>
    <w:rsid w:val="00295AB6"/>
    <w:rsid w:val="00297684"/>
    <w:rsid w:val="002A1163"/>
    <w:rsid w:val="002A323E"/>
    <w:rsid w:val="002A36E3"/>
    <w:rsid w:val="002A3DCC"/>
    <w:rsid w:val="002A46D4"/>
    <w:rsid w:val="002A7E69"/>
    <w:rsid w:val="002B00A6"/>
    <w:rsid w:val="002B1A03"/>
    <w:rsid w:val="002B2ACF"/>
    <w:rsid w:val="002B2D97"/>
    <w:rsid w:val="002B3786"/>
    <w:rsid w:val="002B4A8C"/>
    <w:rsid w:val="002B6812"/>
    <w:rsid w:val="002B77E1"/>
    <w:rsid w:val="002C04B2"/>
    <w:rsid w:val="002C19A0"/>
    <w:rsid w:val="002C1D51"/>
    <w:rsid w:val="002C1E73"/>
    <w:rsid w:val="002C1E90"/>
    <w:rsid w:val="002C2055"/>
    <w:rsid w:val="002C23BB"/>
    <w:rsid w:val="002C2944"/>
    <w:rsid w:val="002C29CF"/>
    <w:rsid w:val="002C443B"/>
    <w:rsid w:val="002C48C7"/>
    <w:rsid w:val="002C4D7C"/>
    <w:rsid w:val="002C4F6D"/>
    <w:rsid w:val="002C569F"/>
    <w:rsid w:val="002D05A8"/>
    <w:rsid w:val="002D09D1"/>
    <w:rsid w:val="002D0DDA"/>
    <w:rsid w:val="002D1F10"/>
    <w:rsid w:val="002D1FBA"/>
    <w:rsid w:val="002D25D3"/>
    <w:rsid w:val="002D2FA7"/>
    <w:rsid w:val="002D355C"/>
    <w:rsid w:val="002D49EB"/>
    <w:rsid w:val="002D4B28"/>
    <w:rsid w:val="002D4CBC"/>
    <w:rsid w:val="002D5FE6"/>
    <w:rsid w:val="002D71C4"/>
    <w:rsid w:val="002D7BC3"/>
    <w:rsid w:val="002E0E01"/>
    <w:rsid w:val="002E13E1"/>
    <w:rsid w:val="002E536E"/>
    <w:rsid w:val="002E58E9"/>
    <w:rsid w:val="002E6178"/>
    <w:rsid w:val="002E7573"/>
    <w:rsid w:val="002E7621"/>
    <w:rsid w:val="002F0C2B"/>
    <w:rsid w:val="002F0C95"/>
    <w:rsid w:val="002F158E"/>
    <w:rsid w:val="002F22FB"/>
    <w:rsid w:val="002F2991"/>
    <w:rsid w:val="002F2A14"/>
    <w:rsid w:val="002F3141"/>
    <w:rsid w:val="002F3519"/>
    <w:rsid w:val="002F4C2F"/>
    <w:rsid w:val="002F5955"/>
    <w:rsid w:val="002F77DD"/>
    <w:rsid w:val="002F787D"/>
    <w:rsid w:val="002F7E75"/>
    <w:rsid w:val="003001E7"/>
    <w:rsid w:val="00301CBC"/>
    <w:rsid w:val="00302287"/>
    <w:rsid w:val="003032EA"/>
    <w:rsid w:val="0030355E"/>
    <w:rsid w:val="00304481"/>
    <w:rsid w:val="003044D5"/>
    <w:rsid w:val="003050B1"/>
    <w:rsid w:val="003061E2"/>
    <w:rsid w:val="0030651C"/>
    <w:rsid w:val="00311B6F"/>
    <w:rsid w:val="003137DC"/>
    <w:rsid w:val="003140A5"/>
    <w:rsid w:val="0031441A"/>
    <w:rsid w:val="00314F85"/>
    <w:rsid w:val="003157CE"/>
    <w:rsid w:val="00315B2E"/>
    <w:rsid w:val="00315CE6"/>
    <w:rsid w:val="0031716D"/>
    <w:rsid w:val="00322F50"/>
    <w:rsid w:val="003232B6"/>
    <w:rsid w:val="0032411F"/>
    <w:rsid w:val="0032447B"/>
    <w:rsid w:val="00324F3F"/>
    <w:rsid w:val="00327831"/>
    <w:rsid w:val="00330F5C"/>
    <w:rsid w:val="00331593"/>
    <w:rsid w:val="00332D72"/>
    <w:rsid w:val="00333618"/>
    <w:rsid w:val="003347B9"/>
    <w:rsid w:val="00336940"/>
    <w:rsid w:val="0033773E"/>
    <w:rsid w:val="00340608"/>
    <w:rsid w:val="00341B4E"/>
    <w:rsid w:val="0034221F"/>
    <w:rsid w:val="003447B2"/>
    <w:rsid w:val="00347D1A"/>
    <w:rsid w:val="003503BA"/>
    <w:rsid w:val="003514DE"/>
    <w:rsid w:val="00351D4E"/>
    <w:rsid w:val="0035400B"/>
    <w:rsid w:val="0035408E"/>
    <w:rsid w:val="00354ED0"/>
    <w:rsid w:val="0035559D"/>
    <w:rsid w:val="00356279"/>
    <w:rsid w:val="00356ECA"/>
    <w:rsid w:val="00357EEB"/>
    <w:rsid w:val="003616F2"/>
    <w:rsid w:val="00361B71"/>
    <w:rsid w:val="00362C76"/>
    <w:rsid w:val="00363239"/>
    <w:rsid w:val="00363760"/>
    <w:rsid w:val="00363C1B"/>
    <w:rsid w:val="0036534B"/>
    <w:rsid w:val="003670BE"/>
    <w:rsid w:val="003705E5"/>
    <w:rsid w:val="0037224E"/>
    <w:rsid w:val="00372503"/>
    <w:rsid w:val="003728EF"/>
    <w:rsid w:val="00373352"/>
    <w:rsid w:val="00374D71"/>
    <w:rsid w:val="0038093D"/>
    <w:rsid w:val="00380D77"/>
    <w:rsid w:val="00384DDF"/>
    <w:rsid w:val="00385DF6"/>
    <w:rsid w:val="00386BAB"/>
    <w:rsid w:val="00386CF4"/>
    <w:rsid w:val="00390325"/>
    <w:rsid w:val="0039040A"/>
    <w:rsid w:val="003921E4"/>
    <w:rsid w:val="00393432"/>
    <w:rsid w:val="00393D73"/>
    <w:rsid w:val="00393E94"/>
    <w:rsid w:val="003952A7"/>
    <w:rsid w:val="00397C4F"/>
    <w:rsid w:val="003A04F4"/>
    <w:rsid w:val="003A5588"/>
    <w:rsid w:val="003A5C77"/>
    <w:rsid w:val="003A6246"/>
    <w:rsid w:val="003A63B3"/>
    <w:rsid w:val="003A7059"/>
    <w:rsid w:val="003A70C4"/>
    <w:rsid w:val="003A7A54"/>
    <w:rsid w:val="003B01B7"/>
    <w:rsid w:val="003B0235"/>
    <w:rsid w:val="003B3EEC"/>
    <w:rsid w:val="003B4294"/>
    <w:rsid w:val="003B6220"/>
    <w:rsid w:val="003B718F"/>
    <w:rsid w:val="003B7921"/>
    <w:rsid w:val="003B7943"/>
    <w:rsid w:val="003B7FA9"/>
    <w:rsid w:val="003C0421"/>
    <w:rsid w:val="003C33EA"/>
    <w:rsid w:val="003C345C"/>
    <w:rsid w:val="003C4ACE"/>
    <w:rsid w:val="003C5271"/>
    <w:rsid w:val="003C58D9"/>
    <w:rsid w:val="003D022C"/>
    <w:rsid w:val="003D04D0"/>
    <w:rsid w:val="003D1903"/>
    <w:rsid w:val="003D19EA"/>
    <w:rsid w:val="003D28E5"/>
    <w:rsid w:val="003D3AA9"/>
    <w:rsid w:val="003D3E81"/>
    <w:rsid w:val="003D5351"/>
    <w:rsid w:val="003D5FEA"/>
    <w:rsid w:val="003D6FE6"/>
    <w:rsid w:val="003E00B6"/>
    <w:rsid w:val="003E0A28"/>
    <w:rsid w:val="003E133B"/>
    <w:rsid w:val="003E13A4"/>
    <w:rsid w:val="003E168F"/>
    <w:rsid w:val="003E228F"/>
    <w:rsid w:val="003E294B"/>
    <w:rsid w:val="003E33CC"/>
    <w:rsid w:val="003E471E"/>
    <w:rsid w:val="003E535C"/>
    <w:rsid w:val="003E712E"/>
    <w:rsid w:val="003E7C2F"/>
    <w:rsid w:val="003E7CDD"/>
    <w:rsid w:val="003F10A3"/>
    <w:rsid w:val="003F10AD"/>
    <w:rsid w:val="003F1926"/>
    <w:rsid w:val="003F6B4B"/>
    <w:rsid w:val="003F7661"/>
    <w:rsid w:val="003F78FC"/>
    <w:rsid w:val="0040077C"/>
    <w:rsid w:val="004032EE"/>
    <w:rsid w:val="00403405"/>
    <w:rsid w:val="00403926"/>
    <w:rsid w:val="00405660"/>
    <w:rsid w:val="004056BF"/>
    <w:rsid w:val="00405C2A"/>
    <w:rsid w:val="00406168"/>
    <w:rsid w:val="00406169"/>
    <w:rsid w:val="0040724E"/>
    <w:rsid w:val="004079EB"/>
    <w:rsid w:val="00410532"/>
    <w:rsid w:val="0041097A"/>
    <w:rsid w:val="0041187D"/>
    <w:rsid w:val="00412CA4"/>
    <w:rsid w:val="00413339"/>
    <w:rsid w:val="004140A8"/>
    <w:rsid w:val="004143F1"/>
    <w:rsid w:val="004148D2"/>
    <w:rsid w:val="0041546B"/>
    <w:rsid w:val="00415479"/>
    <w:rsid w:val="004162CC"/>
    <w:rsid w:val="004165E9"/>
    <w:rsid w:val="00416B04"/>
    <w:rsid w:val="00417C87"/>
    <w:rsid w:val="00422C81"/>
    <w:rsid w:val="004230AE"/>
    <w:rsid w:val="00424050"/>
    <w:rsid w:val="00424BD0"/>
    <w:rsid w:val="004253CA"/>
    <w:rsid w:val="004261C7"/>
    <w:rsid w:val="00430088"/>
    <w:rsid w:val="004314F0"/>
    <w:rsid w:val="00431A78"/>
    <w:rsid w:val="00432936"/>
    <w:rsid w:val="00434293"/>
    <w:rsid w:val="00434CBB"/>
    <w:rsid w:val="00435DD8"/>
    <w:rsid w:val="0043701A"/>
    <w:rsid w:val="00437182"/>
    <w:rsid w:val="00437531"/>
    <w:rsid w:val="00437A6C"/>
    <w:rsid w:val="004401D8"/>
    <w:rsid w:val="00440449"/>
    <w:rsid w:val="0044065F"/>
    <w:rsid w:val="00440B41"/>
    <w:rsid w:val="00441FE2"/>
    <w:rsid w:val="00446500"/>
    <w:rsid w:val="00446D81"/>
    <w:rsid w:val="004473D4"/>
    <w:rsid w:val="0045010D"/>
    <w:rsid w:val="004503CD"/>
    <w:rsid w:val="00453AA7"/>
    <w:rsid w:val="00457330"/>
    <w:rsid w:val="004576D5"/>
    <w:rsid w:val="0046097F"/>
    <w:rsid w:val="00462084"/>
    <w:rsid w:val="00464713"/>
    <w:rsid w:val="00465AC6"/>
    <w:rsid w:val="00466D04"/>
    <w:rsid w:val="004678E4"/>
    <w:rsid w:val="004703E5"/>
    <w:rsid w:val="00470D03"/>
    <w:rsid w:val="00470D6B"/>
    <w:rsid w:val="00471226"/>
    <w:rsid w:val="00471F0A"/>
    <w:rsid w:val="00472317"/>
    <w:rsid w:val="00472A7B"/>
    <w:rsid w:val="004735B6"/>
    <w:rsid w:val="00474107"/>
    <w:rsid w:val="00474A6E"/>
    <w:rsid w:val="00475EDC"/>
    <w:rsid w:val="00476620"/>
    <w:rsid w:val="00477712"/>
    <w:rsid w:val="00477CF9"/>
    <w:rsid w:val="004805FB"/>
    <w:rsid w:val="0048082D"/>
    <w:rsid w:val="00480FA9"/>
    <w:rsid w:val="0048123C"/>
    <w:rsid w:val="00481FB3"/>
    <w:rsid w:val="004834C1"/>
    <w:rsid w:val="00486353"/>
    <w:rsid w:val="00491481"/>
    <w:rsid w:val="00491CB0"/>
    <w:rsid w:val="004920D1"/>
    <w:rsid w:val="0049267D"/>
    <w:rsid w:val="00492A3E"/>
    <w:rsid w:val="00493B2C"/>
    <w:rsid w:val="00493BB0"/>
    <w:rsid w:val="004949AA"/>
    <w:rsid w:val="00494BC0"/>
    <w:rsid w:val="00494BC2"/>
    <w:rsid w:val="004967D2"/>
    <w:rsid w:val="004A0815"/>
    <w:rsid w:val="004A09E0"/>
    <w:rsid w:val="004A29A6"/>
    <w:rsid w:val="004A45EC"/>
    <w:rsid w:val="004A4E64"/>
    <w:rsid w:val="004A5786"/>
    <w:rsid w:val="004A63A5"/>
    <w:rsid w:val="004A749F"/>
    <w:rsid w:val="004A75F5"/>
    <w:rsid w:val="004A7785"/>
    <w:rsid w:val="004B09B8"/>
    <w:rsid w:val="004B11E0"/>
    <w:rsid w:val="004B1467"/>
    <w:rsid w:val="004B41B1"/>
    <w:rsid w:val="004B577B"/>
    <w:rsid w:val="004B6C9F"/>
    <w:rsid w:val="004B7FA3"/>
    <w:rsid w:val="004C147C"/>
    <w:rsid w:val="004C2786"/>
    <w:rsid w:val="004C32EE"/>
    <w:rsid w:val="004C3F70"/>
    <w:rsid w:val="004C40F2"/>
    <w:rsid w:val="004C5ED9"/>
    <w:rsid w:val="004C762B"/>
    <w:rsid w:val="004D03C9"/>
    <w:rsid w:val="004D181B"/>
    <w:rsid w:val="004D367A"/>
    <w:rsid w:val="004D4530"/>
    <w:rsid w:val="004D4CF0"/>
    <w:rsid w:val="004D5AD8"/>
    <w:rsid w:val="004D7462"/>
    <w:rsid w:val="004D7863"/>
    <w:rsid w:val="004E09AD"/>
    <w:rsid w:val="004E0DCD"/>
    <w:rsid w:val="004E4B9F"/>
    <w:rsid w:val="004E6B28"/>
    <w:rsid w:val="004E7CC0"/>
    <w:rsid w:val="004F07A7"/>
    <w:rsid w:val="004F1D42"/>
    <w:rsid w:val="004F5861"/>
    <w:rsid w:val="004F5A4C"/>
    <w:rsid w:val="00500AFF"/>
    <w:rsid w:val="005010E9"/>
    <w:rsid w:val="00501D60"/>
    <w:rsid w:val="0050288E"/>
    <w:rsid w:val="00505127"/>
    <w:rsid w:val="00505309"/>
    <w:rsid w:val="00506923"/>
    <w:rsid w:val="00507143"/>
    <w:rsid w:val="00507196"/>
    <w:rsid w:val="00510AFA"/>
    <w:rsid w:val="00510E00"/>
    <w:rsid w:val="00510F88"/>
    <w:rsid w:val="005124BB"/>
    <w:rsid w:val="005125A5"/>
    <w:rsid w:val="00514FEF"/>
    <w:rsid w:val="005159AD"/>
    <w:rsid w:val="00515E2F"/>
    <w:rsid w:val="00516043"/>
    <w:rsid w:val="00516702"/>
    <w:rsid w:val="005172C3"/>
    <w:rsid w:val="005202F1"/>
    <w:rsid w:val="0052031C"/>
    <w:rsid w:val="00520387"/>
    <w:rsid w:val="00520581"/>
    <w:rsid w:val="00521A08"/>
    <w:rsid w:val="005233B0"/>
    <w:rsid w:val="005239FD"/>
    <w:rsid w:val="0052640D"/>
    <w:rsid w:val="00526A8E"/>
    <w:rsid w:val="00526DD5"/>
    <w:rsid w:val="00527DD8"/>
    <w:rsid w:val="005315DB"/>
    <w:rsid w:val="005315E5"/>
    <w:rsid w:val="00532A46"/>
    <w:rsid w:val="00532AE6"/>
    <w:rsid w:val="0053309D"/>
    <w:rsid w:val="0053354D"/>
    <w:rsid w:val="00534323"/>
    <w:rsid w:val="00537687"/>
    <w:rsid w:val="00537CA0"/>
    <w:rsid w:val="00541047"/>
    <w:rsid w:val="00541537"/>
    <w:rsid w:val="00542768"/>
    <w:rsid w:val="00542B54"/>
    <w:rsid w:val="005430F5"/>
    <w:rsid w:val="005431DD"/>
    <w:rsid w:val="005447DC"/>
    <w:rsid w:val="005457C5"/>
    <w:rsid w:val="005458F0"/>
    <w:rsid w:val="005460A2"/>
    <w:rsid w:val="0054659C"/>
    <w:rsid w:val="00546BE8"/>
    <w:rsid w:val="00553143"/>
    <w:rsid w:val="005549BB"/>
    <w:rsid w:val="00555D3E"/>
    <w:rsid w:val="005560CF"/>
    <w:rsid w:val="00561675"/>
    <w:rsid w:val="0056251F"/>
    <w:rsid w:val="00562DD4"/>
    <w:rsid w:val="0056424B"/>
    <w:rsid w:val="00564522"/>
    <w:rsid w:val="0056458F"/>
    <w:rsid w:val="00564A80"/>
    <w:rsid w:val="00564DA1"/>
    <w:rsid w:val="005654B5"/>
    <w:rsid w:val="0056630E"/>
    <w:rsid w:val="00566E41"/>
    <w:rsid w:val="005675D6"/>
    <w:rsid w:val="00573E85"/>
    <w:rsid w:val="005740AA"/>
    <w:rsid w:val="00575739"/>
    <w:rsid w:val="0057690B"/>
    <w:rsid w:val="005771E3"/>
    <w:rsid w:val="005812B2"/>
    <w:rsid w:val="00581737"/>
    <w:rsid w:val="00582991"/>
    <w:rsid w:val="00582EBA"/>
    <w:rsid w:val="00583444"/>
    <w:rsid w:val="005854CD"/>
    <w:rsid w:val="00586D45"/>
    <w:rsid w:val="005876E0"/>
    <w:rsid w:val="0059104F"/>
    <w:rsid w:val="005934CB"/>
    <w:rsid w:val="005945E2"/>
    <w:rsid w:val="005957D0"/>
    <w:rsid w:val="0059643F"/>
    <w:rsid w:val="005A07D2"/>
    <w:rsid w:val="005A0C8D"/>
    <w:rsid w:val="005A1C0B"/>
    <w:rsid w:val="005A2C14"/>
    <w:rsid w:val="005A468F"/>
    <w:rsid w:val="005A46EE"/>
    <w:rsid w:val="005A4F3A"/>
    <w:rsid w:val="005A5D20"/>
    <w:rsid w:val="005A642C"/>
    <w:rsid w:val="005A6D31"/>
    <w:rsid w:val="005A7EF0"/>
    <w:rsid w:val="005B1105"/>
    <w:rsid w:val="005B37E5"/>
    <w:rsid w:val="005B3FED"/>
    <w:rsid w:val="005B400A"/>
    <w:rsid w:val="005B464A"/>
    <w:rsid w:val="005B50D5"/>
    <w:rsid w:val="005B675D"/>
    <w:rsid w:val="005C4FDF"/>
    <w:rsid w:val="005C563A"/>
    <w:rsid w:val="005C73A9"/>
    <w:rsid w:val="005D420B"/>
    <w:rsid w:val="005D4E04"/>
    <w:rsid w:val="005D5972"/>
    <w:rsid w:val="005D748A"/>
    <w:rsid w:val="005D76A9"/>
    <w:rsid w:val="005E0767"/>
    <w:rsid w:val="005E157F"/>
    <w:rsid w:val="005E1757"/>
    <w:rsid w:val="005E2908"/>
    <w:rsid w:val="005E2B00"/>
    <w:rsid w:val="005E301D"/>
    <w:rsid w:val="005E38FA"/>
    <w:rsid w:val="005E4EEF"/>
    <w:rsid w:val="005E65EF"/>
    <w:rsid w:val="005E7709"/>
    <w:rsid w:val="005E7D95"/>
    <w:rsid w:val="005F366F"/>
    <w:rsid w:val="005F4C4C"/>
    <w:rsid w:val="005F6664"/>
    <w:rsid w:val="005F74B4"/>
    <w:rsid w:val="005F75B5"/>
    <w:rsid w:val="00601C4A"/>
    <w:rsid w:val="00604C16"/>
    <w:rsid w:val="006055BF"/>
    <w:rsid w:val="00605C2B"/>
    <w:rsid w:val="00605EBC"/>
    <w:rsid w:val="0060626D"/>
    <w:rsid w:val="00607167"/>
    <w:rsid w:val="006104E8"/>
    <w:rsid w:val="00612097"/>
    <w:rsid w:val="0061229E"/>
    <w:rsid w:val="00612573"/>
    <w:rsid w:val="0061618E"/>
    <w:rsid w:val="00617B88"/>
    <w:rsid w:val="006207D9"/>
    <w:rsid w:val="00622A07"/>
    <w:rsid w:val="00623D3F"/>
    <w:rsid w:val="00623FF4"/>
    <w:rsid w:val="006244B5"/>
    <w:rsid w:val="006248D6"/>
    <w:rsid w:val="00625D91"/>
    <w:rsid w:val="006266B1"/>
    <w:rsid w:val="00626BA5"/>
    <w:rsid w:val="00627EBD"/>
    <w:rsid w:val="0063408B"/>
    <w:rsid w:val="006341EC"/>
    <w:rsid w:val="006357D4"/>
    <w:rsid w:val="00635EB7"/>
    <w:rsid w:val="00636E1B"/>
    <w:rsid w:val="00637F53"/>
    <w:rsid w:val="00640919"/>
    <w:rsid w:val="006412DB"/>
    <w:rsid w:val="006462F5"/>
    <w:rsid w:val="00646304"/>
    <w:rsid w:val="00646383"/>
    <w:rsid w:val="0064695D"/>
    <w:rsid w:val="00650F62"/>
    <w:rsid w:val="006536D1"/>
    <w:rsid w:val="00660D9B"/>
    <w:rsid w:val="00660E55"/>
    <w:rsid w:val="006613D6"/>
    <w:rsid w:val="006639A2"/>
    <w:rsid w:val="00663EBF"/>
    <w:rsid w:val="0066604C"/>
    <w:rsid w:val="00666A25"/>
    <w:rsid w:val="00671567"/>
    <w:rsid w:val="006722DA"/>
    <w:rsid w:val="0067269D"/>
    <w:rsid w:val="00672B8B"/>
    <w:rsid w:val="006751C9"/>
    <w:rsid w:val="006775CA"/>
    <w:rsid w:val="006779CE"/>
    <w:rsid w:val="00683E7B"/>
    <w:rsid w:val="006848D8"/>
    <w:rsid w:val="0068653E"/>
    <w:rsid w:val="006866F4"/>
    <w:rsid w:val="00686BC2"/>
    <w:rsid w:val="00687A41"/>
    <w:rsid w:val="0069078B"/>
    <w:rsid w:val="00690F46"/>
    <w:rsid w:val="00691BA8"/>
    <w:rsid w:val="00693BED"/>
    <w:rsid w:val="00695551"/>
    <w:rsid w:val="00695E33"/>
    <w:rsid w:val="0069689A"/>
    <w:rsid w:val="00696A14"/>
    <w:rsid w:val="00697F35"/>
    <w:rsid w:val="006A0B32"/>
    <w:rsid w:val="006A1DE8"/>
    <w:rsid w:val="006A24CA"/>
    <w:rsid w:val="006A3102"/>
    <w:rsid w:val="006A3219"/>
    <w:rsid w:val="006A3358"/>
    <w:rsid w:val="006A351A"/>
    <w:rsid w:val="006A4719"/>
    <w:rsid w:val="006A4AD9"/>
    <w:rsid w:val="006A4DC0"/>
    <w:rsid w:val="006A5DD0"/>
    <w:rsid w:val="006A5FEC"/>
    <w:rsid w:val="006A647A"/>
    <w:rsid w:val="006A64B8"/>
    <w:rsid w:val="006A6FFC"/>
    <w:rsid w:val="006A7483"/>
    <w:rsid w:val="006A77B6"/>
    <w:rsid w:val="006B1438"/>
    <w:rsid w:val="006B5D9C"/>
    <w:rsid w:val="006B6D43"/>
    <w:rsid w:val="006B71C8"/>
    <w:rsid w:val="006B72E7"/>
    <w:rsid w:val="006C0117"/>
    <w:rsid w:val="006C1C0F"/>
    <w:rsid w:val="006C29DD"/>
    <w:rsid w:val="006C2E39"/>
    <w:rsid w:val="006C2EE5"/>
    <w:rsid w:val="006C365C"/>
    <w:rsid w:val="006C37C8"/>
    <w:rsid w:val="006C4C9F"/>
    <w:rsid w:val="006C60CD"/>
    <w:rsid w:val="006C7291"/>
    <w:rsid w:val="006C7D75"/>
    <w:rsid w:val="006D017C"/>
    <w:rsid w:val="006D15B2"/>
    <w:rsid w:val="006D1788"/>
    <w:rsid w:val="006D2B45"/>
    <w:rsid w:val="006D3F08"/>
    <w:rsid w:val="006D4846"/>
    <w:rsid w:val="006D51EB"/>
    <w:rsid w:val="006D58A3"/>
    <w:rsid w:val="006D5DA6"/>
    <w:rsid w:val="006E02E0"/>
    <w:rsid w:val="006E1313"/>
    <w:rsid w:val="006E2A48"/>
    <w:rsid w:val="006E45B0"/>
    <w:rsid w:val="006E4A13"/>
    <w:rsid w:val="006E4E00"/>
    <w:rsid w:val="006E558D"/>
    <w:rsid w:val="006E5E4B"/>
    <w:rsid w:val="006E664A"/>
    <w:rsid w:val="006E69F7"/>
    <w:rsid w:val="006E6BA9"/>
    <w:rsid w:val="006E6BE3"/>
    <w:rsid w:val="006E6D77"/>
    <w:rsid w:val="006E7025"/>
    <w:rsid w:val="006E73DF"/>
    <w:rsid w:val="006F0C85"/>
    <w:rsid w:val="006F107E"/>
    <w:rsid w:val="006F35E7"/>
    <w:rsid w:val="006F5368"/>
    <w:rsid w:val="006F573C"/>
    <w:rsid w:val="006F5DBD"/>
    <w:rsid w:val="006F77CA"/>
    <w:rsid w:val="00700EB1"/>
    <w:rsid w:val="00701882"/>
    <w:rsid w:val="00703FE5"/>
    <w:rsid w:val="007059F8"/>
    <w:rsid w:val="00705FDC"/>
    <w:rsid w:val="007072A7"/>
    <w:rsid w:val="00710B97"/>
    <w:rsid w:val="00710D7A"/>
    <w:rsid w:val="0071188F"/>
    <w:rsid w:val="00712EE9"/>
    <w:rsid w:val="0071418E"/>
    <w:rsid w:val="00715E76"/>
    <w:rsid w:val="007161EB"/>
    <w:rsid w:val="00716958"/>
    <w:rsid w:val="00717367"/>
    <w:rsid w:val="00717439"/>
    <w:rsid w:val="00720065"/>
    <w:rsid w:val="00720148"/>
    <w:rsid w:val="007201A7"/>
    <w:rsid w:val="007220F7"/>
    <w:rsid w:val="0072503F"/>
    <w:rsid w:val="007260C1"/>
    <w:rsid w:val="00726EA5"/>
    <w:rsid w:val="00727901"/>
    <w:rsid w:val="00730B1A"/>
    <w:rsid w:val="00731025"/>
    <w:rsid w:val="007320FA"/>
    <w:rsid w:val="00732158"/>
    <w:rsid w:val="00733C88"/>
    <w:rsid w:val="007340A1"/>
    <w:rsid w:val="00736DB5"/>
    <w:rsid w:val="00741E4B"/>
    <w:rsid w:val="0074312E"/>
    <w:rsid w:val="0074380A"/>
    <w:rsid w:val="00745902"/>
    <w:rsid w:val="00745AFE"/>
    <w:rsid w:val="00747817"/>
    <w:rsid w:val="00747935"/>
    <w:rsid w:val="00750D1C"/>
    <w:rsid w:val="00752A54"/>
    <w:rsid w:val="00755D06"/>
    <w:rsid w:val="00755F22"/>
    <w:rsid w:val="007561E6"/>
    <w:rsid w:val="00756E4A"/>
    <w:rsid w:val="00757C13"/>
    <w:rsid w:val="00762CCC"/>
    <w:rsid w:val="00765DF1"/>
    <w:rsid w:val="00767404"/>
    <w:rsid w:val="00767695"/>
    <w:rsid w:val="00770091"/>
    <w:rsid w:val="00775071"/>
    <w:rsid w:val="00776C49"/>
    <w:rsid w:val="0077781B"/>
    <w:rsid w:val="00777906"/>
    <w:rsid w:val="0078099C"/>
    <w:rsid w:val="0078222D"/>
    <w:rsid w:val="00782753"/>
    <w:rsid w:val="007833DE"/>
    <w:rsid w:val="00783CBF"/>
    <w:rsid w:val="00785846"/>
    <w:rsid w:val="0078629D"/>
    <w:rsid w:val="00787279"/>
    <w:rsid w:val="007902D9"/>
    <w:rsid w:val="00790F90"/>
    <w:rsid w:val="00792464"/>
    <w:rsid w:val="00792DF0"/>
    <w:rsid w:val="007935C6"/>
    <w:rsid w:val="00794847"/>
    <w:rsid w:val="00797325"/>
    <w:rsid w:val="007976CE"/>
    <w:rsid w:val="007A0230"/>
    <w:rsid w:val="007A0648"/>
    <w:rsid w:val="007A0675"/>
    <w:rsid w:val="007A0B31"/>
    <w:rsid w:val="007A13B7"/>
    <w:rsid w:val="007A1E3C"/>
    <w:rsid w:val="007A743B"/>
    <w:rsid w:val="007B031A"/>
    <w:rsid w:val="007B15D4"/>
    <w:rsid w:val="007B41A0"/>
    <w:rsid w:val="007B4447"/>
    <w:rsid w:val="007B47C1"/>
    <w:rsid w:val="007B4D6C"/>
    <w:rsid w:val="007B6DF7"/>
    <w:rsid w:val="007C0ADB"/>
    <w:rsid w:val="007C0E69"/>
    <w:rsid w:val="007C3B3A"/>
    <w:rsid w:val="007C3C93"/>
    <w:rsid w:val="007C463C"/>
    <w:rsid w:val="007C5468"/>
    <w:rsid w:val="007C5974"/>
    <w:rsid w:val="007C71E7"/>
    <w:rsid w:val="007C7E98"/>
    <w:rsid w:val="007D0729"/>
    <w:rsid w:val="007D188D"/>
    <w:rsid w:val="007D19C0"/>
    <w:rsid w:val="007D27DB"/>
    <w:rsid w:val="007D3559"/>
    <w:rsid w:val="007D4D87"/>
    <w:rsid w:val="007D67C2"/>
    <w:rsid w:val="007D6ACF"/>
    <w:rsid w:val="007D787B"/>
    <w:rsid w:val="007E043E"/>
    <w:rsid w:val="007E4367"/>
    <w:rsid w:val="007E5147"/>
    <w:rsid w:val="007E6241"/>
    <w:rsid w:val="007E667C"/>
    <w:rsid w:val="007E6A42"/>
    <w:rsid w:val="007E71DB"/>
    <w:rsid w:val="007E7268"/>
    <w:rsid w:val="007E72D2"/>
    <w:rsid w:val="007F02A8"/>
    <w:rsid w:val="007F56C2"/>
    <w:rsid w:val="007F714B"/>
    <w:rsid w:val="00800168"/>
    <w:rsid w:val="00800265"/>
    <w:rsid w:val="0080084A"/>
    <w:rsid w:val="00801F3F"/>
    <w:rsid w:val="008034FF"/>
    <w:rsid w:val="00807254"/>
    <w:rsid w:val="008108D5"/>
    <w:rsid w:val="00810911"/>
    <w:rsid w:val="00810E57"/>
    <w:rsid w:val="00811D2E"/>
    <w:rsid w:val="008121E5"/>
    <w:rsid w:val="00812736"/>
    <w:rsid w:val="00813DC0"/>
    <w:rsid w:val="00814E6E"/>
    <w:rsid w:val="00815399"/>
    <w:rsid w:val="0081547C"/>
    <w:rsid w:val="00817862"/>
    <w:rsid w:val="008178F6"/>
    <w:rsid w:val="0082095C"/>
    <w:rsid w:val="00820E17"/>
    <w:rsid w:val="00823AF0"/>
    <w:rsid w:val="008243DB"/>
    <w:rsid w:val="008267F5"/>
    <w:rsid w:val="008308EB"/>
    <w:rsid w:val="00830985"/>
    <w:rsid w:val="00830D21"/>
    <w:rsid w:val="008314D4"/>
    <w:rsid w:val="00833848"/>
    <w:rsid w:val="00833C45"/>
    <w:rsid w:val="0083486E"/>
    <w:rsid w:val="00835EF6"/>
    <w:rsid w:val="0083603F"/>
    <w:rsid w:val="00837E11"/>
    <w:rsid w:val="008408F4"/>
    <w:rsid w:val="00841624"/>
    <w:rsid w:val="0084301B"/>
    <w:rsid w:val="0084368D"/>
    <w:rsid w:val="00844333"/>
    <w:rsid w:val="00844EC4"/>
    <w:rsid w:val="00845D0E"/>
    <w:rsid w:val="008471A6"/>
    <w:rsid w:val="00847549"/>
    <w:rsid w:val="00847764"/>
    <w:rsid w:val="00847965"/>
    <w:rsid w:val="00847A10"/>
    <w:rsid w:val="00847E3A"/>
    <w:rsid w:val="008531D7"/>
    <w:rsid w:val="00853B7E"/>
    <w:rsid w:val="00854BF3"/>
    <w:rsid w:val="0085509C"/>
    <w:rsid w:val="00855258"/>
    <w:rsid w:val="00855797"/>
    <w:rsid w:val="008558A0"/>
    <w:rsid w:val="00856F04"/>
    <w:rsid w:val="008573AA"/>
    <w:rsid w:val="00857AA8"/>
    <w:rsid w:val="00861CB8"/>
    <w:rsid w:val="0086269D"/>
    <w:rsid w:val="0086313B"/>
    <w:rsid w:val="008631FA"/>
    <w:rsid w:val="008638AC"/>
    <w:rsid w:val="00864405"/>
    <w:rsid w:val="00865A8A"/>
    <w:rsid w:val="008665A1"/>
    <w:rsid w:val="008706AD"/>
    <w:rsid w:val="00871CEE"/>
    <w:rsid w:val="00872346"/>
    <w:rsid w:val="008738CC"/>
    <w:rsid w:val="00873A32"/>
    <w:rsid w:val="00874E61"/>
    <w:rsid w:val="00874F96"/>
    <w:rsid w:val="0087595B"/>
    <w:rsid w:val="00876A7E"/>
    <w:rsid w:val="00876D91"/>
    <w:rsid w:val="00877C62"/>
    <w:rsid w:val="008801EA"/>
    <w:rsid w:val="008804AF"/>
    <w:rsid w:val="00882D54"/>
    <w:rsid w:val="0088321C"/>
    <w:rsid w:val="008832AF"/>
    <w:rsid w:val="008858FD"/>
    <w:rsid w:val="008869AF"/>
    <w:rsid w:val="00886C36"/>
    <w:rsid w:val="00886E01"/>
    <w:rsid w:val="00887988"/>
    <w:rsid w:val="0089133B"/>
    <w:rsid w:val="00891BAD"/>
    <w:rsid w:val="00891D0F"/>
    <w:rsid w:val="00892630"/>
    <w:rsid w:val="0089337C"/>
    <w:rsid w:val="00894755"/>
    <w:rsid w:val="0089574E"/>
    <w:rsid w:val="00895E56"/>
    <w:rsid w:val="0089742A"/>
    <w:rsid w:val="00897E79"/>
    <w:rsid w:val="008A130B"/>
    <w:rsid w:val="008A1FE7"/>
    <w:rsid w:val="008A20F7"/>
    <w:rsid w:val="008A2D2B"/>
    <w:rsid w:val="008A2FEA"/>
    <w:rsid w:val="008A34BD"/>
    <w:rsid w:val="008A5F35"/>
    <w:rsid w:val="008A61DE"/>
    <w:rsid w:val="008A6FE4"/>
    <w:rsid w:val="008B0E30"/>
    <w:rsid w:val="008B10FF"/>
    <w:rsid w:val="008B1B32"/>
    <w:rsid w:val="008B2D43"/>
    <w:rsid w:val="008B358B"/>
    <w:rsid w:val="008B506E"/>
    <w:rsid w:val="008B5ADE"/>
    <w:rsid w:val="008B5B95"/>
    <w:rsid w:val="008B6574"/>
    <w:rsid w:val="008B73D6"/>
    <w:rsid w:val="008B7839"/>
    <w:rsid w:val="008C11C9"/>
    <w:rsid w:val="008C28DE"/>
    <w:rsid w:val="008C2B0F"/>
    <w:rsid w:val="008C2E5F"/>
    <w:rsid w:val="008C2EC3"/>
    <w:rsid w:val="008C306C"/>
    <w:rsid w:val="008C5017"/>
    <w:rsid w:val="008C514D"/>
    <w:rsid w:val="008C6183"/>
    <w:rsid w:val="008C686A"/>
    <w:rsid w:val="008C7A73"/>
    <w:rsid w:val="008C7C1C"/>
    <w:rsid w:val="008C7FFA"/>
    <w:rsid w:val="008D0A8A"/>
    <w:rsid w:val="008D0F72"/>
    <w:rsid w:val="008D1C2E"/>
    <w:rsid w:val="008D3710"/>
    <w:rsid w:val="008D4055"/>
    <w:rsid w:val="008D4696"/>
    <w:rsid w:val="008E0FF2"/>
    <w:rsid w:val="008E1370"/>
    <w:rsid w:val="008E32A4"/>
    <w:rsid w:val="008E42E4"/>
    <w:rsid w:val="008E54DC"/>
    <w:rsid w:val="008E6B20"/>
    <w:rsid w:val="008F0583"/>
    <w:rsid w:val="008F17D0"/>
    <w:rsid w:val="008F18E3"/>
    <w:rsid w:val="008F3E39"/>
    <w:rsid w:val="008F42D6"/>
    <w:rsid w:val="008F4B1E"/>
    <w:rsid w:val="008F5661"/>
    <w:rsid w:val="008F5CE9"/>
    <w:rsid w:val="008F6655"/>
    <w:rsid w:val="008F6819"/>
    <w:rsid w:val="008F6F1F"/>
    <w:rsid w:val="009002C7"/>
    <w:rsid w:val="00900F2E"/>
    <w:rsid w:val="0090172C"/>
    <w:rsid w:val="00901D82"/>
    <w:rsid w:val="009035CB"/>
    <w:rsid w:val="0090488B"/>
    <w:rsid w:val="00904BC1"/>
    <w:rsid w:val="00905DAD"/>
    <w:rsid w:val="00910788"/>
    <w:rsid w:val="00911D24"/>
    <w:rsid w:val="0091235B"/>
    <w:rsid w:val="00913831"/>
    <w:rsid w:val="009138F4"/>
    <w:rsid w:val="00913B62"/>
    <w:rsid w:val="0091756D"/>
    <w:rsid w:val="00920C61"/>
    <w:rsid w:val="00920D0F"/>
    <w:rsid w:val="009213E3"/>
    <w:rsid w:val="00921725"/>
    <w:rsid w:val="0092194E"/>
    <w:rsid w:val="00921AD1"/>
    <w:rsid w:val="00922AEC"/>
    <w:rsid w:val="00924013"/>
    <w:rsid w:val="00926462"/>
    <w:rsid w:val="009310E4"/>
    <w:rsid w:val="009336F2"/>
    <w:rsid w:val="00933CB5"/>
    <w:rsid w:val="00934FF6"/>
    <w:rsid w:val="009362F2"/>
    <w:rsid w:val="00936FA2"/>
    <w:rsid w:val="00937FB3"/>
    <w:rsid w:val="00940E1A"/>
    <w:rsid w:val="009413A3"/>
    <w:rsid w:val="0094225D"/>
    <w:rsid w:val="00942CD0"/>
    <w:rsid w:val="009431B6"/>
    <w:rsid w:val="009441B9"/>
    <w:rsid w:val="00944703"/>
    <w:rsid w:val="00945D87"/>
    <w:rsid w:val="00950223"/>
    <w:rsid w:val="00951091"/>
    <w:rsid w:val="009514B8"/>
    <w:rsid w:val="00951893"/>
    <w:rsid w:val="0095272A"/>
    <w:rsid w:val="009537AD"/>
    <w:rsid w:val="009543C2"/>
    <w:rsid w:val="00954A41"/>
    <w:rsid w:val="00954B7A"/>
    <w:rsid w:val="00954FBA"/>
    <w:rsid w:val="00956163"/>
    <w:rsid w:val="00956476"/>
    <w:rsid w:val="0095689E"/>
    <w:rsid w:val="00956D9B"/>
    <w:rsid w:val="00956E04"/>
    <w:rsid w:val="00957918"/>
    <w:rsid w:val="00960B83"/>
    <w:rsid w:val="00960E3F"/>
    <w:rsid w:val="00962075"/>
    <w:rsid w:val="009622C5"/>
    <w:rsid w:val="00964936"/>
    <w:rsid w:val="00965014"/>
    <w:rsid w:val="00965CC5"/>
    <w:rsid w:val="009662B2"/>
    <w:rsid w:val="009665E0"/>
    <w:rsid w:val="00966D4F"/>
    <w:rsid w:val="009715F3"/>
    <w:rsid w:val="009726B9"/>
    <w:rsid w:val="009732CC"/>
    <w:rsid w:val="00973D80"/>
    <w:rsid w:val="009743A8"/>
    <w:rsid w:val="00975948"/>
    <w:rsid w:val="00975B47"/>
    <w:rsid w:val="00975C84"/>
    <w:rsid w:val="00975EC5"/>
    <w:rsid w:val="00975FC8"/>
    <w:rsid w:val="0097630F"/>
    <w:rsid w:val="009765BD"/>
    <w:rsid w:val="00976602"/>
    <w:rsid w:val="00976EBB"/>
    <w:rsid w:val="009779FE"/>
    <w:rsid w:val="009825CB"/>
    <w:rsid w:val="009826E6"/>
    <w:rsid w:val="00983989"/>
    <w:rsid w:val="00983BA2"/>
    <w:rsid w:val="00984405"/>
    <w:rsid w:val="009854ED"/>
    <w:rsid w:val="0098674F"/>
    <w:rsid w:val="00990207"/>
    <w:rsid w:val="00990A66"/>
    <w:rsid w:val="00991265"/>
    <w:rsid w:val="00995F18"/>
    <w:rsid w:val="0099693C"/>
    <w:rsid w:val="00997004"/>
    <w:rsid w:val="00997DF6"/>
    <w:rsid w:val="009A06ED"/>
    <w:rsid w:val="009A1B45"/>
    <w:rsid w:val="009A2D7B"/>
    <w:rsid w:val="009A32C5"/>
    <w:rsid w:val="009A4968"/>
    <w:rsid w:val="009A5101"/>
    <w:rsid w:val="009A51FE"/>
    <w:rsid w:val="009A63AB"/>
    <w:rsid w:val="009B0A5F"/>
    <w:rsid w:val="009B0B23"/>
    <w:rsid w:val="009B19DB"/>
    <w:rsid w:val="009B24AC"/>
    <w:rsid w:val="009B2820"/>
    <w:rsid w:val="009B33FA"/>
    <w:rsid w:val="009B357C"/>
    <w:rsid w:val="009B3E4F"/>
    <w:rsid w:val="009B4103"/>
    <w:rsid w:val="009B559B"/>
    <w:rsid w:val="009B6212"/>
    <w:rsid w:val="009B79A0"/>
    <w:rsid w:val="009B7A07"/>
    <w:rsid w:val="009C00A8"/>
    <w:rsid w:val="009C131A"/>
    <w:rsid w:val="009C34C4"/>
    <w:rsid w:val="009C5C4E"/>
    <w:rsid w:val="009C5D26"/>
    <w:rsid w:val="009D090E"/>
    <w:rsid w:val="009D0BD8"/>
    <w:rsid w:val="009D1F10"/>
    <w:rsid w:val="009D24F2"/>
    <w:rsid w:val="009D32FD"/>
    <w:rsid w:val="009D3D03"/>
    <w:rsid w:val="009D667E"/>
    <w:rsid w:val="009D7C0F"/>
    <w:rsid w:val="009D7E0C"/>
    <w:rsid w:val="009E0390"/>
    <w:rsid w:val="009E1320"/>
    <w:rsid w:val="009E1D32"/>
    <w:rsid w:val="009E277C"/>
    <w:rsid w:val="009E282F"/>
    <w:rsid w:val="009E3007"/>
    <w:rsid w:val="009E35AF"/>
    <w:rsid w:val="009E394E"/>
    <w:rsid w:val="009E40EA"/>
    <w:rsid w:val="009E4B59"/>
    <w:rsid w:val="009E50BD"/>
    <w:rsid w:val="009E5174"/>
    <w:rsid w:val="009E607F"/>
    <w:rsid w:val="009E6476"/>
    <w:rsid w:val="009E7CAE"/>
    <w:rsid w:val="009F05DE"/>
    <w:rsid w:val="009F0E57"/>
    <w:rsid w:val="009F1172"/>
    <w:rsid w:val="009F120B"/>
    <w:rsid w:val="009F133F"/>
    <w:rsid w:val="009F1A45"/>
    <w:rsid w:val="009F2B2C"/>
    <w:rsid w:val="009F2DCE"/>
    <w:rsid w:val="009F40A6"/>
    <w:rsid w:val="009F42C7"/>
    <w:rsid w:val="00A012B0"/>
    <w:rsid w:val="00A029B5"/>
    <w:rsid w:val="00A03875"/>
    <w:rsid w:val="00A03C15"/>
    <w:rsid w:val="00A03F24"/>
    <w:rsid w:val="00A049EA"/>
    <w:rsid w:val="00A04E85"/>
    <w:rsid w:val="00A04F64"/>
    <w:rsid w:val="00A055C6"/>
    <w:rsid w:val="00A111DB"/>
    <w:rsid w:val="00A12C77"/>
    <w:rsid w:val="00A12D74"/>
    <w:rsid w:val="00A137BF"/>
    <w:rsid w:val="00A14C56"/>
    <w:rsid w:val="00A14CB5"/>
    <w:rsid w:val="00A15399"/>
    <w:rsid w:val="00A21CBD"/>
    <w:rsid w:val="00A2224C"/>
    <w:rsid w:val="00A2249E"/>
    <w:rsid w:val="00A2578D"/>
    <w:rsid w:val="00A257FA"/>
    <w:rsid w:val="00A3043D"/>
    <w:rsid w:val="00A30BA8"/>
    <w:rsid w:val="00A31E63"/>
    <w:rsid w:val="00A340F5"/>
    <w:rsid w:val="00A34714"/>
    <w:rsid w:val="00A358AC"/>
    <w:rsid w:val="00A35E6C"/>
    <w:rsid w:val="00A36C37"/>
    <w:rsid w:val="00A40E0E"/>
    <w:rsid w:val="00A41AEC"/>
    <w:rsid w:val="00A426E9"/>
    <w:rsid w:val="00A43450"/>
    <w:rsid w:val="00A4554A"/>
    <w:rsid w:val="00A45F08"/>
    <w:rsid w:val="00A46169"/>
    <w:rsid w:val="00A4637D"/>
    <w:rsid w:val="00A50C0C"/>
    <w:rsid w:val="00A50FD2"/>
    <w:rsid w:val="00A51314"/>
    <w:rsid w:val="00A52302"/>
    <w:rsid w:val="00A5371B"/>
    <w:rsid w:val="00A538B6"/>
    <w:rsid w:val="00A54586"/>
    <w:rsid w:val="00A5727D"/>
    <w:rsid w:val="00A57B1D"/>
    <w:rsid w:val="00A600C3"/>
    <w:rsid w:val="00A60F83"/>
    <w:rsid w:val="00A624BF"/>
    <w:rsid w:val="00A62BD1"/>
    <w:rsid w:val="00A65326"/>
    <w:rsid w:val="00A65C20"/>
    <w:rsid w:val="00A65CDD"/>
    <w:rsid w:val="00A65E27"/>
    <w:rsid w:val="00A66FD1"/>
    <w:rsid w:val="00A67344"/>
    <w:rsid w:val="00A705D8"/>
    <w:rsid w:val="00A709A8"/>
    <w:rsid w:val="00A70EB8"/>
    <w:rsid w:val="00A71D8D"/>
    <w:rsid w:val="00A729EC"/>
    <w:rsid w:val="00A740FD"/>
    <w:rsid w:val="00A763C6"/>
    <w:rsid w:val="00A765B2"/>
    <w:rsid w:val="00A77BF3"/>
    <w:rsid w:val="00A80ED8"/>
    <w:rsid w:val="00A829F1"/>
    <w:rsid w:val="00A83229"/>
    <w:rsid w:val="00A83DB4"/>
    <w:rsid w:val="00A83E38"/>
    <w:rsid w:val="00A83E9C"/>
    <w:rsid w:val="00A90C90"/>
    <w:rsid w:val="00A93309"/>
    <w:rsid w:val="00A95D5E"/>
    <w:rsid w:val="00A976DD"/>
    <w:rsid w:val="00A977F3"/>
    <w:rsid w:val="00AA4F7E"/>
    <w:rsid w:val="00AB0223"/>
    <w:rsid w:val="00AB13A7"/>
    <w:rsid w:val="00AB15E8"/>
    <w:rsid w:val="00AB275C"/>
    <w:rsid w:val="00AB27EF"/>
    <w:rsid w:val="00AB2BD0"/>
    <w:rsid w:val="00AB3AE7"/>
    <w:rsid w:val="00AB5E9A"/>
    <w:rsid w:val="00AB611B"/>
    <w:rsid w:val="00AB61F2"/>
    <w:rsid w:val="00AB79C4"/>
    <w:rsid w:val="00AC1A9C"/>
    <w:rsid w:val="00AC2AE8"/>
    <w:rsid w:val="00AC3514"/>
    <w:rsid w:val="00AC3D02"/>
    <w:rsid w:val="00AC435A"/>
    <w:rsid w:val="00AC4FD6"/>
    <w:rsid w:val="00AC7757"/>
    <w:rsid w:val="00AD0A5C"/>
    <w:rsid w:val="00AD157F"/>
    <w:rsid w:val="00AD4627"/>
    <w:rsid w:val="00AD4E1C"/>
    <w:rsid w:val="00AD5893"/>
    <w:rsid w:val="00AD5F71"/>
    <w:rsid w:val="00AD7CD3"/>
    <w:rsid w:val="00AE0E53"/>
    <w:rsid w:val="00AE1200"/>
    <w:rsid w:val="00AE2EFE"/>
    <w:rsid w:val="00AE3FA1"/>
    <w:rsid w:val="00AE4194"/>
    <w:rsid w:val="00AE5272"/>
    <w:rsid w:val="00AE5B88"/>
    <w:rsid w:val="00AE6D5C"/>
    <w:rsid w:val="00AE754C"/>
    <w:rsid w:val="00AF0C15"/>
    <w:rsid w:val="00AF0E31"/>
    <w:rsid w:val="00AF10CA"/>
    <w:rsid w:val="00AF1B61"/>
    <w:rsid w:val="00AF28D6"/>
    <w:rsid w:val="00AF3938"/>
    <w:rsid w:val="00AF3C3D"/>
    <w:rsid w:val="00AF5FC4"/>
    <w:rsid w:val="00B00CB4"/>
    <w:rsid w:val="00B02D85"/>
    <w:rsid w:val="00B02DA4"/>
    <w:rsid w:val="00B04337"/>
    <w:rsid w:val="00B04FC4"/>
    <w:rsid w:val="00B05758"/>
    <w:rsid w:val="00B076D0"/>
    <w:rsid w:val="00B07C15"/>
    <w:rsid w:val="00B10366"/>
    <w:rsid w:val="00B106E5"/>
    <w:rsid w:val="00B10A02"/>
    <w:rsid w:val="00B12BE8"/>
    <w:rsid w:val="00B13699"/>
    <w:rsid w:val="00B13C2F"/>
    <w:rsid w:val="00B14A17"/>
    <w:rsid w:val="00B15C63"/>
    <w:rsid w:val="00B22355"/>
    <w:rsid w:val="00B24712"/>
    <w:rsid w:val="00B247AD"/>
    <w:rsid w:val="00B24842"/>
    <w:rsid w:val="00B25C0D"/>
    <w:rsid w:val="00B26178"/>
    <w:rsid w:val="00B269C5"/>
    <w:rsid w:val="00B26EA5"/>
    <w:rsid w:val="00B2773D"/>
    <w:rsid w:val="00B306F7"/>
    <w:rsid w:val="00B30ACD"/>
    <w:rsid w:val="00B31D73"/>
    <w:rsid w:val="00B32525"/>
    <w:rsid w:val="00B3453E"/>
    <w:rsid w:val="00B35892"/>
    <w:rsid w:val="00B36F61"/>
    <w:rsid w:val="00B40086"/>
    <w:rsid w:val="00B4245A"/>
    <w:rsid w:val="00B42691"/>
    <w:rsid w:val="00B436D6"/>
    <w:rsid w:val="00B43812"/>
    <w:rsid w:val="00B444A1"/>
    <w:rsid w:val="00B4492D"/>
    <w:rsid w:val="00B458EA"/>
    <w:rsid w:val="00B50EBA"/>
    <w:rsid w:val="00B51845"/>
    <w:rsid w:val="00B5227C"/>
    <w:rsid w:val="00B5683A"/>
    <w:rsid w:val="00B56D17"/>
    <w:rsid w:val="00B60E52"/>
    <w:rsid w:val="00B62139"/>
    <w:rsid w:val="00B63093"/>
    <w:rsid w:val="00B645CB"/>
    <w:rsid w:val="00B649E2"/>
    <w:rsid w:val="00B64EAD"/>
    <w:rsid w:val="00B65957"/>
    <w:rsid w:val="00B667CC"/>
    <w:rsid w:val="00B67DB2"/>
    <w:rsid w:val="00B70022"/>
    <w:rsid w:val="00B70142"/>
    <w:rsid w:val="00B7052F"/>
    <w:rsid w:val="00B71496"/>
    <w:rsid w:val="00B7154C"/>
    <w:rsid w:val="00B725C0"/>
    <w:rsid w:val="00B72975"/>
    <w:rsid w:val="00B7346C"/>
    <w:rsid w:val="00B742FA"/>
    <w:rsid w:val="00B74933"/>
    <w:rsid w:val="00B74B77"/>
    <w:rsid w:val="00B7678A"/>
    <w:rsid w:val="00B76E16"/>
    <w:rsid w:val="00B7765E"/>
    <w:rsid w:val="00B7773C"/>
    <w:rsid w:val="00B82462"/>
    <w:rsid w:val="00B84042"/>
    <w:rsid w:val="00B8487D"/>
    <w:rsid w:val="00B849C8"/>
    <w:rsid w:val="00B85649"/>
    <w:rsid w:val="00B85E83"/>
    <w:rsid w:val="00B85EBE"/>
    <w:rsid w:val="00B8771F"/>
    <w:rsid w:val="00B90FF8"/>
    <w:rsid w:val="00B92DE8"/>
    <w:rsid w:val="00B93625"/>
    <w:rsid w:val="00B94835"/>
    <w:rsid w:val="00B948C4"/>
    <w:rsid w:val="00B95BC2"/>
    <w:rsid w:val="00BA1D5E"/>
    <w:rsid w:val="00BA1E1D"/>
    <w:rsid w:val="00BA207D"/>
    <w:rsid w:val="00BA211C"/>
    <w:rsid w:val="00BA226F"/>
    <w:rsid w:val="00BA3EC6"/>
    <w:rsid w:val="00BA4942"/>
    <w:rsid w:val="00BA52C9"/>
    <w:rsid w:val="00BA7F16"/>
    <w:rsid w:val="00BB043B"/>
    <w:rsid w:val="00BB108F"/>
    <w:rsid w:val="00BB2456"/>
    <w:rsid w:val="00BB27E4"/>
    <w:rsid w:val="00BB59AE"/>
    <w:rsid w:val="00BB6754"/>
    <w:rsid w:val="00BB6FB6"/>
    <w:rsid w:val="00BB7FE2"/>
    <w:rsid w:val="00BC09DA"/>
    <w:rsid w:val="00BC28AB"/>
    <w:rsid w:val="00BC4C63"/>
    <w:rsid w:val="00BC50BF"/>
    <w:rsid w:val="00BC59B9"/>
    <w:rsid w:val="00BC6E30"/>
    <w:rsid w:val="00BC7E53"/>
    <w:rsid w:val="00BD0FEC"/>
    <w:rsid w:val="00BD105B"/>
    <w:rsid w:val="00BD1A42"/>
    <w:rsid w:val="00BD1B26"/>
    <w:rsid w:val="00BD2A35"/>
    <w:rsid w:val="00BD48D1"/>
    <w:rsid w:val="00BD5BC5"/>
    <w:rsid w:val="00BD5F36"/>
    <w:rsid w:val="00BD632C"/>
    <w:rsid w:val="00BD7038"/>
    <w:rsid w:val="00BD7DE6"/>
    <w:rsid w:val="00BE05B7"/>
    <w:rsid w:val="00BE08FC"/>
    <w:rsid w:val="00BE1366"/>
    <w:rsid w:val="00BE39F2"/>
    <w:rsid w:val="00BE422C"/>
    <w:rsid w:val="00BE44F6"/>
    <w:rsid w:val="00BE5AEE"/>
    <w:rsid w:val="00BE5DFC"/>
    <w:rsid w:val="00BE5FB7"/>
    <w:rsid w:val="00BE6B59"/>
    <w:rsid w:val="00BF0EFA"/>
    <w:rsid w:val="00BF2881"/>
    <w:rsid w:val="00BF32DA"/>
    <w:rsid w:val="00BF3542"/>
    <w:rsid w:val="00BF393A"/>
    <w:rsid w:val="00BF3FEE"/>
    <w:rsid w:val="00BF4BC4"/>
    <w:rsid w:val="00BF4D31"/>
    <w:rsid w:val="00C00822"/>
    <w:rsid w:val="00C00F35"/>
    <w:rsid w:val="00C01629"/>
    <w:rsid w:val="00C033CB"/>
    <w:rsid w:val="00C0356B"/>
    <w:rsid w:val="00C03B50"/>
    <w:rsid w:val="00C0425D"/>
    <w:rsid w:val="00C043E3"/>
    <w:rsid w:val="00C04654"/>
    <w:rsid w:val="00C05176"/>
    <w:rsid w:val="00C054B9"/>
    <w:rsid w:val="00C074A3"/>
    <w:rsid w:val="00C07682"/>
    <w:rsid w:val="00C07D3C"/>
    <w:rsid w:val="00C12222"/>
    <w:rsid w:val="00C13C6A"/>
    <w:rsid w:val="00C13FDB"/>
    <w:rsid w:val="00C141AB"/>
    <w:rsid w:val="00C15851"/>
    <w:rsid w:val="00C167A3"/>
    <w:rsid w:val="00C168BC"/>
    <w:rsid w:val="00C17455"/>
    <w:rsid w:val="00C17944"/>
    <w:rsid w:val="00C20D0A"/>
    <w:rsid w:val="00C20D98"/>
    <w:rsid w:val="00C215F8"/>
    <w:rsid w:val="00C21AA8"/>
    <w:rsid w:val="00C255D4"/>
    <w:rsid w:val="00C26D0F"/>
    <w:rsid w:val="00C30913"/>
    <w:rsid w:val="00C3144F"/>
    <w:rsid w:val="00C32230"/>
    <w:rsid w:val="00C323C3"/>
    <w:rsid w:val="00C333EB"/>
    <w:rsid w:val="00C33FA4"/>
    <w:rsid w:val="00C35EE3"/>
    <w:rsid w:val="00C36534"/>
    <w:rsid w:val="00C409C2"/>
    <w:rsid w:val="00C41969"/>
    <w:rsid w:val="00C42C81"/>
    <w:rsid w:val="00C43335"/>
    <w:rsid w:val="00C438B1"/>
    <w:rsid w:val="00C43ACB"/>
    <w:rsid w:val="00C43E5E"/>
    <w:rsid w:val="00C44E90"/>
    <w:rsid w:val="00C4545D"/>
    <w:rsid w:val="00C478F6"/>
    <w:rsid w:val="00C47C1D"/>
    <w:rsid w:val="00C50CF3"/>
    <w:rsid w:val="00C510D1"/>
    <w:rsid w:val="00C52A33"/>
    <w:rsid w:val="00C543DA"/>
    <w:rsid w:val="00C54FEB"/>
    <w:rsid w:val="00C60974"/>
    <w:rsid w:val="00C63CFB"/>
    <w:rsid w:val="00C651DF"/>
    <w:rsid w:val="00C659EF"/>
    <w:rsid w:val="00C66FC0"/>
    <w:rsid w:val="00C67D07"/>
    <w:rsid w:val="00C70978"/>
    <w:rsid w:val="00C713FD"/>
    <w:rsid w:val="00C72B32"/>
    <w:rsid w:val="00C72B9F"/>
    <w:rsid w:val="00C73103"/>
    <w:rsid w:val="00C73C3E"/>
    <w:rsid w:val="00C74DD3"/>
    <w:rsid w:val="00C76CFD"/>
    <w:rsid w:val="00C76FA4"/>
    <w:rsid w:val="00C776C6"/>
    <w:rsid w:val="00C805D7"/>
    <w:rsid w:val="00C80E7F"/>
    <w:rsid w:val="00C8324F"/>
    <w:rsid w:val="00C83D59"/>
    <w:rsid w:val="00C86CDD"/>
    <w:rsid w:val="00C92F0D"/>
    <w:rsid w:val="00C9352F"/>
    <w:rsid w:val="00C93AA6"/>
    <w:rsid w:val="00C9450D"/>
    <w:rsid w:val="00C95175"/>
    <w:rsid w:val="00C96171"/>
    <w:rsid w:val="00C963B6"/>
    <w:rsid w:val="00C974BB"/>
    <w:rsid w:val="00C97906"/>
    <w:rsid w:val="00C97EB1"/>
    <w:rsid w:val="00CA07D0"/>
    <w:rsid w:val="00CA18D1"/>
    <w:rsid w:val="00CA1CC2"/>
    <w:rsid w:val="00CA2861"/>
    <w:rsid w:val="00CA28CC"/>
    <w:rsid w:val="00CA2C23"/>
    <w:rsid w:val="00CA36F1"/>
    <w:rsid w:val="00CA4F59"/>
    <w:rsid w:val="00CA5431"/>
    <w:rsid w:val="00CA5501"/>
    <w:rsid w:val="00CA56FA"/>
    <w:rsid w:val="00CA60A7"/>
    <w:rsid w:val="00CA72EC"/>
    <w:rsid w:val="00CA7A53"/>
    <w:rsid w:val="00CB0CA2"/>
    <w:rsid w:val="00CB17DC"/>
    <w:rsid w:val="00CB206E"/>
    <w:rsid w:val="00CB2640"/>
    <w:rsid w:val="00CB53A1"/>
    <w:rsid w:val="00CB6333"/>
    <w:rsid w:val="00CB7025"/>
    <w:rsid w:val="00CB706D"/>
    <w:rsid w:val="00CB726A"/>
    <w:rsid w:val="00CC0476"/>
    <w:rsid w:val="00CC08E3"/>
    <w:rsid w:val="00CC13F1"/>
    <w:rsid w:val="00CC4191"/>
    <w:rsid w:val="00CC523E"/>
    <w:rsid w:val="00CC5A74"/>
    <w:rsid w:val="00CC6E21"/>
    <w:rsid w:val="00CD0CED"/>
    <w:rsid w:val="00CD1367"/>
    <w:rsid w:val="00CD34DC"/>
    <w:rsid w:val="00CD5390"/>
    <w:rsid w:val="00CD678F"/>
    <w:rsid w:val="00CE0706"/>
    <w:rsid w:val="00CE48B5"/>
    <w:rsid w:val="00CE490F"/>
    <w:rsid w:val="00CE4B6F"/>
    <w:rsid w:val="00CE4F0F"/>
    <w:rsid w:val="00CE59DD"/>
    <w:rsid w:val="00CE7EC6"/>
    <w:rsid w:val="00CE7F5C"/>
    <w:rsid w:val="00CF00E3"/>
    <w:rsid w:val="00CF013B"/>
    <w:rsid w:val="00CF0911"/>
    <w:rsid w:val="00CF125F"/>
    <w:rsid w:val="00CF1BD9"/>
    <w:rsid w:val="00CF2F6C"/>
    <w:rsid w:val="00CF3FDC"/>
    <w:rsid w:val="00CF4C04"/>
    <w:rsid w:val="00CF4C7C"/>
    <w:rsid w:val="00CF4C9F"/>
    <w:rsid w:val="00CF5E8E"/>
    <w:rsid w:val="00D00A6F"/>
    <w:rsid w:val="00D0113F"/>
    <w:rsid w:val="00D020FB"/>
    <w:rsid w:val="00D04B9A"/>
    <w:rsid w:val="00D0550D"/>
    <w:rsid w:val="00D07609"/>
    <w:rsid w:val="00D12116"/>
    <w:rsid w:val="00D13480"/>
    <w:rsid w:val="00D149B2"/>
    <w:rsid w:val="00D14C51"/>
    <w:rsid w:val="00D16842"/>
    <w:rsid w:val="00D17C08"/>
    <w:rsid w:val="00D216E7"/>
    <w:rsid w:val="00D22C07"/>
    <w:rsid w:val="00D22F38"/>
    <w:rsid w:val="00D2309B"/>
    <w:rsid w:val="00D23E71"/>
    <w:rsid w:val="00D257D1"/>
    <w:rsid w:val="00D2638B"/>
    <w:rsid w:val="00D26642"/>
    <w:rsid w:val="00D26FB0"/>
    <w:rsid w:val="00D26FC6"/>
    <w:rsid w:val="00D332B5"/>
    <w:rsid w:val="00D33771"/>
    <w:rsid w:val="00D33DDF"/>
    <w:rsid w:val="00D34748"/>
    <w:rsid w:val="00D34E4B"/>
    <w:rsid w:val="00D367A6"/>
    <w:rsid w:val="00D37A0B"/>
    <w:rsid w:val="00D404D1"/>
    <w:rsid w:val="00D43443"/>
    <w:rsid w:val="00D436A8"/>
    <w:rsid w:val="00D43AE0"/>
    <w:rsid w:val="00D44C7E"/>
    <w:rsid w:val="00D47C82"/>
    <w:rsid w:val="00D51AB0"/>
    <w:rsid w:val="00D51D4D"/>
    <w:rsid w:val="00D51F50"/>
    <w:rsid w:val="00D52CB5"/>
    <w:rsid w:val="00D5335F"/>
    <w:rsid w:val="00D542DF"/>
    <w:rsid w:val="00D5548A"/>
    <w:rsid w:val="00D56323"/>
    <w:rsid w:val="00D619E4"/>
    <w:rsid w:val="00D61AE6"/>
    <w:rsid w:val="00D62400"/>
    <w:rsid w:val="00D648F1"/>
    <w:rsid w:val="00D64A6A"/>
    <w:rsid w:val="00D659C0"/>
    <w:rsid w:val="00D66777"/>
    <w:rsid w:val="00D66CE1"/>
    <w:rsid w:val="00D701E3"/>
    <w:rsid w:val="00D70316"/>
    <w:rsid w:val="00D708A9"/>
    <w:rsid w:val="00D70F9D"/>
    <w:rsid w:val="00D75DCF"/>
    <w:rsid w:val="00D762DD"/>
    <w:rsid w:val="00D8026A"/>
    <w:rsid w:val="00D831E5"/>
    <w:rsid w:val="00D83E9B"/>
    <w:rsid w:val="00D84128"/>
    <w:rsid w:val="00D843E4"/>
    <w:rsid w:val="00D84881"/>
    <w:rsid w:val="00D86F73"/>
    <w:rsid w:val="00D9054F"/>
    <w:rsid w:val="00D9109E"/>
    <w:rsid w:val="00D9372C"/>
    <w:rsid w:val="00D94030"/>
    <w:rsid w:val="00D945E1"/>
    <w:rsid w:val="00D96385"/>
    <w:rsid w:val="00DA0642"/>
    <w:rsid w:val="00DA1AD8"/>
    <w:rsid w:val="00DA31CB"/>
    <w:rsid w:val="00DA37FB"/>
    <w:rsid w:val="00DA4DD2"/>
    <w:rsid w:val="00DA5853"/>
    <w:rsid w:val="00DA594C"/>
    <w:rsid w:val="00DA7835"/>
    <w:rsid w:val="00DA78B6"/>
    <w:rsid w:val="00DB2C42"/>
    <w:rsid w:val="00DB3A96"/>
    <w:rsid w:val="00DB70DD"/>
    <w:rsid w:val="00DB7302"/>
    <w:rsid w:val="00DB79B4"/>
    <w:rsid w:val="00DC03C4"/>
    <w:rsid w:val="00DC081B"/>
    <w:rsid w:val="00DC14C5"/>
    <w:rsid w:val="00DC1EFA"/>
    <w:rsid w:val="00DC202F"/>
    <w:rsid w:val="00DC494A"/>
    <w:rsid w:val="00DC54FF"/>
    <w:rsid w:val="00DC63EF"/>
    <w:rsid w:val="00DC7633"/>
    <w:rsid w:val="00DC7B37"/>
    <w:rsid w:val="00DC7BAB"/>
    <w:rsid w:val="00DD17C0"/>
    <w:rsid w:val="00DD2680"/>
    <w:rsid w:val="00DD334F"/>
    <w:rsid w:val="00DD3F1B"/>
    <w:rsid w:val="00DD3FC9"/>
    <w:rsid w:val="00DD6969"/>
    <w:rsid w:val="00DD72A0"/>
    <w:rsid w:val="00DE2C2B"/>
    <w:rsid w:val="00DE2C77"/>
    <w:rsid w:val="00DE3664"/>
    <w:rsid w:val="00DE401D"/>
    <w:rsid w:val="00DE409E"/>
    <w:rsid w:val="00DE5A07"/>
    <w:rsid w:val="00DE5C42"/>
    <w:rsid w:val="00DE6306"/>
    <w:rsid w:val="00DE788B"/>
    <w:rsid w:val="00DF1149"/>
    <w:rsid w:val="00DF1489"/>
    <w:rsid w:val="00DF1A6B"/>
    <w:rsid w:val="00DF2215"/>
    <w:rsid w:val="00DF308A"/>
    <w:rsid w:val="00DF7E95"/>
    <w:rsid w:val="00E00C75"/>
    <w:rsid w:val="00E0245D"/>
    <w:rsid w:val="00E02CF9"/>
    <w:rsid w:val="00E02E7B"/>
    <w:rsid w:val="00E02F83"/>
    <w:rsid w:val="00E043E2"/>
    <w:rsid w:val="00E04A79"/>
    <w:rsid w:val="00E06813"/>
    <w:rsid w:val="00E075A1"/>
    <w:rsid w:val="00E07E61"/>
    <w:rsid w:val="00E10220"/>
    <w:rsid w:val="00E1095B"/>
    <w:rsid w:val="00E1221E"/>
    <w:rsid w:val="00E12221"/>
    <w:rsid w:val="00E1247E"/>
    <w:rsid w:val="00E12CEE"/>
    <w:rsid w:val="00E12D3F"/>
    <w:rsid w:val="00E13A6E"/>
    <w:rsid w:val="00E141E7"/>
    <w:rsid w:val="00E15A1D"/>
    <w:rsid w:val="00E16FBB"/>
    <w:rsid w:val="00E21B96"/>
    <w:rsid w:val="00E21E1A"/>
    <w:rsid w:val="00E220EF"/>
    <w:rsid w:val="00E2588D"/>
    <w:rsid w:val="00E25DC8"/>
    <w:rsid w:val="00E30E72"/>
    <w:rsid w:val="00E31E13"/>
    <w:rsid w:val="00E3276D"/>
    <w:rsid w:val="00E32A26"/>
    <w:rsid w:val="00E32C91"/>
    <w:rsid w:val="00E33556"/>
    <w:rsid w:val="00E33979"/>
    <w:rsid w:val="00E34E3C"/>
    <w:rsid w:val="00E360F5"/>
    <w:rsid w:val="00E36485"/>
    <w:rsid w:val="00E36551"/>
    <w:rsid w:val="00E37304"/>
    <w:rsid w:val="00E44EE8"/>
    <w:rsid w:val="00E4500C"/>
    <w:rsid w:val="00E450B7"/>
    <w:rsid w:val="00E5015B"/>
    <w:rsid w:val="00E5247B"/>
    <w:rsid w:val="00E5256D"/>
    <w:rsid w:val="00E52BB3"/>
    <w:rsid w:val="00E542B3"/>
    <w:rsid w:val="00E55550"/>
    <w:rsid w:val="00E55584"/>
    <w:rsid w:val="00E556BB"/>
    <w:rsid w:val="00E55E4B"/>
    <w:rsid w:val="00E56A38"/>
    <w:rsid w:val="00E5706F"/>
    <w:rsid w:val="00E57608"/>
    <w:rsid w:val="00E57B57"/>
    <w:rsid w:val="00E60BB1"/>
    <w:rsid w:val="00E60C05"/>
    <w:rsid w:val="00E62DAA"/>
    <w:rsid w:val="00E63828"/>
    <w:rsid w:val="00E645CD"/>
    <w:rsid w:val="00E649E1"/>
    <w:rsid w:val="00E64D24"/>
    <w:rsid w:val="00E6616B"/>
    <w:rsid w:val="00E70301"/>
    <w:rsid w:val="00E70E86"/>
    <w:rsid w:val="00E71833"/>
    <w:rsid w:val="00E721F1"/>
    <w:rsid w:val="00E72A3A"/>
    <w:rsid w:val="00E74263"/>
    <w:rsid w:val="00E763E0"/>
    <w:rsid w:val="00E81592"/>
    <w:rsid w:val="00E82370"/>
    <w:rsid w:val="00E833DF"/>
    <w:rsid w:val="00E83EC4"/>
    <w:rsid w:val="00E846B4"/>
    <w:rsid w:val="00E84EF4"/>
    <w:rsid w:val="00E85194"/>
    <w:rsid w:val="00E85DBD"/>
    <w:rsid w:val="00E85FEF"/>
    <w:rsid w:val="00E8628E"/>
    <w:rsid w:val="00E902E8"/>
    <w:rsid w:val="00E90D30"/>
    <w:rsid w:val="00E932AD"/>
    <w:rsid w:val="00E933E8"/>
    <w:rsid w:val="00E95057"/>
    <w:rsid w:val="00E96368"/>
    <w:rsid w:val="00E96C36"/>
    <w:rsid w:val="00EA0CD7"/>
    <w:rsid w:val="00EA120C"/>
    <w:rsid w:val="00EA1DD4"/>
    <w:rsid w:val="00EA3AFA"/>
    <w:rsid w:val="00EA4A2C"/>
    <w:rsid w:val="00EA6170"/>
    <w:rsid w:val="00EA68F6"/>
    <w:rsid w:val="00EA6F3A"/>
    <w:rsid w:val="00EB0152"/>
    <w:rsid w:val="00EB07E3"/>
    <w:rsid w:val="00EB2A93"/>
    <w:rsid w:val="00EB2BF3"/>
    <w:rsid w:val="00EB35EF"/>
    <w:rsid w:val="00EB4110"/>
    <w:rsid w:val="00EB4426"/>
    <w:rsid w:val="00EB4E60"/>
    <w:rsid w:val="00EB6B09"/>
    <w:rsid w:val="00EB7D25"/>
    <w:rsid w:val="00EC1765"/>
    <w:rsid w:val="00EC2D02"/>
    <w:rsid w:val="00EC2F76"/>
    <w:rsid w:val="00EC3472"/>
    <w:rsid w:val="00ED2A3A"/>
    <w:rsid w:val="00ED2A96"/>
    <w:rsid w:val="00ED2CE4"/>
    <w:rsid w:val="00ED4EB9"/>
    <w:rsid w:val="00ED5D4B"/>
    <w:rsid w:val="00ED62E8"/>
    <w:rsid w:val="00ED71F2"/>
    <w:rsid w:val="00ED7365"/>
    <w:rsid w:val="00ED7FF8"/>
    <w:rsid w:val="00EE1377"/>
    <w:rsid w:val="00EE1839"/>
    <w:rsid w:val="00EE32CD"/>
    <w:rsid w:val="00EE396D"/>
    <w:rsid w:val="00EE58E6"/>
    <w:rsid w:val="00EE5B1F"/>
    <w:rsid w:val="00EE755D"/>
    <w:rsid w:val="00EF141E"/>
    <w:rsid w:val="00EF1BFB"/>
    <w:rsid w:val="00EF28E5"/>
    <w:rsid w:val="00EF2EAF"/>
    <w:rsid w:val="00EF31CB"/>
    <w:rsid w:val="00EF3621"/>
    <w:rsid w:val="00EF4239"/>
    <w:rsid w:val="00EF6E8B"/>
    <w:rsid w:val="00EF6F5A"/>
    <w:rsid w:val="00EF78DE"/>
    <w:rsid w:val="00EF7F9A"/>
    <w:rsid w:val="00F03235"/>
    <w:rsid w:val="00F04D60"/>
    <w:rsid w:val="00F055B3"/>
    <w:rsid w:val="00F0628A"/>
    <w:rsid w:val="00F14782"/>
    <w:rsid w:val="00F1499F"/>
    <w:rsid w:val="00F15F8D"/>
    <w:rsid w:val="00F16D2A"/>
    <w:rsid w:val="00F20A31"/>
    <w:rsid w:val="00F21924"/>
    <w:rsid w:val="00F255CD"/>
    <w:rsid w:val="00F25DF7"/>
    <w:rsid w:val="00F30CFE"/>
    <w:rsid w:val="00F3391B"/>
    <w:rsid w:val="00F33B01"/>
    <w:rsid w:val="00F3472A"/>
    <w:rsid w:val="00F34993"/>
    <w:rsid w:val="00F34B38"/>
    <w:rsid w:val="00F36996"/>
    <w:rsid w:val="00F37A6D"/>
    <w:rsid w:val="00F41BE4"/>
    <w:rsid w:val="00F45A5B"/>
    <w:rsid w:val="00F45A77"/>
    <w:rsid w:val="00F53DAC"/>
    <w:rsid w:val="00F54041"/>
    <w:rsid w:val="00F5428C"/>
    <w:rsid w:val="00F550C9"/>
    <w:rsid w:val="00F601D5"/>
    <w:rsid w:val="00F60724"/>
    <w:rsid w:val="00F608C4"/>
    <w:rsid w:val="00F61B5C"/>
    <w:rsid w:val="00F621B2"/>
    <w:rsid w:val="00F62895"/>
    <w:rsid w:val="00F62A6B"/>
    <w:rsid w:val="00F631C8"/>
    <w:rsid w:val="00F638F5"/>
    <w:rsid w:val="00F63982"/>
    <w:rsid w:val="00F645C9"/>
    <w:rsid w:val="00F64925"/>
    <w:rsid w:val="00F64C6A"/>
    <w:rsid w:val="00F659A6"/>
    <w:rsid w:val="00F65CAC"/>
    <w:rsid w:val="00F66254"/>
    <w:rsid w:val="00F66C34"/>
    <w:rsid w:val="00F678F2"/>
    <w:rsid w:val="00F67BC1"/>
    <w:rsid w:val="00F70956"/>
    <w:rsid w:val="00F71555"/>
    <w:rsid w:val="00F730EC"/>
    <w:rsid w:val="00F73FB6"/>
    <w:rsid w:val="00F743E6"/>
    <w:rsid w:val="00F74AC9"/>
    <w:rsid w:val="00F74BA9"/>
    <w:rsid w:val="00F7622D"/>
    <w:rsid w:val="00F762CF"/>
    <w:rsid w:val="00F7778F"/>
    <w:rsid w:val="00F80666"/>
    <w:rsid w:val="00F81A97"/>
    <w:rsid w:val="00F81EAA"/>
    <w:rsid w:val="00F820E7"/>
    <w:rsid w:val="00F82D01"/>
    <w:rsid w:val="00F850DE"/>
    <w:rsid w:val="00F8571C"/>
    <w:rsid w:val="00F870C5"/>
    <w:rsid w:val="00F93FE0"/>
    <w:rsid w:val="00F947D0"/>
    <w:rsid w:val="00F94D62"/>
    <w:rsid w:val="00F95329"/>
    <w:rsid w:val="00F9589C"/>
    <w:rsid w:val="00F963CC"/>
    <w:rsid w:val="00F97120"/>
    <w:rsid w:val="00FA0A91"/>
    <w:rsid w:val="00FA1E7B"/>
    <w:rsid w:val="00FA2843"/>
    <w:rsid w:val="00FA301C"/>
    <w:rsid w:val="00FA3C3D"/>
    <w:rsid w:val="00FA5319"/>
    <w:rsid w:val="00FA70B4"/>
    <w:rsid w:val="00FB0A8C"/>
    <w:rsid w:val="00FB1372"/>
    <w:rsid w:val="00FB14DB"/>
    <w:rsid w:val="00FB2439"/>
    <w:rsid w:val="00FB2BD6"/>
    <w:rsid w:val="00FB44E5"/>
    <w:rsid w:val="00FB55A4"/>
    <w:rsid w:val="00FB6D2F"/>
    <w:rsid w:val="00FB6F0E"/>
    <w:rsid w:val="00FC5E05"/>
    <w:rsid w:val="00FC6E7D"/>
    <w:rsid w:val="00FC757B"/>
    <w:rsid w:val="00FC76A4"/>
    <w:rsid w:val="00FC7B8D"/>
    <w:rsid w:val="00FD01E2"/>
    <w:rsid w:val="00FD06EF"/>
    <w:rsid w:val="00FD2CE7"/>
    <w:rsid w:val="00FD371B"/>
    <w:rsid w:val="00FD4D4B"/>
    <w:rsid w:val="00FE389F"/>
    <w:rsid w:val="00FE3B2F"/>
    <w:rsid w:val="00FE404A"/>
    <w:rsid w:val="00FE4109"/>
    <w:rsid w:val="00FE432F"/>
    <w:rsid w:val="00FE45EF"/>
    <w:rsid w:val="00FE4F04"/>
    <w:rsid w:val="00FE5390"/>
    <w:rsid w:val="00FE551B"/>
    <w:rsid w:val="00FE6A6D"/>
    <w:rsid w:val="00FE7A38"/>
    <w:rsid w:val="00FF0A59"/>
    <w:rsid w:val="00FF0DB7"/>
    <w:rsid w:val="00FF1E65"/>
    <w:rsid w:val="00FF2133"/>
    <w:rsid w:val="00FF3027"/>
    <w:rsid w:val="00FF3267"/>
    <w:rsid w:val="00FF4220"/>
    <w:rsid w:val="00FF4BE7"/>
    <w:rsid w:val="00FF7597"/>
    <w:rsid w:val="01F96EC8"/>
    <w:rsid w:val="028719D0"/>
    <w:rsid w:val="029B75CA"/>
    <w:rsid w:val="02F01725"/>
    <w:rsid w:val="033A25B1"/>
    <w:rsid w:val="038B058F"/>
    <w:rsid w:val="0399335C"/>
    <w:rsid w:val="03CF5E7E"/>
    <w:rsid w:val="03FB5299"/>
    <w:rsid w:val="04444A13"/>
    <w:rsid w:val="04DF500F"/>
    <w:rsid w:val="04E64BF6"/>
    <w:rsid w:val="04FC6AE0"/>
    <w:rsid w:val="05133C75"/>
    <w:rsid w:val="0582366F"/>
    <w:rsid w:val="058E5767"/>
    <w:rsid w:val="0624121E"/>
    <w:rsid w:val="06273CD6"/>
    <w:rsid w:val="065822CA"/>
    <w:rsid w:val="06DB1A08"/>
    <w:rsid w:val="085B0C61"/>
    <w:rsid w:val="0A4D0927"/>
    <w:rsid w:val="0A985D5F"/>
    <w:rsid w:val="0BCF2858"/>
    <w:rsid w:val="0C64677F"/>
    <w:rsid w:val="0C69007D"/>
    <w:rsid w:val="0C6B18E3"/>
    <w:rsid w:val="0C8C1159"/>
    <w:rsid w:val="0D0560F5"/>
    <w:rsid w:val="0D2D06D9"/>
    <w:rsid w:val="0E4214F1"/>
    <w:rsid w:val="0F183AD3"/>
    <w:rsid w:val="0F3E72BB"/>
    <w:rsid w:val="11286AF9"/>
    <w:rsid w:val="1215457F"/>
    <w:rsid w:val="121B7CCF"/>
    <w:rsid w:val="12551F23"/>
    <w:rsid w:val="1300231C"/>
    <w:rsid w:val="135F2949"/>
    <w:rsid w:val="13B41C63"/>
    <w:rsid w:val="13FE1610"/>
    <w:rsid w:val="1540541D"/>
    <w:rsid w:val="15565967"/>
    <w:rsid w:val="169528F0"/>
    <w:rsid w:val="169725E3"/>
    <w:rsid w:val="178D35C8"/>
    <w:rsid w:val="1864257A"/>
    <w:rsid w:val="1880735D"/>
    <w:rsid w:val="19467B43"/>
    <w:rsid w:val="195864CF"/>
    <w:rsid w:val="19A90B8D"/>
    <w:rsid w:val="1ACE4623"/>
    <w:rsid w:val="1AF02DF1"/>
    <w:rsid w:val="1BEB5A4F"/>
    <w:rsid w:val="1C4A047F"/>
    <w:rsid w:val="1C7D52CF"/>
    <w:rsid w:val="1C9378D2"/>
    <w:rsid w:val="1C9657E5"/>
    <w:rsid w:val="1DA05AA4"/>
    <w:rsid w:val="1E3C392C"/>
    <w:rsid w:val="1E6312E8"/>
    <w:rsid w:val="1E676D64"/>
    <w:rsid w:val="1F1D250F"/>
    <w:rsid w:val="1F657590"/>
    <w:rsid w:val="20387569"/>
    <w:rsid w:val="20BC5B4A"/>
    <w:rsid w:val="20BD3FB9"/>
    <w:rsid w:val="211E0F0D"/>
    <w:rsid w:val="225C361F"/>
    <w:rsid w:val="22AB3ABF"/>
    <w:rsid w:val="23235776"/>
    <w:rsid w:val="23295E88"/>
    <w:rsid w:val="233200D8"/>
    <w:rsid w:val="23940E02"/>
    <w:rsid w:val="23D5576A"/>
    <w:rsid w:val="23DA2AF1"/>
    <w:rsid w:val="2432352D"/>
    <w:rsid w:val="245A0DBF"/>
    <w:rsid w:val="24823C47"/>
    <w:rsid w:val="255D4DBB"/>
    <w:rsid w:val="25A0311B"/>
    <w:rsid w:val="25F37777"/>
    <w:rsid w:val="2604087D"/>
    <w:rsid w:val="262729DB"/>
    <w:rsid w:val="265D08F5"/>
    <w:rsid w:val="26833736"/>
    <w:rsid w:val="26A3777A"/>
    <w:rsid w:val="270218C6"/>
    <w:rsid w:val="27102E5E"/>
    <w:rsid w:val="277327DA"/>
    <w:rsid w:val="27846795"/>
    <w:rsid w:val="27BF15AE"/>
    <w:rsid w:val="280F46A2"/>
    <w:rsid w:val="296205E8"/>
    <w:rsid w:val="29903B9B"/>
    <w:rsid w:val="2A1F668A"/>
    <w:rsid w:val="2A69499D"/>
    <w:rsid w:val="2A834201"/>
    <w:rsid w:val="2B7C33F3"/>
    <w:rsid w:val="2B9E2BAB"/>
    <w:rsid w:val="2D007763"/>
    <w:rsid w:val="2D3A1340"/>
    <w:rsid w:val="2D616B06"/>
    <w:rsid w:val="2DEF64CC"/>
    <w:rsid w:val="2EFC2F0B"/>
    <w:rsid w:val="2F07146F"/>
    <w:rsid w:val="2F3467D9"/>
    <w:rsid w:val="2F6259C4"/>
    <w:rsid w:val="2F982E42"/>
    <w:rsid w:val="2FC20D6A"/>
    <w:rsid w:val="2FCE2B54"/>
    <w:rsid w:val="2FD61B58"/>
    <w:rsid w:val="302650B3"/>
    <w:rsid w:val="304F119F"/>
    <w:rsid w:val="31063299"/>
    <w:rsid w:val="3161109D"/>
    <w:rsid w:val="31833929"/>
    <w:rsid w:val="31A70840"/>
    <w:rsid w:val="327E4671"/>
    <w:rsid w:val="32814119"/>
    <w:rsid w:val="32C91500"/>
    <w:rsid w:val="32DD31FD"/>
    <w:rsid w:val="32FF212E"/>
    <w:rsid w:val="33452B84"/>
    <w:rsid w:val="33604D90"/>
    <w:rsid w:val="337B4AD8"/>
    <w:rsid w:val="33E10EBA"/>
    <w:rsid w:val="341E3ACD"/>
    <w:rsid w:val="34782C49"/>
    <w:rsid w:val="3530593D"/>
    <w:rsid w:val="35713623"/>
    <w:rsid w:val="35731C8E"/>
    <w:rsid w:val="35A07995"/>
    <w:rsid w:val="36440851"/>
    <w:rsid w:val="365618E5"/>
    <w:rsid w:val="36D72B72"/>
    <w:rsid w:val="36DA1DD6"/>
    <w:rsid w:val="36E8395A"/>
    <w:rsid w:val="37EB3DB8"/>
    <w:rsid w:val="3A227D51"/>
    <w:rsid w:val="3A2F0615"/>
    <w:rsid w:val="3B03797B"/>
    <w:rsid w:val="3DD27E02"/>
    <w:rsid w:val="3DF14808"/>
    <w:rsid w:val="3E8D3B5F"/>
    <w:rsid w:val="3EE03D50"/>
    <w:rsid w:val="3F735C9E"/>
    <w:rsid w:val="402167DB"/>
    <w:rsid w:val="40520794"/>
    <w:rsid w:val="416903A7"/>
    <w:rsid w:val="41B94863"/>
    <w:rsid w:val="41D53D0D"/>
    <w:rsid w:val="433A6730"/>
    <w:rsid w:val="43BA29DA"/>
    <w:rsid w:val="44AE507F"/>
    <w:rsid w:val="46252A99"/>
    <w:rsid w:val="46B22E05"/>
    <w:rsid w:val="46E746AD"/>
    <w:rsid w:val="46F801AE"/>
    <w:rsid w:val="47350E6C"/>
    <w:rsid w:val="47920C5A"/>
    <w:rsid w:val="485C6422"/>
    <w:rsid w:val="48684DC2"/>
    <w:rsid w:val="48D423AA"/>
    <w:rsid w:val="48EA489A"/>
    <w:rsid w:val="49064DD9"/>
    <w:rsid w:val="49455B97"/>
    <w:rsid w:val="4A565917"/>
    <w:rsid w:val="4AAB04C6"/>
    <w:rsid w:val="4AB675C4"/>
    <w:rsid w:val="4B592EEF"/>
    <w:rsid w:val="4B785D74"/>
    <w:rsid w:val="4BF44DCB"/>
    <w:rsid w:val="4C32593C"/>
    <w:rsid w:val="4C8D6025"/>
    <w:rsid w:val="4CAE18F7"/>
    <w:rsid w:val="4CDB2104"/>
    <w:rsid w:val="4CE62415"/>
    <w:rsid w:val="4D844CA2"/>
    <w:rsid w:val="4DF32114"/>
    <w:rsid w:val="4DF760BF"/>
    <w:rsid w:val="4E50267E"/>
    <w:rsid w:val="4E8A3F21"/>
    <w:rsid w:val="4F025AF6"/>
    <w:rsid w:val="4F531A9B"/>
    <w:rsid w:val="4F5F211C"/>
    <w:rsid w:val="519B78A3"/>
    <w:rsid w:val="51C265BA"/>
    <w:rsid w:val="51DB4D42"/>
    <w:rsid w:val="51EB5B30"/>
    <w:rsid w:val="52DF4D0E"/>
    <w:rsid w:val="52EA7BC9"/>
    <w:rsid w:val="536F35A6"/>
    <w:rsid w:val="53B97272"/>
    <w:rsid w:val="54C61014"/>
    <w:rsid w:val="554379A2"/>
    <w:rsid w:val="55961E7F"/>
    <w:rsid w:val="55D20505"/>
    <w:rsid w:val="56504935"/>
    <w:rsid w:val="56B14DB5"/>
    <w:rsid w:val="56D46542"/>
    <w:rsid w:val="56E61DD1"/>
    <w:rsid w:val="57D32DD0"/>
    <w:rsid w:val="588C6B97"/>
    <w:rsid w:val="59234368"/>
    <w:rsid w:val="59567CD3"/>
    <w:rsid w:val="59B960C5"/>
    <w:rsid w:val="5A527759"/>
    <w:rsid w:val="5A834B3B"/>
    <w:rsid w:val="5AAC2C1F"/>
    <w:rsid w:val="5B293C03"/>
    <w:rsid w:val="5B3062C7"/>
    <w:rsid w:val="5B98782B"/>
    <w:rsid w:val="5C076B8D"/>
    <w:rsid w:val="5C491F73"/>
    <w:rsid w:val="5C4A5F64"/>
    <w:rsid w:val="5C597F61"/>
    <w:rsid w:val="5C671565"/>
    <w:rsid w:val="5CCC18B7"/>
    <w:rsid w:val="5CDA33D6"/>
    <w:rsid w:val="5D800BB6"/>
    <w:rsid w:val="5D821CEB"/>
    <w:rsid w:val="5E762872"/>
    <w:rsid w:val="5E7D301B"/>
    <w:rsid w:val="5EAE58CA"/>
    <w:rsid w:val="5EC55E0B"/>
    <w:rsid w:val="5F8F4557"/>
    <w:rsid w:val="5FD7374F"/>
    <w:rsid w:val="61897F29"/>
    <w:rsid w:val="620F51BF"/>
    <w:rsid w:val="62870A35"/>
    <w:rsid w:val="62A40357"/>
    <w:rsid w:val="63A807C2"/>
    <w:rsid w:val="63AD00BB"/>
    <w:rsid w:val="641649C3"/>
    <w:rsid w:val="64777082"/>
    <w:rsid w:val="64B96EE3"/>
    <w:rsid w:val="65321D1C"/>
    <w:rsid w:val="66285EA3"/>
    <w:rsid w:val="663F7966"/>
    <w:rsid w:val="66544CE6"/>
    <w:rsid w:val="6674653D"/>
    <w:rsid w:val="67461C8B"/>
    <w:rsid w:val="67C33ACC"/>
    <w:rsid w:val="67CB129B"/>
    <w:rsid w:val="68326FEF"/>
    <w:rsid w:val="683729D8"/>
    <w:rsid w:val="685B7F95"/>
    <w:rsid w:val="69B62273"/>
    <w:rsid w:val="6A1364D0"/>
    <w:rsid w:val="6A893DC5"/>
    <w:rsid w:val="6AC03BFA"/>
    <w:rsid w:val="6AD71D05"/>
    <w:rsid w:val="6B940A4D"/>
    <w:rsid w:val="6BC043B8"/>
    <w:rsid w:val="6BC43C59"/>
    <w:rsid w:val="6DBB5A86"/>
    <w:rsid w:val="6DF14A1F"/>
    <w:rsid w:val="6E8B016D"/>
    <w:rsid w:val="6EB6584E"/>
    <w:rsid w:val="6F3040D9"/>
    <w:rsid w:val="6F424616"/>
    <w:rsid w:val="6FB6182B"/>
    <w:rsid w:val="6FB619CF"/>
    <w:rsid w:val="7086142A"/>
    <w:rsid w:val="70CE2DB0"/>
    <w:rsid w:val="716F6651"/>
    <w:rsid w:val="71BB2702"/>
    <w:rsid w:val="71BC3A02"/>
    <w:rsid w:val="72197FE1"/>
    <w:rsid w:val="725D01F5"/>
    <w:rsid w:val="726A6633"/>
    <w:rsid w:val="72833BB1"/>
    <w:rsid w:val="746A273C"/>
    <w:rsid w:val="7505543D"/>
    <w:rsid w:val="752A4247"/>
    <w:rsid w:val="76362EA6"/>
    <w:rsid w:val="763F2064"/>
    <w:rsid w:val="76AA651F"/>
    <w:rsid w:val="7717074A"/>
    <w:rsid w:val="77693369"/>
    <w:rsid w:val="77940B3D"/>
    <w:rsid w:val="77EF1299"/>
    <w:rsid w:val="78424A1E"/>
    <w:rsid w:val="78957090"/>
    <w:rsid w:val="78B6564F"/>
    <w:rsid w:val="78D46652"/>
    <w:rsid w:val="78DC2D40"/>
    <w:rsid w:val="791C1087"/>
    <w:rsid w:val="791E7113"/>
    <w:rsid w:val="79501600"/>
    <w:rsid w:val="79582968"/>
    <w:rsid w:val="79DE272E"/>
    <w:rsid w:val="7A615AB0"/>
    <w:rsid w:val="7B051D26"/>
    <w:rsid w:val="7B637F83"/>
    <w:rsid w:val="7BDB6356"/>
    <w:rsid w:val="7C1914FD"/>
    <w:rsid w:val="7CE509D0"/>
    <w:rsid w:val="7CEE32FF"/>
    <w:rsid w:val="7DF67D98"/>
    <w:rsid w:val="7E1F7CFC"/>
    <w:rsid w:val="7E2B33C0"/>
    <w:rsid w:val="7EE7641A"/>
    <w:rsid w:val="7FCD6999"/>
    <w:rsid w:val="7FD341F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0"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0" w:semiHidden="0" w:name="annotation reference"/>
    <w:lsdException w:uiPriority="99" w:name="line number" w:locked="1"/>
    <w:lsdException w:qFormat="1" w:unhideWhenUsed="0" w:uiPriority="0" w:semiHidden="0" w:name="page number"/>
    <w:lsdException w:uiPriority="99" w:name="endnote reference" w:locked="1"/>
    <w:lsdException w:uiPriority="99" w:name="endnote text" w:locked="1"/>
    <w:lsdException w:qFormat="1" w:uiPriority="99" w:name="table of authorities" w:locked="1"/>
    <w:lsdException w:uiPriority="99" w:name="macro" w:locked="1"/>
    <w:lsdException w:unhideWhenUsed="0" w:uiPriority="0" w:semiHidden="0" w:name="toa heading"/>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0" w:semiHidden="0" w:name="Body Text"/>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nhideWhenUsed="0" w:uiPriority="0" w:semiHidden="0" w:name="Date"/>
    <w:lsdException w:qFormat="1" w:unhideWhenUsed="0" w:uiPriority="0" w:semiHidden="0" w:name="Body Text First Indent"/>
    <w:lsdException w:qFormat="1" w:unhideWhenUsed="0" w:uiPriority="0" w:semiHidden="0" w:name="Body Text First Indent 2" w:locked="1"/>
    <w:lsdException w:uiPriority="99" w:name="Note Heading" w:locked="1"/>
    <w:lsdException w:uiPriority="99" w:name="Body Text 2" w:locked="1"/>
    <w:lsdException w:uiPriority="99" w:name="Body Text 3" w:locked="1"/>
    <w:lsdException w:unhideWhenUsed="0" w:uiPriority="0" w:semiHidden="0" w:name="Body Text Indent 2"/>
    <w:lsdException w:unhideWhenUsed="0" w:uiPriority="0" w:semiHidden="0" w:name="Body Text Indent 3"/>
    <w:lsdException w:uiPriority="99" w:name="Block Text" w:locked="1"/>
    <w:lsdException w:qFormat="1" w:unhideWhenUsed="0" w:uiPriority="99" w:semiHidden="0" w:name="Hyperlink"/>
    <w:lsdException w:qFormat="1" w:uiPriority="99" w:name="FollowedHyperlink" w:locked="1"/>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ocked="1"/>
    <w:lsdException w:qFormat="1" w:unhideWhenUsed="0" w:uiPriority="0" w:semiHidden="0" w:name="Normal (Web)"/>
    <w:lsdException w:qFormat="1" w:uiPriority="99" w:name="HTML Acronym" w:locked="1"/>
    <w:lsdException w:uiPriority="99" w:name="HTML Address" w:locked="1"/>
    <w:lsdException w:qFormat="1" w:uiPriority="99" w:name="HTML Cite" w:locked="1"/>
    <w:lsdException w:qFormat="1" w:uiPriority="99" w:name="HTML Code" w:locked="1"/>
    <w:lsdException w:qFormat="1" w:uiPriority="99" w:name="HTML Definition" w:locked="1"/>
    <w:lsdException w:qFormat="1" w:uiPriority="99" w:name="HTML Keyboard" w:locked="1"/>
    <w:lsdException w:uiPriority="99" w:name="HTML Preformatted" w:locked="1"/>
    <w:lsdException w:qFormat="1" w:uiPriority="99" w:name="HTML Sample" w:locked="1"/>
    <w:lsdException w:qFormat="1" w:uiPriority="99" w:name="HTML Typewriter" w:locked="1"/>
    <w:lsdException w:qFormat="1" w:uiPriority="99" w:name="HTML Variable" w:locked="1"/>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0"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3"/>
    <w:qFormat/>
    <w:uiPriority w:val="99"/>
    <w:pPr>
      <w:keepNext/>
      <w:outlineLvl w:val="0"/>
    </w:pPr>
    <w:rPr>
      <w:rFonts w:ascii="宋体"/>
      <w:sz w:val="28"/>
    </w:rPr>
  </w:style>
  <w:style w:type="paragraph" w:styleId="5">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locked/>
    <w:uiPriority w:val="0"/>
    <w:pPr>
      <w:autoSpaceDE/>
      <w:autoSpaceDN/>
      <w:adjustRightInd/>
      <w:spacing w:after="120" w:afterLines="0" w:line="240" w:lineRule="auto"/>
      <w:ind w:left="420" w:leftChars="200" w:firstLine="420" w:firstLineChars="200"/>
      <w:jc w:val="both"/>
    </w:pPr>
    <w:rPr>
      <w:rFonts w:ascii="Times New Roman" w:hAnsi="Times New Roman"/>
      <w:kern w:val="2"/>
      <w:sz w:val="21"/>
    </w:rPr>
  </w:style>
  <w:style w:type="paragraph" w:styleId="3">
    <w:name w:val="Body Text Indent"/>
    <w:basedOn w:val="1"/>
    <w:next w:val="1"/>
    <w:qFormat/>
    <w:locked/>
    <w:uiPriority w:val="0"/>
    <w:pPr>
      <w:autoSpaceDE w:val="0"/>
      <w:autoSpaceDN w:val="0"/>
      <w:adjustRightInd w:val="0"/>
      <w:spacing w:line="360" w:lineRule="auto"/>
      <w:ind w:firstLine="480"/>
      <w:jc w:val="left"/>
    </w:pPr>
    <w:rPr>
      <w:rFonts w:ascii="宋体" w:hAnsi="宋体"/>
      <w:kern w:val="0"/>
      <w:sz w:val="24"/>
    </w:rPr>
  </w:style>
  <w:style w:type="paragraph" w:styleId="7">
    <w:name w:val="table of authorities"/>
    <w:basedOn w:val="1"/>
    <w:next w:val="1"/>
    <w:semiHidden/>
    <w:unhideWhenUsed/>
    <w:qFormat/>
    <w:locked/>
    <w:uiPriority w:val="99"/>
    <w:pPr>
      <w:ind w:left="420" w:leftChars="200"/>
    </w:pPr>
  </w:style>
  <w:style w:type="paragraph" w:styleId="8">
    <w:name w:val="Body Text"/>
    <w:basedOn w:val="1"/>
    <w:next w:val="1"/>
    <w:qFormat/>
    <w:uiPriority w:val="0"/>
    <w:pPr>
      <w:spacing w:after="120"/>
    </w:pPr>
  </w:style>
  <w:style w:type="paragraph" w:styleId="9">
    <w:name w:val="toc 3"/>
    <w:basedOn w:val="1"/>
    <w:next w:val="1"/>
    <w:qFormat/>
    <w:uiPriority w:val="39"/>
    <w:pPr>
      <w:ind w:left="840" w:leftChars="400"/>
    </w:pPr>
    <w:rPr>
      <w:rFonts w:eastAsia="仿宋"/>
    </w:rPr>
  </w:style>
  <w:style w:type="paragraph" w:styleId="10">
    <w:name w:val="Balloon Text"/>
    <w:basedOn w:val="1"/>
    <w:link w:val="52"/>
    <w:qFormat/>
    <w:uiPriority w:val="0"/>
    <w:rPr>
      <w:sz w:val="18"/>
      <w:szCs w:val="18"/>
    </w:rPr>
  </w:style>
  <w:style w:type="paragraph" w:styleId="11">
    <w:name w:val="footer"/>
    <w:basedOn w:val="1"/>
    <w:link w:val="48"/>
    <w:qFormat/>
    <w:uiPriority w:val="99"/>
    <w:pPr>
      <w:tabs>
        <w:tab w:val="center" w:pos="4153"/>
        <w:tab w:val="right" w:pos="8306"/>
      </w:tabs>
      <w:snapToGrid w:val="0"/>
      <w:jc w:val="left"/>
    </w:pPr>
    <w:rPr>
      <w:sz w:val="18"/>
      <w:szCs w:val="18"/>
    </w:rPr>
  </w:style>
  <w:style w:type="paragraph" w:styleId="12">
    <w:name w:val="header"/>
    <w:basedOn w:val="1"/>
    <w:link w:val="47"/>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rPr>
      <w:rFonts w:eastAsia="仿宋"/>
    </w:rPr>
  </w:style>
  <w:style w:type="paragraph" w:styleId="14">
    <w:name w:val="toc 2"/>
    <w:basedOn w:val="1"/>
    <w:next w:val="1"/>
    <w:qFormat/>
    <w:uiPriority w:val="39"/>
    <w:pPr>
      <w:ind w:left="420" w:leftChars="200"/>
    </w:pPr>
    <w:rPr>
      <w:rFonts w:eastAsia="仿宋"/>
    </w:rPr>
  </w:style>
  <w:style w:type="paragraph" w:styleId="15">
    <w:name w:val="Normal (Web)"/>
    <w:basedOn w:val="1"/>
    <w:qFormat/>
    <w:uiPriority w:val="0"/>
    <w:pPr>
      <w:spacing w:beforeAutospacing="1" w:afterAutospacing="1"/>
      <w:jc w:val="left"/>
    </w:pPr>
    <w:rPr>
      <w:kern w:val="0"/>
      <w:sz w:val="24"/>
    </w:rPr>
  </w:style>
  <w:style w:type="paragraph" w:styleId="16">
    <w:name w:val="Body Text First Indent"/>
    <w:basedOn w:val="8"/>
    <w:qFormat/>
    <w:uiPriority w:val="0"/>
    <w:pPr>
      <w:ind w:firstLine="420" w:firstLineChars="100"/>
    </w:pPr>
  </w:style>
  <w:style w:type="table" w:styleId="18">
    <w:name w:val="Table Grid"/>
    <w:basedOn w:val="1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locked/>
    <w:uiPriority w:val="22"/>
    <w:rPr>
      <w:b/>
      <w:bCs/>
    </w:rPr>
  </w:style>
  <w:style w:type="character" w:styleId="21">
    <w:name w:val="page number"/>
    <w:qFormat/>
    <w:uiPriority w:val="0"/>
  </w:style>
  <w:style w:type="character" w:styleId="22">
    <w:name w:val="FollowedHyperlink"/>
    <w:basedOn w:val="19"/>
    <w:semiHidden/>
    <w:unhideWhenUsed/>
    <w:qFormat/>
    <w:locked/>
    <w:uiPriority w:val="99"/>
    <w:rPr>
      <w:color w:val="800080"/>
      <w:u w:val="none"/>
    </w:rPr>
  </w:style>
  <w:style w:type="character" w:styleId="23">
    <w:name w:val="Emphasis"/>
    <w:basedOn w:val="19"/>
    <w:qFormat/>
    <w:locked/>
    <w:uiPriority w:val="20"/>
    <w:rPr>
      <w:b/>
      <w:bCs/>
    </w:rPr>
  </w:style>
  <w:style w:type="character" w:styleId="24">
    <w:name w:val="HTML Definition"/>
    <w:basedOn w:val="19"/>
    <w:semiHidden/>
    <w:unhideWhenUsed/>
    <w:qFormat/>
    <w:locked/>
    <w:uiPriority w:val="99"/>
  </w:style>
  <w:style w:type="character" w:styleId="25">
    <w:name w:val="HTML Typewriter"/>
    <w:basedOn w:val="19"/>
    <w:semiHidden/>
    <w:unhideWhenUsed/>
    <w:qFormat/>
    <w:locked/>
    <w:uiPriority w:val="99"/>
    <w:rPr>
      <w:rFonts w:hint="default" w:ascii="monospace" w:hAnsi="monospace" w:eastAsia="monospace" w:cs="monospace"/>
      <w:sz w:val="20"/>
    </w:rPr>
  </w:style>
  <w:style w:type="character" w:styleId="26">
    <w:name w:val="HTML Acronym"/>
    <w:basedOn w:val="19"/>
    <w:semiHidden/>
    <w:unhideWhenUsed/>
    <w:qFormat/>
    <w:locked/>
    <w:uiPriority w:val="99"/>
  </w:style>
  <w:style w:type="character" w:styleId="27">
    <w:name w:val="HTML Variable"/>
    <w:basedOn w:val="19"/>
    <w:semiHidden/>
    <w:unhideWhenUsed/>
    <w:qFormat/>
    <w:locked/>
    <w:uiPriority w:val="99"/>
  </w:style>
  <w:style w:type="character" w:styleId="28">
    <w:name w:val="Hyperlink"/>
    <w:basedOn w:val="19"/>
    <w:qFormat/>
    <w:uiPriority w:val="99"/>
    <w:rPr>
      <w:color w:val="0000FF"/>
      <w:u w:val="none"/>
    </w:rPr>
  </w:style>
  <w:style w:type="character" w:styleId="29">
    <w:name w:val="HTML Code"/>
    <w:basedOn w:val="19"/>
    <w:semiHidden/>
    <w:unhideWhenUsed/>
    <w:qFormat/>
    <w:locked/>
    <w:uiPriority w:val="99"/>
    <w:rPr>
      <w:rFonts w:hint="default" w:ascii="monospace" w:hAnsi="monospace" w:eastAsia="monospace" w:cs="monospace"/>
      <w:sz w:val="20"/>
    </w:rPr>
  </w:style>
  <w:style w:type="character" w:styleId="30">
    <w:name w:val="HTML Cite"/>
    <w:basedOn w:val="19"/>
    <w:semiHidden/>
    <w:unhideWhenUsed/>
    <w:qFormat/>
    <w:locked/>
    <w:uiPriority w:val="99"/>
  </w:style>
  <w:style w:type="character" w:styleId="31">
    <w:name w:val="HTML Keyboard"/>
    <w:basedOn w:val="19"/>
    <w:semiHidden/>
    <w:unhideWhenUsed/>
    <w:qFormat/>
    <w:locked/>
    <w:uiPriority w:val="99"/>
    <w:rPr>
      <w:rFonts w:ascii="monospace" w:hAnsi="monospace" w:eastAsia="monospace" w:cs="monospace"/>
      <w:sz w:val="20"/>
    </w:rPr>
  </w:style>
  <w:style w:type="character" w:styleId="32">
    <w:name w:val="HTML Sample"/>
    <w:basedOn w:val="19"/>
    <w:semiHidden/>
    <w:unhideWhenUsed/>
    <w:qFormat/>
    <w:locked/>
    <w:uiPriority w:val="99"/>
    <w:rPr>
      <w:rFonts w:hint="default" w:ascii="monospace" w:hAnsi="monospace" w:eastAsia="monospace" w:cs="monospace"/>
    </w:rPr>
  </w:style>
  <w:style w:type="character" w:customStyle="1" w:styleId="33">
    <w:name w:val="标题 1 Char"/>
    <w:basedOn w:val="19"/>
    <w:link w:val="4"/>
    <w:qFormat/>
    <w:locked/>
    <w:uiPriority w:val="99"/>
    <w:rPr>
      <w:rFonts w:ascii="宋体" w:cs="Times New Roman"/>
      <w:kern w:val="2"/>
      <w:sz w:val="28"/>
    </w:rPr>
  </w:style>
  <w:style w:type="character" w:customStyle="1" w:styleId="34">
    <w:name w:val="标题 2 Char"/>
    <w:basedOn w:val="19"/>
    <w:link w:val="5"/>
    <w:semiHidden/>
    <w:qFormat/>
    <w:locked/>
    <w:uiPriority w:val="99"/>
    <w:rPr>
      <w:rFonts w:ascii="Cambria" w:hAnsi="Cambria" w:eastAsia="宋体" w:cs="Times New Roman"/>
      <w:b/>
      <w:bCs/>
      <w:sz w:val="32"/>
      <w:szCs w:val="32"/>
    </w:rPr>
  </w:style>
  <w:style w:type="character" w:customStyle="1" w:styleId="35">
    <w:name w:val="标题 3 Char"/>
    <w:basedOn w:val="19"/>
    <w:link w:val="6"/>
    <w:semiHidden/>
    <w:qFormat/>
    <w:locked/>
    <w:uiPriority w:val="99"/>
    <w:rPr>
      <w:rFonts w:cs="Times New Roman"/>
      <w:b/>
      <w:bCs/>
      <w:sz w:val="32"/>
      <w:szCs w:val="32"/>
    </w:rPr>
  </w:style>
  <w:style w:type="paragraph" w:customStyle="1" w:styleId="36">
    <w:name w:val="1文件名"/>
    <w:basedOn w:val="1"/>
    <w:qFormat/>
    <w:uiPriority w:val="0"/>
    <w:pPr>
      <w:snapToGrid w:val="0"/>
      <w:spacing w:line="360" w:lineRule="auto"/>
      <w:jc w:val="center"/>
    </w:pPr>
    <w:rPr>
      <w:rFonts w:hint="eastAsia" w:ascii="仿宋" w:hAnsi="仿宋" w:eastAsia="仿宋" w:cs="仿宋"/>
      <w:sz w:val="80"/>
      <w:szCs w:val="80"/>
    </w:rPr>
  </w:style>
  <w:style w:type="paragraph" w:customStyle="1" w:styleId="37">
    <w:name w:val="2项目名称、编号"/>
    <w:basedOn w:val="1"/>
    <w:qFormat/>
    <w:uiPriority w:val="0"/>
    <w:pPr>
      <w:ind w:firstLine="1285" w:firstLineChars="400"/>
    </w:pPr>
    <w:rPr>
      <w:rFonts w:hint="eastAsia" w:ascii="仿宋" w:hAnsi="仿宋" w:eastAsia="仿宋" w:cs="仿宋"/>
      <w:b/>
      <w:bCs/>
      <w:sz w:val="32"/>
    </w:rPr>
  </w:style>
  <w:style w:type="paragraph" w:customStyle="1" w:styleId="38">
    <w:name w:val="3公司名"/>
    <w:basedOn w:val="1"/>
    <w:qFormat/>
    <w:uiPriority w:val="0"/>
    <w:pPr>
      <w:spacing w:line="480" w:lineRule="auto"/>
      <w:jc w:val="center"/>
    </w:pPr>
    <w:rPr>
      <w:rFonts w:hint="eastAsia" w:ascii="仿宋" w:hAnsi="仿宋" w:eastAsia="仿宋" w:cs="仿宋"/>
      <w:b/>
      <w:sz w:val="36"/>
    </w:rPr>
  </w:style>
  <w:style w:type="paragraph" w:customStyle="1" w:styleId="39">
    <w:name w:val="4目录"/>
    <w:basedOn w:val="1"/>
    <w:qFormat/>
    <w:uiPriority w:val="0"/>
    <w:pPr>
      <w:spacing w:line="480" w:lineRule="auto"/>
      <w:jc w:val="center"/>
    </w:pPr>
    <w:rPr>
      <w:rFonts w:hint="eastAsia" w:ascii="仿宋" w:hAnsi="仿宋" w:eastAsia="仿宋" w:cs="仿宋"/>
      <w:bCs/>
      <w:sz w:val="52"/>
    </w:rPr>
  </w:style>
  <w:style w:type="paragraph" w:customStyle="1" w:styleId="40">
    <w:name w:val="5一级标题"/>
    <w:basedOn w:val="7"/>
    <w:qFormat/>
    <w:uiPriority w:val="0"/>
    <w:pPr>
      <w:tabs>
        <w:tab w:val="right" w:leader="dot" w:pos="9913"/>
      </w:tabs>
      <w:spacing w:line="360" w:lineRule="auto"/>
      <w:ind w:left="0" w:leftChars="0"/>
      <w:jc w:val="center"/>
      <w:outlineLvl w:val="0"/>
    </w:pPr>
    <w:rPr>
      <w:rFonts w:hint="eastAsia" w:ascii="仿宋" w:hAnsi="仿宋" w:eastAsia="仿宋" w:cs="仿宋"/>
      <w:b/>
      <w:bCs/>
      <w:sz w:val="32"/>
    </w:rPr>
  </w:style>
  <w:style w:type="paragraph" w:customStyle="1" w:styleId="41">
    <w:name w:val="6二级标题-居左"/>
    <w:basedOn w:val="1"/>
    <w:next w:val="1"/>
    <w:qFormat/>
    <w:uiPriority w:val="0"/>
    <w:pPr>
      <w:keepNext/>
      <w:keepLines/>
      <w:spacing w:before="100" w:beforeLines="100" w:line="360" w:lineRule="auto"/>
      <w:ind w:firstLine="482" w:firstLineChars="200"/>
      <w:outlineLvl w:val="1"/>
    </w:pPr>
    <w:rPr>
      <w:rFonts w:hint="eastAsia" w:ascii="仿宋" w:hAnsi="仿宋" w:eastAsia="仿宋" w:cs="仿宋"/>
      <w:b/>
      <w:sz w:val="24"/>
      <w:szCs w:val="24"/>
    </w:rPr>
  </w:style>
  <w:style w:type="paragraph" w:customStyle="1" w:styleId="42">
    <w:name w:val="6二级标题-居中"/>
    <w:basedOn w:val="1"/>
    <w:next w:val="1"/>
    <w:qFormat/>
    <w:uiPriority w:val="0"/>
    <w:pPr>
      <w:keepNext/>
      <w:keepLines/>
      <w:spacing w:before="100" w:beforeLines="100" w:line="360" w:lineRule="auto"/>
      <w:jc w:val="center"/>
      <w:outlineLvl w:val="1"/>
    </w:pPr>
    <w:rPr>
      <w:rFonts w:hint="eastAsia" w:ascii="仿宋" w:hAnsi="仿宋" w:eastAsia="仿宋" w:cs="仿宋"/>
      <w:b/>
      <w:bCs/>
      <w:sz w:val="24"/>
      <w:szCs w:val="24"/>
    </w:rPr>
  </w:style>
  <w:style w:type="paragraph" w:customStyle="1" w:styleId="43">
    <w:name w:val="7三级标题-居左1"/>
    <w:basedOn w:val="1"/>
    <w:qFormat/>
    <w:uiPriority w:val="0"/>
    <w:pPr>
      <w:adjustRightInd w:val="0"/>
      <w:snapToGrid w:val="0"/>
      <w:spacing w:before="100" w:beforeLines="100" w:line="360" w:lineRule="auto"/>
      <w:outlineLvl w:val="2"/>
    </w:pPr>
    <w:rPr>
      <w:rFonts w:hint="eastAsia" w:ascii="仿宋" w:hAnsi="仿宋" w:eastAsia="仿宋" w:cs="仿宋"/>
      <w:b/>
      <w:bCs/>
      <w:sz w:val="24"/>
      <w:szCs w:val="24"/>
    </w:rPr>
  </w:style>
  <w:style w:type="paragraph" w:customStyle="1" w:styleId="44">
    <w:name w:val="6二级标题-居左-不上目录"/>
    <w:basedOn w:val="1"/>
    <w:qFormat/>
    <w:uiPriority w:val="0"/>
    <w:pPr>
      <w:keepNext/>
      <w:keepLines/>
      <w:spacing w:before="100" w:beforeLines="100" w:line="360" w:lineRule="auto"/>
      <w:ind w:firstLine="482" w:firstLineChars="200"/>
    </w:pPr>
    <w:rPr>
      <w:rFonts w:hint="eastAsia" w:ascii="仿宋" w:hAnsi="仿宋" w:eastAsia="仿宋" w:cs="仿宋"/>
      <w:b/>
      <w:sz w:val="24"/>
      <w:szCs w:val="24"/>
    </w:rPr>
  </w:style>
  <w:style w:type="paragraph" w:customStyle="1" w:styleId="45">
    <w:name w:val="8正文"/>
    <w:basedOn w:val="1"/>
    <w:qFormat/>
    <w:uiPriority w:val="0"/>
    <w:pPr>
      <w:spacing w:line="360" w:lineRule="auto"/>
      <w:ind w:firstLine="480" w:firstLineChars="200"/>
    </w:pPr>
    <w:rPr>
      <w:rFonts w:hint="eastAsia" w:ascii="仿宋" w:hAnsi="仿宋" w:eastAsia="仿宋" w:cs="仿宋"/>
      <w:sz w:val="24"/>
      <w:szCs w:val="24"/>
    </w:rPr>
  </w:style>
  <w:style w:type="character" w:customStyle="1" w:styleId="46">
    <w:name w:val="mini-outputtext1"/>
    <w:basedOn w:val="19"/>
    <w:qFormat/>
    <w:uiPriority w:val="0"/>
  </w:style>
  <w:style w:type="character" w:customStyle="1" w:styleId="47">
    <w:name w:val="页眉 Char"/>
    <w:basedOn w:val="19"/>
    <w:link w:val="12"/>
    <w:qFormat/>
    <w:uiPriority w:val="99"/>
    <w:rPr>
      <w:kern w:val="2"/>
      <w:sz w:val="18"/>
      <w:szCs w:val="18"/>
    </w:rPr>
  </w:style>
  <w:style w:type="character" w:customStyle="1" w:styleId="48">
    <w:name w:val="页脚 Char"/>
    <w:basedOn w:val="19"/>
    <w:link w:val="11"/>
    <w:qFormat/>
    <w:uiPriority w:val="99"/>
    <w:rPr>
      <w:kern w:val="2"/>
      <w:sz w:val="18"/>
      <w:szCs w:val="18"/>
    </w:rPr>
  </w:style>
  <w:style w:type="paragraph" w:customStyle="1" w:styleId="49">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50">
    <w:name w:val="标题 2 字符"/>
    <w:qFormat/>
    <w:uiPriority w:val="0"/>
    <w:rPr>
      <w:rFonts w:ascii="Arial" w:hAnsi="Arial" w:eastAsia="黑体"/>
      <w:b/>
      <w:bCs/>
      <w:kern w:val="2"/>
      <w:sz w:val="32"/>
      <w:szCs w:val="32"/>
    </w:rPr>
  </w:style>
  <w:style w:type="paragraph" w:styleId="51">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52">
    <w:name w:val="批注框文本 Char"/>
    <w:basedOn w:val="19"/>
    <w:link w:val="10"/>
    <w:qFormat/>
    <w:uiPriority w:val="0"/>
    <w:rPr>
      <w:kern w:val="2"/>
      <w:sz w:val="18"/>
      <w:szCs w:val="18"/>
    </w:rPr>
  </w:style>
  <w:style w:type="paragraph" w:customStyle="1" w:styleId="53">
    <w:name w:val="Body text|1"/>
    <w:basedOn w:val="1"/>
    <w:qFormat/>
    <w:uiPriority w:val="0"/>
    <w:pPr>
      <w:kinsoku w:val="0"/>
      <w:autoSpaceDE w:val="0"/>
      <w:autoSpaceDN w:val="0"/>
      <w:adjustRightInd w:val="0"/>
      <w:snapToGrid w:val="0"/>
      <w:spacing w:line="432" w:lineRule="auto"/>
      <w:ind w:firstLine="400"/>
      <w:jc w:val="left"/>
      <w:textAlignment w:val="baseline"/>
    </w:pPr>
    <w:rPr>
      <w:rFonts w:ascii="宋体" w:hAnsi="宋体" w:cs="宋体"/>
      <w:snapToGrid w:val="0"/>
      <w:color w:val="000000"/>
      <w:kern w:val="0"/>
      <w:sz w:val="30"/>
      <w:szCs w:val="30"/>
      <w:lang w:val="zh-TW" w:eastAsia="zh-TW" w:bidi="zh-TW"/>
    </w:rPr>
  </w:style>
  <w:style w:type="paragraph" w:customStyle="1" w:styleId="54">
    <w:name w:val="Body text|2"/>
    <w:basedOn w:val="1"/>
    <w:qFormat/>
    <w:uiPriority w:val="0"/>
    <w:pPr>
      <w:kinsoku w:val="0"/>
      <w:autoSpaceDE w:val="0"/>
      <w:autoSpaceDN w:val="0"/>
      <w:adjustRightInd w:val="0"/>
      <w:snapToGrid w:val="0"/>
      <w:jc w:val="left"/>
      <w:textAlignment w:val="baseline"/>
    </w:pPr>
    <w:rPr>
      <w:rFonts w:ascii="宋体" w:hAnsi="宋体" w:cs="宋体"/>
      <w:snapToGrid w:val="0"/>
      <w:color w:val="000000"/>
      <w:kern w:val="0"/>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997B75-6588-4B19-B0FA-80044B6E155F}">
  <ds:schemaRefs/>
</ds:datastoreItem>
</file>

<file path=docProps/app.xml><?xml version="1.0" encoding="utf-8"?>
<Properties xmlns="http://schemas.openxmlformats.org/officeDocument/2006/extended-properties" xmlns:vt="http://schemas.openxmlformats.org/officeDocument/2006/docPropsVTypes">
  <Template>Normal</Template>
  <Company>江西省机电设备招标公司</Company>
  <Pages>43</Pages>
  <Words>17383</Words>
  <Characters>18399</Characters>
  <Lines>76</Lines>
  <Paragraphs>62</Paragraphs>
  <TotalTime>4</TotalTime>
  <ScaleCrop>false</ScaleCrop>
  <LinksUpToDate>false</LinksUpToDate>
  <CharactersWithSpaces>18845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2024-12-13T10:57:00Z</dcterms:created>
  <dc:creator>hxw</dc:creator>
  <cp:lastModifiedBy>Administrator</cp:lastModifiedBy>
  <cp:lastPrinted>2025-01-02T06:45:00Z</cp:lastPrinted>
  <dcterms:modified xsi:type="dcterms:W3CDTF">2025-02-19T08:19:23Z</dcterms:modified>
  <dc:title>竞争性谈判文件</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033537D8217C4B9387531F609286398B_13</vt:lpwstr>
  </property>
  <property fmtid="{D5CDD505-2E9C-101B-9397-08002B2CF9AE}" pid="4" name="KSOTemplateDocerSaveRecord">
    <vt:lpwstr>eyJoZGlkIjoiNjdlMjMyOTE2NWUzZTIxMDg4MWUwN2JlMjk5ZGE2MGIifQ==</vt:lpwstr>
  </property>
</Properties>
</file>