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C48B1E">
      <w:pPr>
        <w:rPr>
          <w:rFonts w:ascii="仿宋" w:hAnsi="仿宋" w:eastAsia="仿宋" w:cs="仿宋"/>
          <w:sz w:val="80"/>
          <w:szCs w:val="80"/>
          <w:highlight w:val="none"/>
        </w:rPr>
      </w:pPr>
    </w:p>
    <w:p w14:paraId="3F9AF7B6">
      <w:pPr>
        <w:ind w:firstLine="539"/>
        <w:jc w:val="center"/>
        <w:rPr>
          <w:rFonts w:hint="eastAsia" w:ascii="宋体" w:hAnsi="宋体" w:cs="宋体"/>
          <w:sz w:val="84"/>
          <w:szCs w:val="84"/>
          <w:highlight w:val="none"/>
        </w:rPr>
      </w:pPr>
    </w:p>
    <w:p w14:paraId="3AE68C06">
      <w:pPr>
        <w:ind w:firstLine="539"/>
        <w:jc w:val="center"/>
        <w:rPr>
          <w:rFonts w:hint="default" w:ascii="宋体" w:hAnsi="宋体" w:cs="宋体"/>
          <w:sz w:val="84"/>
          <w:szCs w:val="84"/>
          <w:highlight w:val="none"/>
        </w:rPr>
      </w:pPr>
      <w:r>
        <w:rPr>
          <w:rFonts w:hint="eastAsia" w:ascii="宋体" w:hAnsi="宋体" w:cs="宋体"/>
          <w:sz w:val="84"/>
          <w:szCs w:val="84"/>
          <w:highlight w:val="none"/>
        </w:rPr>
        <w:t>竞争性谈判文件</w:t>
      </w:r>
    </w:p>
    <w:p w14:paraId="6B2B0647">
      <w:pPr>
        <w:ind w:firstLine="3520" w:firstLineChars="1100"/>
        <w:rPr>
          <w:rFonts w:ascii="仿宋" w:hAnsi="仿宋" w:eastAsia="仿宋" w:cs="仿宋"/>
          <w:sz w:val="32"/>
          <w:szCs w:val="32"/>
          <w:highlight w:val="none"/>
        </w:rPr>
      </w:pPr>
    </w:p>
    <w:p w14:paraId="2C36E5C0">
      <w:pPr>
        <w:ind w:firstLine="3520" w:firstLineChars="1100"/>
        <w:rPr>
          <w:rFonts w:ascii="仿宋" w:hAnsi="仿宋" w:eastAsia="仿宋" w:cs="仿宋"/>
          <w:sz w:val="32"/>
          <w:szCs w:val="32"/>
          <w:highlight w:val="none"/>
        </w:rPr>
      </w:pPr>
    </w:p>
    <w:p w14:paraId="127FE752">
      <w:pPr>
        <w:ind w:firstLine="1920" w:firstLineChars="400"/>
        <w:rPr>
          <w:rFonts w:ascii="仿宋" w:hAnsi="仿宋" w:eastAsia="仿宋" w:cs="仿宋"/>
          <w:sz w:val="48"/>
          <w:szCs w:val="48"/>
          <w:highlight w:val="none"/>
        </w:rPr>
      </w:pPr>
    </w:p>
    <w:p w14:paraId="7ADC6057">
      <w:pPr>
        <w:ind w:firstLine="1920" w:firstLineChars="400"/>
        <w:rPr>
          <w:rFonts w:ascii="仿宋" w:hAnsi="仿宋" w:eastAsia="仿宋" w:cs="仿宋"/>
          <w:sz w:val="48"/>
          <w:szCs w:val="48"/>
          <w:highlight w:val="none"/>
        </w:rPr>
      </w:pPr>
    </w:p>
    <w:p w14:paraId="028F8B02">
      <w:pPr>
        <w:rPr>
          <w:rFonts w:ascii="仿宋" w:hAnsi="仿宋" w:eastAsia="仿宋" w:cs="仿宋"/>
          <w:sz w:val="48"/>
          <w:szCs w:val="48"/>
          <w:highlight w:val="none"/>
        </w:rPr>
      </w:pPr>
    </w:p>
    <w:p w14:paraId="642001F5">
      <w:pPr>
        <w:pStyle w:val="37"/>
        <w:spacing w:line="360" w:lineRule="auto"/>
        <w:ind w:left="2883" w:leftChars="608" w:hanging="1606" w:hangingChars="500"/>
        <w:rPr>
          <w:rFonts w:hint="eastAsia" w:eastAsia="仿宋"/>
          <w:highlight w:val="none"/>
          <w:lang w:eastAsia="zh-CN"/>
        </w:rPr>
      </w:pPr>
      <w:r>
        <w:rPr>
          <w:highlight w:val="none"/>
        </w:rPr>
        <w:t>项目名称：</w:t>
      </w:r>
      <w:r>
        <w:rPr>
          <w:rFonts w:hint="eastAsia"/>
          <w:highlight w:val="none"/>
          <w:lang w:eastAsia="zh-CN"/>
        </w:rPr>
        <w:t>东乡经开区渊山岗工业园金海岛厂区维修工程——屋面钢结构维修</w:t>
      </w:r>
    </w:p>
    <w:p w14:paraId="6241E01B">
      <w:pPr>
        <w:pStyle w:val="37"/>
        <w:spacing w:line="360" w:lineRule="auto"/>
        <w:ind w:left="2883" w:leftChars="608" w:hanging="1606" w:hangingChars="500"/>
        <w:rPr>
          <w:rFonts w:hint="eastAsia" w:eastAsia="仿宋"/>
          <w:highlight w:val="none"/>
          <w:lang w:eastAsia="zh-CN"/>
        </w:rPr>
      </w:pPr>
      <w:r>
        <w:rPr>
          <w:highlight w:val="none"/>
        </w:rPr>
        <w:t>项目编号：</w:t>
      </w:r>
      <w:r>
        <w:rPr>
          <w:rFonts w:hint="eastAsia"/>
          <w:highlight w:val="none"/>
          <w:lang w:eastAsia="zh-CN"/>
        </w:rPr>
        <w:t>JXZS20250910</w:t>
      </w:r>
    </w:p>
    <w:p w14:paraId="23D25E55">
      <w:pPr>
        <w:tabs>
          <w:tab w:val="left" w:pos="567"/>
        </w:tabs>
        <w:rPr>
          <w:rFonts w:ascii="仿宋" w:hAnsi="仿宋" w:eastAsia="仿宋" w:cs="仿宋"/>
          <w:sz w:val="48"/>
          <w:highlight w:val="none"/>
        </w:rPr>
      </w:pPr>
    </w:p>
    <w:p w14:paraId="2A5A398A">
      <w:pPr>
        <w:tabs>
          <w:tab w:val="left" w:pos="567"/>
        </w:tabs>
        <w:rPr>
          <w:rFonts w:ascii="仿宋" w:hAnsi="仿宋" w:eastAsia="仿宋" w:cs="仿宋"/>
          <w:sz w:val="48"/>
          <w:highlight w:val="none"/>
        </w:rPr>
      </w:pPr>
    </w:p>
    <w:p w14:paraId="7D05909B">
      <w:pPr>
        <w:tabs>
          <w:tab w:val="left" w:pos="567"/>
        </w:tabs>
        <w:rPr>
          <w:rFonts w:ascii="仿宋" w:hAnsi="仿宋" w:eastAsia="仿宋" w:cs="仿宋"/>
          <w:sz w:val="48"/>
          <w:highlight w:val="none"/>
        </w:rPr>
      </w:pPr>
    </w:p>
    <w:p w14:paraId="01EE197A">
      <w:pPr>
        <w:tabs>
          <w:tab w:val="left" w:pos="567"/>
        </w:tabs>
        <w:rPr>
          <w:rFonts w:ascii="仿宋" w:hAnsi="仿宋" w:eastAsia="仿宋" w:cs="仿宋"/>
          <w:sz w:val="48"/>
          <w:highlight w:val="none"/>
        </w:rPr>
      </w:pPr>
    </w:p>
    <w:p w14:paraId="4155F2F0">
      <w:pPr>
        <w:tabs>
          <w:tab w:val="left" w:pos="567"/>
        </w:tabs>
        <w:rPr>
          <w:rFonts w:ascii="仿宋" w:hAnsi="仿宋" w:eastAsia="仿宋" w:cs="仿宋"/>
          <w:sz w:val="48"/>
          <w:highlight w:val="none"/>
        </w:rPr>
      </w:pPr>
    </w:p>
    <w:p w14:paraId="5F1A8EAC">
      <w:pPr>
        <w:pStyle w:val="38"/>
        <w:rPr>
          <w:rFonts w:hint="eastAsia" w:eastAsia="仿宋"/>
          <w:highlight w:val="none"/>
          <w:lang w:eastAsia="zh-CN"/>
        </w:rPr>
      </w:pPr>
      <w:r>
        <w:rPr>
          <w:rFonts w:hint="eastAsia"/>
          <w:highlight w:val="none"/>
          <w:lang w:eastAsia="zh-CN"/>
        </w:rPr>
        <w:t>江西中铖工程管理有限公司</w:t>
      </w:r>
    </w:p>
    <w:p w14:paraId="3BB0D5C5">
      <w:pPr>
        <w:spacing w:line="480" w:lineRule="auto"/>
        <w:jc w:val="center"/>
        <w:rPr>
          <w:rFonts w:hint="default"/>
          <w:bCs/>
          <w:sz w:val="52"/>
          <w:highlight w:val="none"/>
        </w:rPr>
      </w:pPr>
      <w:r>
        <w:rPr>
          <w:rFonts w:hint="eastAsia" w:ascii="宋体" w:hAnsi="宋体" w:cs="宋体"/>
          <w:b/>
          <w:sz w:val="36"/>
          <w:highlight w:val="none"/>
        </w:rPr>
        <w:t xml:space="preserve">中国 </w:t>
      </w:r>
      <w:r>
        <w:rPr>
          <w:rFonts w:hint="eastAsia" w:ascii="宋体" w:hAnsi="宋体" w:cs="宋体"/>
          <w:b/>
          <w:sz w:val="24"/>
          <w:highlight w:val="none"/>
        </w:rPr>
        <w:t>.</w:t>
      </w:r>
      <w:r>
        <w:rPr>
          <w:rFonts w:hint="eastAsia" w:ascii="宋体" w:hAnsi="宋体" w:cs="宋体"/>
          <w:b/>
          <w:sz w:val="36"/>
          <w:highlight w:val="none"/>
        </w:rPr>
        <w:t xml:space="preserve"> 东乡</w:t>
      </w:r>
      <w:r>
        <w:rPr>
          <w:highlight w:val="none"/>
        </w:rPr>
        <w:br w:type="page"/>
      </w:r>
      <w:r>
        <w:rPr>
          <w:bCs/>
          <w:sz w:val="52"/>
          <w:highlight w:val="none"/>
        </w:rPr>
        <w:t>目录</w:t>
      </w:r>
    </w:p>
    <w:p w14:paraId="6A94CD21">
      <w:pPr>
        <w:pStyle w:val="12"/>
        <w:tabs>
          <w:tab w:val="right" w:leader="dot" w:pos="9923"/>
        </w:tabs>
      </w:pPr>
      <w:r>
        <w:rPr>
          <w:rFonts w:hint="eastAsia" w:ascii="仿宋" w:hAnsi="仿宋" w:cs="仿宋"/>
          <w:b/>
          <w:highlight w:val="none"/>
          <w:shd w:val="pct10" w:color="auto" w:fill="FFFFFF"/>
        </w:rPr>
        <w:fldChar w:fldCharType="begin"/>
      </w:r>
      <w:r>
        <w:rPr>
          <w:rFonts w:hint="eastAsia" w:ascii="仿宋" w:hAnsi="仿宋" w:cs="仿宋"/>
          <w:b/>
          <w:highlight w:val="none"/>
          <w:shd w:val="pct10" w:color="auto" w:fill="FFFFFF"/>
        </w:rPr>
        <w:instrText xml:space="preserve"> TOC \o "1-3" \h \z \u </w:instrText>
      </w:r>
      <w:r>
        <w:rPr>
          <w:rFonts w:hint="eastAsia" w:ascii="仿宋" w:hAnsi="仿宋" w:cs="仿宋"/>
          <w:b/>
          <w:highlight w:val="none"/>
          <w:shd w:val="pct10" w:color="auto" w:fill="FFFFFF"/>
        </w:rPr>
        <w:fldChar w:fldCharType="separate"/>
      </w:r>
      <w:r>
        <w:rPr>
          <w:rFonts w:hint="eastAsia" w:ascii="仿宋" w:hAnsi="仿宋" w:cs="仿宋"/>
          <w:highlight w:val="none"/>
          <w:shd w:val="pct10" w:color="auto" w:fill="FFFFFF"/>
        </w:rPr>
        <w:fldChar w:fldCharType="begin"/>
      </w:r>
      <w:r>
        <w:rPr>
          <w:rFonts w:hint="eastAsia" w:ascii="仿宋" w:hAnsi="仿宋" w:cs="仿宋"/>
          <w:highlight w:val="none"/>
          <w:shd w:val="pct10" w:color="auto" w:fill="FFFFFF"/>
        </w:rPr>
        <w:instrText xml:space="preserve"> HYPERLINK \l _Toc25155 </w:instrText>
      </w:r>
      <w:r>
        <w:rPr>
          <w:rFonts w:hint="eastAsia" w:ascii="仿宋" w:hAnsi="仿宋" w:cs="仿宋"/>
          <w:highlight w:val="none"/>
          <w:shd w:val="pct10" w:color="auto" w:fill="FFFFFF"/>
        </w:rPr>
        <w:fldChar w:fldCharType="separate"/>
      </w:r>
      <w:r>
        <w:rPr>
          <w:highlight w:val="none"/>
        </w:rPr>
        <w:t>第一章  谈判邀请</w:t>
      </w:r>
      <w:r>
        <w:tab/>
      </w:r>
      <w:r>
        <w:fldChar w:fldCharType="begin"/>
      </w:r>
      <w:r>
        <w:instrText xml:space="preserve"> PAGEREF _Toc25155 \h </w:instrText>
      </w:r>
      <w:r>
        <w:fldChar w:fldCharType="separate"/>
      </w:r>
      <w:r>
        <w:t>2</w:t>
      </w:r>
      <w:r>
        <w:fldChar w:fldCharType="end"/>
      </w:r>
      <w:r>
        <w:rPr>
          <w:rFonts w:hint="eastAsia" w:ascii="仿宋" w:hAnsi="仿宋" w:cs="仿宋"/>
          <w:highlight w:val="none"/>
          <w:shd w:val="pct10" w:color="auto" w:fill="FFFFFF"/>
        </w:rPr>
        <w:fldChar w:fldCharType="end"/>
      </w:r>
    </w:p>
    <w:p w14:paraId="42F1E23D">
      <w:pPr>
        <w:pStyle w:val="13"/>
        <w:tabs>
          <w:tab w:val="right" w:leader="dot" w:pos="9923"/>
        </w:tabs>
      </w:pPr>
      <w:r>
        <w:rPr>
          <w:rFonts w:hint="eastAsia" w:ascii="仿宋" w:hAnsi="仿宋" w:eastAsia="仿宋" w:cs="仿宋"/>
          <w:highlight w:val="none"/>
          <w:shd w:val="pct10" w:color="auto" w:fill="FFFFFF"/>
        </w:rPr>
        <w:fldChar w:fldCharType="begin"/>
      </w:r>
      <w:r>
        <w:rPr>
          <w:rFonts w:hint="eastAsia" w:ascii="仿宋" w:hAnsi="仿宋" w:eastAsia="仿宋" w:cs="仿宋"/>
          <w:highlight w:val="none"/>
          <w:shd w:val="pct10" w:color="auto" w:fill="FFFFFF"/>
        </w:rPr>
        <w:instrText xml:space="preserve"> HYPERLINK \l _Toc18680 </w:instrText>
      </w:r>
      <w:r>
        <w:rPr>
          <w:rFonts w:hint="eastAsia" w:ascii="仿宋" w:hAnsi="仿宋" w:eastAsia="仿宋" w:cs="仿宋"/>
          <w:highlight w:val="none"/>
          <w:shd w:val="pct10" w:color="auto" w:fill="FFFFFF"/>
        </w:rPr>
        <w:fldChar w:fldCharType="separate"/>
      </w:r>
      <w:r>
        <w:rPr>
          <w:highlight w:val="none"/>
        </w:rPr>
        <w:t>一、项目基本情况</w:t>
      </w:r>
      <w:r>
        <w:tab/>
      </w:r>
      <w:r>
        <w:fldChar w:fldCharType="begin"/>
      </w:r>
      <w:r>
        <w:instrText xml:space="preserve"> PAGEREF _Toc18680 \h </w:instrText>
      </w:r>
      <w:r>
        <w:fldChar w:fldCharType="separate"/>
      </w:r>
      <w:r>
        <w:t>2</w:t>
      </w:r>
      <w:r>
        <w:fldChar w:fldCharType="end"/>
      </w:r>
      <w:r>
        <w:rPr>
          <w:rFonts w:hint="eastAsia" w:ascii="仿宋" w:hAnsi="仿宋" w:eastAsia="仿宋" w:cs="仿宋"/>
          <w:highlight w:val="none"/>
          <w:shd w:val="pct10" w:color="auto" w:fill="FFFFFF"/>
        </w:rPr>
        <w:fldChar w:fldCharType="end"/>
      </w:r>
    </w:p>
    <w:p w14:paraId="30C9E489">
      <w:pPr>
        <w:pStyle w:val="13"/>
        <w:tabs>
          <w:tab w:val="right" w:leader="dot" w:pos="9923"/>
        </w:tabs>
      </w:pPr>
      <w:r>
        <w:rPr>
          <w:rFonts w:hint="eastAsia" w:ascii="仿宋" w:hAnsi="仿宋" w:eastAsia="仿宋" w:cs="仿宋"/>
          <w:highlight w:val="none"/>
          <w:shd w:val="pct10" w:color="auto" w:fill="FFFFFF"/>
        </w:rPr>
        <w:fldChar w:fldCharType="begin"/>
      </w:r>
      <w:r>
        <w:rPr>
          <w:rFonts w:hint="eastAsia" w:ascii="仿宋" w:hAnsi="仿宋" w:eastAsia="仿宋" w:cs="仿宋"/>
          <w:highlight w:val="none"/>
          <w:shd w:val="pct10" w:color="auto" w:fill="FFFFFF"/>
        </w:rPr>
        <w:instrText xml:space="preserve"> HYPERLINK \l _Toc8458 </w:instrText>
      </w:r>
      <w:r>
        <w:rPr>
          <w:rFonts w:hint="eastAsia" w:ascii="仿宋" w:hAnsi="仿宋" w:eastAsia="仿宋" w:cs="仿宋"/>
          <w:highlight w:val="none"/>
          <w:shd w:val="pct10" w:color="auto" w:fill="FFFFFF"/>
        </w:rPr>
        <w:fldChar w:fldCharType="separate"/>
      </w:r>
      <w:r>
        <w:rPr>
          <w:highlight w:val="none"/>
        </w:rPr>
        <w:t>二、申请人的资格要求</w:t>
      </w:r>
      <w:r>
        <w:tab/>
      </w:r>
      <w:r>
        <w:fldChar w:fldCharType="begin"/>
      </w:r>
      <w:r>
        <w:instrText xml:space="preserve"> PAGEREF _Toc8458 \h </w:instrText>
      </w:r>
      <w:r>
        <w:fldChar w:fldCharType="separate"/>
      </w:r>
      <w:r>
        <w:t>2</w:t>
      </w:r>
      <w:r>
        <w:fldChar w:fldCharType="end"/>
      </w:r>
      <w:r>
        <w:rPr>
          <w:rFonts w:hint="eastAsia" w:ascii="仿宋" w:hAnsi="仿宋" w:eastAsia="仿宋" w:cs="仿宋"/>
          <w:highlight w:val="none"/>
          <w:shd w:val="pct10" w:color="auto" w:fill="FFFFFF"/>
        </w:rPr>
        <w:fldChar w:fldCharType="end"/>
      </w:r>
    </w:p>
    <w:p w14:paraId="0F7FC98C">
      <w:pPr>
        <w:pStyle w:val="13"/>
        <w:tabs>
          <w:tab w:val="right" w:leader="dot" w:pos="9923"/>
        </w:tabs>
      </w:pPr>
      <w:r>
        <w:rPr>
          <w:rFonts w:hint="eastAsia" w:ascii="仿宋" w:hAnsi="仿宋" w:eastAsia="仿宋" w:cs="仿宋"/>
          <w:highlight w:val="none"/>
          <w:shd w:val="pct10" w:color="auto" w:fill="FFFFFF"/>
        </w:rPr>
        <w:fldChar w:fldCharType="begin"/>
      </w:r>
      <w:r>
        <w:rPr>
          <w:rFonts w:hint="eastAsia" w:ascii="仿宋" w:hAnsi="仿宋" w:eastAsia="仿宋" w:cs="仿宋"/>
          <w:highlight w:val="none"/>
          <w:shd w:val="pct10" w:color="auto" w:fill="FFFFFF"/>
        </w:rPr>
        <w:instrText xml:space="preserve"> HYPERLINK \l _Toc28086 </w:instrText>
      </w:r>
      <w:r>
        <w:rPr>
          <w:rFonts w:hint="eastAsia" w:ascii="仿宋" w:hAnsi="仿宋" w:eastAsia="仿宋" w:cs="仿宋"/>
          <w:highlight w:val="none"/>
          <w:shd w:val="pct10" w:color="auto" w:fill="FFFFFF"/>
        </w:rPr>
        <w:fldChar w:fldCharType="separate"/>
      </w:r>
      <w:r>
        <w:rPr>
          <w:highlight w:val="none"/>
        </w:rPr>
        <w:t>三、竞争性谈判文件的获取时间：</w:t>
      </w:r>
      <w:r>
        <w:tab/>
      </w:r>
      <w:r>
        <w:fldChar w:fldCharType="begin"/>
      </w:r>
      <w:r>
        <w:instrText xml:space="preserve"> PAGEREF _Toc28086 \h </w:instrText>
      </w:r>
      <w:r>
        <w:fldChar w:fldCharType="separate"/>
      </w:r>
      <w:r>
        <w:t>3</w:t>
      </w:r>
      <w:r>
        <w:fldChar w:fldCharType="end"/>
      </w:r>
      <w:r>
        <w:rPr>
          <w:rFonts w:hint="eastAsia" w:ascii="仿宋" w:hAnsi="仿宋" w:eastAsia="仿宋" w:cs="仿宋"/>
          <w:highlight w:val="none"/>
          <w:shd w:val="pct10" w:color="auto" w:fill="FFFFFF"/>
        </w:rPr>
        <w:fldChar w:fldCharType="end"/>
      </w:r>
    </w:p>
    <w:p w14:paraId="4BDDFB0C">
      <w:pPr>
        <w:pStyle w:val="13"/>
        <w:tabs>
          <w:tab w:val="right" w:leader="dot" w:pos="9923"/>
        </w:tabs>
      </w:pPr>
      <w:r>
        <w:rPr>
          <w:rFonts w:hint="eastAsia" w:ascii="仿宋" w:hAnsi="仿宋" w:eastAsia="仿宋" w:cs="仿宋"/>
          <w:highlight w:val="none"/>
          <w:shd w:val="pct10" w:color="auto" w:fill="FFFFFF"/>
        </w:rPr>
        <w:fldChar w:fldCharType="begin"/>
      </w:r>
      <w:r>
        <w:rPr>
          <w:rFonts w:hint="eastAsia" w:ascii="仿宋" w:hAnsi="仿宋" w:eastAsia="仿宋" w:cs="仿宋"/>
          <w:highlight w:val="none"/>
          <w:shd w:val="pct10" w:color="auto" w:fill="FFFFFF"/>
        </w:rPr>
        <w:instrText xml:space="preserve"> HYPERLINK \l _Toc23741 </w:instrText>
      </w:r>
      <w:r>
        <w:rPr>
          <w:rFonts w:hint="eastAsia" w:ascii="仿宋" w:hAnsi="仿宋" w:eastAsia="仿宋" w:cs="仿宋"/>
          <w:highlight w:val="none"/>
          <w:shd w:val="pct10" w:color="auto" w:fill="FFFFFF"/>
        </w:rPr>
        <w:fldChar w:fldCharType="separate"/>
      </w:r>
      <w:r>
        <w:rPr>
          <w:highlight w:val="none"/>
        </w:rPr>
        <w:t>四、提交响应文件截止时间、谈判时间和地点：</w:t>
      </w:r>
      <w:r>
        <w:tab/>
      </w:r>
      <w:r>
        <w:fldChar w:fldCharType="begin"/>
      </w:r>
      <w:r>
        <w:instrText xml:space="preserve"> PAGEREF _Toc23741 \h </w:instrText>
      </w:r>
      <w:r>
        <w:fldChar w:fldCharType="separate"/>
      </w:r>
      <w:r>
        <w:t>3</w:t>
      </w:r>
      <w:r>
        <w:fldChar w:fldCharType="end"/>
      </w:r>
      <w:r>
        <w:rPr>
          <w:rFonts w:hint="eastAsia" w:ascii="仿宋" w:hAnsi="仿宋" w:eastAsia="仿宋" w:cs="仿宋"/>
          <w:highlight w:val="none"/>
          <w:shd w:val="pct10" w:color="auto" w:fill="FFFFFF"/>
        </w:rPr>
        <w:fldChar w:fldCharType="end"/>
      </w:r>
    </w:p>
    <w:p w14:paraId="03E3084B">
      <w:pPr>
        <w:pStyle w:val="13"/>
        <w:tabs>
          <w:tab w:val="right" w:leader="dot" w:pos="9923"/>
        </w:tabs>
      </w:pPr>
      <w:r>
        <w:rPr>
          <w:rFonts w:hint="eastAsia" w:ascii="仿宋" w:hAnsi="仿宋" w:eastAsia="仿宋" w:cs="仿宋"/>
          <w:highlight w:val="none"/>
          <w:shd w:val="pct10" w:color="auto" w:fill="FFFFFF"/>
        </w:rPr>
        <w:fldChar w:fldCharType="begin"/>
      </w:r>
      <w:r>
        <w:rPr>
          <w:rFonts w:hint="eastAsia" w:ascii="仿宋" w:hAnsi="仿宋" w:eastAsia="仿宋" w:cs="仿宋"/>
          <w:highlight w:val="none"/>
          <w:shd w:val="pct10" w:color="auto" w:fill="FFFFFF"/>
        </w:rPr>
        <w:instrText xml:space="preserve"> HYPERLINK \l _Toc21875 </w:instrText>
      </w:r>
      <w:r>
        <w:rPr>
          <w:rFonts w:hint="eastAsia" w:ascii="仿宋" w:hAnsi="仿宋" w:eastAsia="仿宋" w:cs="仿宋"/>
          <w:highlight w:val="none"/>
          <w:shd w:val="pct10" w:color="auto" w:fill="FFFFFF"/>
        </w:rPr>
        <w:fldChar w:fldCharType="separate"/>
      </w:r>
      <w:r>
        <w:rPr>
          <w:highlight w:val="none"/>
        </w:rPr>
        <w:t>五、公告期限</w:t>
      </w:r>
      <w:r>
        <w:tab/>
      </w:r>
      <w:r>
        <w:fldChar w:fldCharType="begin"/>
      </w:r>
      <w:r>
        <w:instrText xml:space="preserve"> PAGEREF _Toc21875 \h </w:instrText>
      </w:r>
      <w:r>
        <w:fldChar w:fldCharType="separate"/>
      </w:r>
      <w:r>
        <w:t>3</w:t>
      </w:r>
      <w:r>
        <w:fldChar w:fldCharType="end"/>
      </w:r>
      <w:r>
        <w:rPr>
          <w:rFonts w:hint="eastAsia" w:ascii="仿宋" w:hAnsi="仿宋" w:eastAsia="仿宋" w:cs="仿宋"/>
          <w:highlight w:val="none"/>
          <w:shd w:val="pct10" w:color="auto" w:fill="FFFFFF"/>
        </w:rPr>
        <w:fldChar w:fldCharType="end"/>
      </w:r>
    </w:p>
    <w:p w14:paraId="3C31A4BF">
      <w:pPr>
        <w:pStyle w:val="13"/>
        <w:tabs>
          <w:tab w:val="right" w:leader="dot" w:pos="9923"/>
        </w:tabs>
      </w:pPr>
      <w:r>
        <w:rPr>
          <w:rFonts w:hint="eastAsia" w:ascii="仿宋" w:hAnsi="仿宋" w:eastAsia="仿宋" w:cs="仿宋"/>
          <w:highlight w:val="none"/>
          <w:shd w:val="pct10" w:color="auto" w:fill="FFFFFF"/>
        </w:rPr>
        <w:fldChar w:fldCharType="begin"/>
      </w:r>
      <w:r>
        <w:rPr>
          <w:rFonts w:hint="eastAsia" w:ascii="仿宋" w:hAnsi="仿宋" w:eastAsia="仿宋" w:cs="仿宋"/>
          <w:highlight w:val="none"/>
          <w:shd w:val="pct10" w:color="auto" w:fill="FFFFFF"/>
        </w:rPr>
        <w:instrText xml:space="preserve"> HYPERLINK \l _Toc2850 </w:instrText>
      </w:r>
      <w:r>
        <w:rPr>
          <w:rFonts w:hint="eastAsia" w:ascii="仿宋" w:hAnsi="仿宋" w:eastAsia="仿宋" w:cs="仿宋"/>
          <w:highlight w:val="none"/>
          <w:shd w:val="pct10" w:color="auto" w:fill="FFFFFF"/>
        </w:rPr>
        <w:fldChar w:fldCharType="separate"/>
      </w:r>
      <w:r>
        <w:rPr>
          <w:highlight w:val="none"/>
        </w:rPr>
        <w:t>六、对本次采购提出询问，请按以下方式联系</w:t>
      </w:r>
      <w:r>
        <w:tab/>
      </w:r>
      <w:r>
        <w:fldChar w:fldCharType="begin"/>
      </w:r>
      <w:r>
        <w:instrText xml:space="preserve"> PAGEREF _Toc2850 \h </w:instrText>
      </w:r>
      <w:r>
        <w:fldChar w:fldCharType="separate"/>
      </w:r>
      <w:r>
        <w:t>3</w:t>
      </w:r>
      <w:r>
        <w:fldChar w:fldCharType="end"/>
      </w:r>
      <w:r>
        <w:rPr>
          <w:rFonts w:hint="eastAsia" w:ascii="仿宋" w:hAnsi="仿宋" w:eastAsia="仿宋" w:cs="仿宋"/>
          <w:highlight w:val="none"/>
          <w:shd w:val="pct10" w:color="auto" w:fill="FFFFFF"/>
        </w:rPr>
        <w:fldChar w:fldCharType="end"/>
      </w:r>
    </w:p>
    <w:p w14:paraId="0E7FCE53">
      <w:pPr>
        <w:pStyle w:val="12"/>
        <w:tabs>
          <w:tab w:val="right" w:leader="dot" w:pos="9923"/>
        </w:tabs>
      </w:pPr>
      <w:r>
        <w:rPr>
          <w:rFonts w:hint="eastAsia" w:ascii="仿宋" w:hAnsi="仿宋" w:eastAsia="仿宋" w:cs="仿宋"/>
          <w:highlight w:val="none"/>
          <w:shd w:val="pct10" w:color="auto" w:fill="FFFFFF"/>
        </w:rPr>
        <w:fldChar w:fldCharType="begin"/>
      </w:r>
      <w:r>
        <w:rPr>
          <w:rFonts w:hint="eastAsia" w:ascii="仿宋" w:hAnsi="仿宋" w:eastAsia="仿宋" w:cs="仿宋"/>
          <w:highlight w:val="none"/>
          <w:shd w:val="pct10" w:color="auto" w:fill="FFFFFF"/>
        </w:rPr>
        <w:instrText xml:space="preserve"> HYPERLINK \l _Toc30483 </w:instrText>
      </w:r>
      <w:r>
        <w:rPr>
          <w:rFonts w:hint="eastAsia" w:ascii="仿宋" w:hAnsi="仿宋" w:eastAsia="仿宋" w:cs="仿宋"/>
          <w:highlight w:val="none"/>
          <w:shd w:val="pct10" w:color="auto" w:fill="FFFFFF"/>
        </w:rPr>
        <w:fldChar w:fldCharType="separate"/>
      </w:r>
      <w:r>
        <w:rPr>
          <w:highlight w:val="none"/>
        </w:rPr>
        <w:t>第二章  供应商须知</w:t>
      </w:r>
      <w:r>
        <w:tab/>
      </w:r>
      <w:r>
        <w:fldChar w:fldCharType="begin"/>
      </w:r>
      <w:r>
        <w:instrText xml:space="preserve"> PAGEREF _Toc30483 \h </w:instrText>
      </w:r>
      <w:r>
        <w:fldChar w:fldCharType="separate"/>
      </w:r>
      <w:r>
        <w:t>4</w:t>
      </w:r>
      <w:r>
        <w:fldChar w:fldCharType="end"/>
      </w:r>
      <w:r>
        <w:rPr>
          <w:rFonts w:hint="eastAsia" w:ascii="仿宋" w:hAnsi="仿宋" w:eastAsia="仿宋" w:cs="仿宋"/>
          <w:highlight w:val="none"/>
          <w:shd w:val="pct10" w:color="auto" w:fill="FFFFFF"/>
        </w:rPr>
        <w:fldChar w:fldCharType="end"/>
      </w:r>
    </w:p>
    <w:p w14:paraId="24AE13C9">
      <w:pPr>
        <w:pStyle w:val="13"/>
        <w:tabs>
          <w:tab w:val="right" w:leader="dot" w:pos="9923"/>
        </w:tabs>
      </w:pPr>
      <w:r>
        <w:rPr>
          <w:rFonts w:hint="eastAsia" w:ascii="仿宋" w:hAnsi="仿宋" w:eastAsia="仿宋" w:cs="仿宋"/>
          <w:highlight w:val="none"/>
          <w:shd w:val="pct10" w:color="auto" w:fill="FFFFFF"/>
        </w:rPr>
        <w:fldChar w:fldCharType="begin"/>
      </w:r>
      <w:r>
        <w:rPr>
          <w:rFonts w:hint="eastAsia" w:ascii="仿宋" w:hAnsi="仿宋" w:eastAsia="仿宋" w:cs="仿宋"/>
          <w:highlight w:val="none"/>
          <w:shd w:val="pct10" w:color="auto" w:fill="FFFFFF"/>
        </w:rPr>
        <w:instrText xml:space="preserve"> HYPERLINK \l _Toc1780 </w:instrText>
      </w:r>
      <w:r>
        <w:rPr>
          <w:rFonts w:hint="eastAsia" w:ascii="仿宋" w:hAnsi="仿宋" w:eastAsia="仿宋" w:cs="仿宋"/>
          <w:highlight w:val="none"/>
          <w:shd w:val="pct10" w:color="auto" w:fill="FFFFFF"/>
        </w:rPr>
        <w:fldChar w:fldCharType="separate"/>
      </w:r>
      <w:r>
        <w:rPr>
          <w:highlight w:val="none"/>
        </w:rPr>
        <w:t>一、供应商须知前附表</w:t>
      </w:r>
      <w:r>
        <w:tab/>
      </w:r>
      <w:r>
        <w:fldChar w:fldCharType="begin"/>
      </w:r>
      <w:r>
        <w:instrText xml:space="preserve"> PAGEREF _Toc1780 \h </w:instrText>
      </w:r>
      <w:r>
        <w:fldChar w:fldCharType="separate"/>
      </w:r>
      <w:r>
        <w:t>4</w:t>
      </w:r>
      <w:r>
        <w:fldChar w:fldCharType="end"/>
      </w:r>
      <w:r>
        <w:rPr>
          <w:rFonts w:hint="eastAsia" w:ascii="仿宋" w:hAnsi="仿宋" w:eastAsia="仿宋" w:cs="仿宋"/>
          <w:highlight w:val="none"/>
          <w:shd w:val="pct10" w:color="auto" w:fill="FFFFFF"/>
        </w:rPr>
        <w:fldChar w:fldCharType="end"/>
      </w:r>
    </w:p>
    <w:p w14:paraId="59168EA3">
      <w:pPr>
        <w:pStyle w:val="13"/>
        <w:tabs>
          <w:tab w:val="right" w:leader="dot" w:pos="9923"/>
        </w:tabs>
      </w:pPr>
      <w:r>
        <w:rPr>
          <w:rFonts w:hint="eastAsia" w:ascii="仿宋" w:hAnsi="仿宋" w:eastAsia="仿宋" w:cs="仿宋"/>
          <w:highlight w:val="none"/>
          <w:shd w:val="pct10" w:color="auto" w:fill="FFFFFF"/>
        </w:rPr>
        <w:fldChar w:fldCharType="begin"/>
      </w:r>
      <w:r>
        <w:rPr>
          <w:rFonts w:hint="eastAsia" w:ascii="仿宋" w:hAnsi="仿宋" w:eastAsia="仿宋" w:cs="仿宋"/>
          <w:highlight w:val="none"/>
          <w:shd w:val="pct10" w:color="auto" w:fill="FFFFFF"/>
        </w:rPr>
        <w:instrText xml:space="preserve"> HYPERLINK \l _Toc11301 </w:instrText>
      </w:r>
      <w:r>
        <w:rPr>
          <w:rFonts w:hint="eastAsia" w:ascii="仿宋" w:hAnsi="仿宋" w:eastAsia="仿宋" w:cs="仿宋"/>
          <w:highlight w:val="none"/>
          <w:shd w:val="pct10" w:color="auto" w:fill="FFFFFF"/>
        </w:rPr>
        <w:fldChar w:fldCharType="separate"/>
      </w:r>
      <w:r>
        <w:rPr>
          <w:highlight w:val="none"/>
        </w:rPr>
        <w:t>二、说明</w:t>
      </w:r>
      <w:r>
        <w:tab/>
      </w:r>
      <w:r>
        <w:fldChar w:fldCharType="begin"/>
      </w:r>
      <w:r>
        <w:instrText xml:space="preserve"> PAGEREF _Toc11301 \h </w:instrText>
      </w:r>
      <w:r>
        <w:fldChar w:fldCharType="separate"/>
      </w:r>
      <w:r>
        <w:t>7</w:t>
      </w:r>
      <w:r>
        <w:fldChar w:fldCharType="end"/>
      </w:r>
      <w:r>
        <w:rPr>
          <w:rFonts w:hint="eastAsia" w:ascii="仿宋" w:hAnsi="仿宋" w:eastAsia="仿宋" w:cs="仿宋"/>
          <w:highlight w:val="none"/>
          <w:shd w:val="pct10" w:color="auto" w:fill="FFFFFF"/>
        </w:rPr>
        <w:fldChar w:fldCharType="end"/>
      </w:r>
    </w:p>
    <w:p w14:paraId="5C6B7118">
      <w:pPr>
        <w:pStyle w:val="13"/>
        <w:tabs>
          <w:tab w:val="right" w:leader="dot" w:pos="9923"/>
        </w:tabs>
      </w:pPr>
      <w:r>
        <w:rPr>
          <w:rFonts w:hint="eastAsia" w:ascii="仿宋" w:hAnsi="仿宋" w:eastAsia="仿宋" w:cs="仿宋"/>
          <w:highlight w:val="none"/>
          <w:shd w:val="pct10" w:color="auto" w:fill="FFFFFF"/>
        </w:rPr>
        <w:fldChar w:fldCharType="begin"/>
      </w:r>
      <w:r>
        <w:rPr>
          <w:rFonts w:hint="eastAsia" w:ascii="仿宋" w:hAnsi="仿宋" w:eastAsia="仿宋" w:cs="仿宋"/>
          <w:highlight w:val="none"/>
          <w:shd w:val="pct10" w:color="auto" w:fill="FFFFFF"/>
        </w:rPr>
        <w:instrText xml:space="preserve"> HYPERLINK \l _Toc3648 </w:instrText>
      </w:r>
      <w:r>
        <w:rPr>
          <w:rFonts w:hint="eastAsia" w:ascii="仿宋" w:hAnsi="仿宋" w:eastAsia="仿宋" w:cs="仿宋"/>
          <w:highlight w:val="none"/>
          <w:shd w:val="pct10" w:color="auto" w:fill="FFFFFF"/>
        </w:rPr>
        <w:fldChar w:fldCharType="separate"/>
      </w:r>
      <w:r>
        <w:rPr>
          <w:highlight w:val="none"/>
        </w:rPr>
        <w:t>三、谈判文件</w:t>
      </w:r>
      <w:r>
        <w:tab/>
      </w:r>
      <w:r>
        <w:fldChar w:fldCharType="begin"/>
      </w:r>
      <w:r>
        <w:instrText xml:space="preserve"> PAGEREF _Toc3648 \h </w:instrText>
      </w:r>
      <w:r>
        <w:fldChar w:fldCharType="separate"/>
      </w:r>
      <w:r>
        <w:t>7</w:t>
      </w:r>
      <w:r>
        <w:fldChar w:fldCharType="end"/>
      </w:r>
      <w:r>
        <w:rPr>
          <w:rFonts w:hint="eastAsia" w:ascii="仿宋" w:hAnsi="仿宋" w:eastAsia="仿宋" w:cs="仿宋"/>
          <w:highlight w:val="none"/>
          <w:shd w:val="pct10" w:color="auto" w:fill="FFFFFF"/>
        </w:rPr>
        <w:fldChar w:fldCharType="end"/>
      </w:r>
    </w:p>
    <w:p w14:paraId="05FFA1F8">
      <w:pPr>
        <w:pStyle w:val="13"/>
        <w:tabs>
          <w:tab w:val="right" w:leader="dot" w:pos="9923"/>
        </w:tabs>
      </w:pPr>
      <w:r>
        <w:rPr>
          <w:rFonts w:hint="eastAsia" w:ascii="仿宋" w:hAnsi="仿宋" w:eastAsia="仿宋" w:cs="仿宋"/>
          <w:highlight w:val="none"/>
          <w:shd w:val="pct10" w:color="auto" w:fill="FFFFFF"/>
        </w:rPr>
        <w:fldChar w:fldCharType="begin"/>
      </w:r>
      <w:r>
        <w:rPr>
          <w:rFonts w:hint="eastAsia" w:ascii="仿宋" w:hAnsi="仿宋" w:eastAsia="仿宋" w:cs="仿宋"/>
          <w:highlight w:val="none"/>
          <w:shd w:val="pct10" w:color="auto" w:fill="FFFFFF"/>
        </w:rPr>
        <w:instrText xml:space="preserve"> HYPERLINK \l _Toc16985 </w:instrText>
      </w:r>
      <w:r>
        <w:rPr>
          <w:rFonts w:hint="eastAsia" w:ascii="仿宋" w:hAnsi="仿宋" w:eastAsia="仿宋" w:cs="仿宋"/>
          <w:highlight w:val="none"/>
          <w:shd w:val="pct10" w:color="auto" w:fill="FFFFFF"/>
        </w:rPr>
        <w:fldChar w:fldCharType="separate"/>
      </w:r>
      <w:r>
        <w:rPr>
          <w:highlight w:val="none"/>
        </w:rPr>
        <w:t>四、响应文件的编制</w:t>
      </w:r>
      <w:r>
        <w:tab/>
      </w:r>
      <w:r>
        <w:fldChar w:fldCharType="begin"/>
      </w:r>
      <w:r>
        <w:instrText xml:space="preserve"> PAGEREF _Toc16985 \h </w:instrText>
      </w:r>
      <w:r>
        <w:fldChar w:fldCharType="separate"/>
      </w:r>
      <w:r>
        <w:t>10</w:t>
      </w:r>
      <w:r>
        <w:fldChar w:fldCharType="end"/>
      </w:r>
      <w:r>
        <w:rPr>
          <w:rFonts w:hint="eastAsia" w:ascii="仿宋" w:hAnsi="仿宋" w:eastAsia="仿宋" w:cs="仿宋"/>
          <w:highlight w:val="none"/>
          <w:shd w:val="pct10" w:color="auto" w:fill="FFFFFF"/>
        </w:rPr>
        <w:fldChar w:fldCharType="end"/>
      </w:r>
    </w:p>
    <w:p w14:paraId="124A6C96">
      <w:pPr>
        <w:pStyle w:val="13"/>
        <w:tabs>
          <w:tab w:val="right" w:leader="dot" w:pos="9923"/>
        </w:tabs>
      </w:pPr>
      <w:r>
        <w:rPr>
          <w:rFonts w:hint="eastAsia" w:ascii="仿宋" w:hAnsi="仿宋" w:eastAsia="仿宋" w:cs="仿宋"/>
          <w:highlight w:val="none"/>
          <w:shd w:val="pct10" w:color="auto" w:fill="FFFFFF"/>
        </w:rPr>
        <w:fldChar w:fldCharType="begin"/>
      </w:r>
      <w:r>
        <w:rPr>
          <w:rFonts w:hint="eastAsia" w:ascii="仿宋" w:hAnsi="仿宋" w:eastAsia="仿宋" w:cs="仿宋"/>
          <w:highlight w:val="none"/>
          <w:shd w:val="pct10" w:color="auto" w:fill="FFFFFF"/>
        </w:rPr>
        <w:instrText xml:space="preserve"> HYPERLINK \l _Toc26754 </w:instrText>
      </w:r>
      <w:r>
        <w:rPr>
          <w:rFonts w:hint="eastAsia" w:ascii="仿宋" w:hAnsi="仿宋" w:eastAsia="仿宋" w:cs="仿宋"/>
          <w:highlight w:val="none"/>
          <w:shd w:val="pct10" w:color="auto" w:fill="FFFFFF"/>
        </w:rPr>
        <w:fldChar w:fldCharType="separate"/>
      </w:r>
      <w:r>
        <w:rPr>
          <w:highlight w:val="none"/>
        </w:rPr>
        <w:t>五、响应文件的递交</w:t>
      </w:r>
      <w:r>
        <w:tab/>
      </w:r>
      <w:r>
        <w:fldChar w:fldCharType="begin"/>
      </w:r>
      <w:r>
        <w:instrText xml:space="preserve"> PAGEREF _Toc26754 \h </w:instrText>
      </w:r>
      <w:r>
        <w:fldChar w:fldCharType="separate"/>
      </w:r>
      <w:r>
        <w:t>12</w:t>
      </w:r>
      <w:r>
        <w:fldChar w:fldCharType="end"/>
      </w:r>
      <w:r>
        <w:rPr>
          <w:rFonts w:hint="eastAsia" w:ascii="仿宋" w:hAnsi="仿宋" w:eastAsia="仿宋" w:cs="仿宋"/>
          <w:highlight w:val="none"/>
          <w:shd w:val="pct10" w:color="auto" w:fill="FFFFFF"/>
        </w:rPr>
        <w:fldChar w:fldCharType="end"/>
      </w:r>
    </w:p>
    <w:p w14:paraId="5B3DF156">
      <w:pPr>
        <w:pStyle w:val="13"/>
        <w:tabs>
          <w:tab w:val="right" w:leader="dot" w:pos="9923"/>
        </w:tabs>
      </w:pPr>
      <w:r>
        <w:rPr>
          <w:rFonts w:hint="eastAsia" w:ascii="仿宋" w:hAnsi="仿宋" w:eastAsia="仿宋" w:cs="仿宋"/>
          <w:highlight w:val="none"/>
          <w:shd w:val="pct10" w:color="auto" w:fill="FFFFFF"/>
        </w:rPr>
        <w:fldChar w:fldCharType="begin"/>
      </w:r>
      <w:r>
        <w:rPr>
          <w:rFonts w:hint="eastAsia" w:ascii="仿宋" w:hAnsi="仿宋" w:eastAsia="仿宋" w:cs="仿宋"/>
          <w:highlight w:val="none"/>
          <w:shd w:val="pct10" w:color="auto" w:fill="FFFFFF"/>
        </w:rPr>
        <w:instrText xml:space="preserve"> HYPERLINK \l _Toc31126 </w:instrText>
      </w:r>
      <w:r>
        <w:rPr>
          <w:rFonts w:hint="eastAsia" w:ascii="仿宋" w:hAnsi="仿宋" w:eastAsia="仿宋" w:cs="仿宋"/>
          <w:highlight w:val="none"/>
          <w:shd w:val="pct10" w:color="auto" w:fill="FFFFFF"/>
        </w:rPr>
        <w:fldChar w:fldCharType="separate"/>
      </w:r>
      <w:r>
        <w:rPr>
          <w:highlight w:val="none"/>
        </w:rPr>
        <w:t>六、谈判</w:t>
      </w:r>
      <w:r>
        <w:tab/>
      </w:r>
      <w:r>
        <w:fldChar w:fldCharType="begin"/>
      </w:r>
      <w:r>
        <w:instrText xml:space="preserve"> PAGEREF _Toc31126 \h </w:instrText>
      </w:r>
      <w:r>
        <w:fldChar w:fldCharType="separate"/>
      </w:r>
      <w:r>
        <w:t>12</w:t>
      </w:r>
      <w:r>
        <w:fldChar w:fldCharType="end"/>
      </w:r>
      <w:r>
        <w:rPr>
          <w:rFonts w:hint="eastAsia" w:ascii="仿宋" w:hAnsi="仿宋" w:eastAsia="仿宋" w:cs="仿宋"/>
          <w:highlight w:val="none"/>
          <w:shd w:val="pct10" w:color="auto" w:fill="FFFFFF"/>
        </w:rPr>
        <w:fldChar w:fldCharType="end"/>
      </w:r>
    </w:p>
    <w:p w14:paraId="4384C746">
      <w:pPr>
        <w:pStyle w:val="13"/>
        <w:tabs>
          <w:tab w:val="right" w:leader="dot" w:pos="9923"/>
        </w:tabs>
      </w:pPr>
      <w:r>
        <w:rPr>
          <w:rFonts w:hint="eastAsia" w:ascii="仿宋" w:hAnsi="仿宋" w:eastAsia="仿宋" w:cs="仿宋"/>
          <w:highlight w:val="none"/>
          <w:shd w:val="pct10" w:color="auto" w:fill="FFFFFF"/>
        </w:rPr>
        <w:fldChar w:fldCharType="begin"/>
      </w:r>
      <w:r>
        <w:rPr>
          <w:rFonts w:hint="eastAsia" w:ascii="仿宋" w:hAnsi="仿宋" w:eastAsia="仿宋" w:cs="仿宋"/>
          <w:highlight w:val="none"/>
          <w:shd w:val="pct10" w:color="auto" w:fill="FFFFFF"/>
        </w:rPr>
        <w:instrText xml:space="preserve"> HYPERLINK \l _Toc6879 </w:instrText>
      </w:r>
      <w:r>
        <w:rPr>
          <w:rFonts w:hint="eastAsia" w:ascii="仿宋" w:hAnsi="仿宋" w:eastAsia="仿宋" w:cs="仿宋"/>
          <w:highlight w:val="none"/>
          <w:shd w:val="pct10" w:color="auto" w:fill="FFFFFF"/>
        </w:rPr>
        <w:fldChar w:fldCharType="separate"/>
      </w:r>
      <w:r>
        <w:rPr>
          <w:highlight w:val="none"/>
        </w:rPr>
        <w:t>七、推荐成交候选供应商、确定成交供应商</w:t>
      </w:r>
      <w:r>
        <w:tab/>
      </w:r>
      <w:r>
        <w:fldChar w:fldCharType="begin"/>
      </w:r>
      <w:r>
        <w:instrText xml:space="preserve"> PAGEREF _Toc6879 \h </w:instrText>
      </w:r>
      <w:r>
        <w:fldChar w:fldCharType="separate"/>
      </w:r>
      <w:r>
        <w:t>15</w:t>
      </w:r>
      <w:r>
        <w:fldChar w:fldCharType="end"/>
      </w:r>
      <w:r>
        <w:rPr>
          <w:rFonts w:hint="eastAsia" w:ascii="仿宋" w:hAnsi="仿宋" w:eastAsia="仿宋" w:cs="仿宋"/>
          <w:highlight w:val="none"/>
          <w:shd w:val="pct10" w:color="auto" w:fill="FFFFFF"/>
        </w:rPr>
        <w:fldChar w:fldCharType="end"/>
      </w:r>
    </w:p>
    <w:p w14:paraId="3C35A916">
      <w:pPr>
        <w:pStyle w:val="13"/>
        <w:tabs>
          <w:tab w:val="right" w:leader="dot" w:pos="9923"/>
        </w:tabs>
      </w:pPr>
      <w:r>
        <w:rPr>
          <w:rFonts w:hint="eastAsia" w:ascii="仿宋" w:hAnsi="仿宋" w:eastAsia="仿宋" w:cs="仿宋"/>
          <w:highlight w:val="none"/>
          <w:shd w:val="pct10" w:color="auto" w:fill="FFFFFF"/>
        </w:rPr>
        <w:fldChar w:fldCharType="begin"/>
      </w:r>
      <w:r>
        <w:rPr>
          <w:rFonts w:hint="eastAsia" w:ascii="仿宋" w:hAnsi="仿宋" w:eastAsia="仿宋" w:cs="仿宋"/>
          <w:highlight w:val="none"/>
          <w:shd w:val="pct10" w:color="auto" w:fill="FFFFFF"/>
        </w:rPr>
        <w:instrText xml:space="preserve"> HYPERLINK \l _Toc23523 </w:instrText>
      </w:r>
      <w:r>
        <w:rPr>
          <w:rFonts w:hint="eastAsia" w:ascii="仿宋" w:hAnsi="仿宋" w:eastAsia="仿宋" w:cs="仿宋"/>
          <w:highlight w:val="none"/>
          <w:shd w:val="pct10" w:color="auto" w:fill="FFFFFF"/>
        </w:rPr>
        <w:fldChar w:fldCharType="separate"/>
      </w:r>
      <w:r>
        <w:rPr>
          <w:highlight w:val="none"/>
        </w:rPr>
        <w:t>八、成交结果公告、成交通知书</w:t>
      </w:r>
      <w:r>
        <w:tab/>
      </w:r>
      <w:r>
        <w:fldChar w:fldCharType="begin"/>
      </w:r>
      <w:r>
        <w:instrText xml:space="preserve"> PAGEREF _Toc23523 \h </w:instrText>
      </w:r>
      <w:r>
        <w:fldChar w:fldCharType="separate"/>
      </w:r>
      <w:r>
        <w:t>15</w:t>
      </w:r>
      <w:r>
        <w:fldChar w:fldCharType="end"/>
      </w:r>
      <w:r>
        <w:rPr>
          <w:rFonts w:hint="eastAsia" w:ascii="仿宋" w:hAnsi="仿宋" w:eastAsia="仿宋" w:cs="仿宋"/>
          <w:highlight w:val="none"/>
          <w:shd w:val="pct10" w:color="auto" w:fill="FFFFFF"/>
        </w:rPr>
        <w:fldChar w:fldCharType="end"/>
      </w:r>
    </w:p>
    <w:p w14:paraId="13023297">
      <w:pPr>
        <w:pStyle w:val="13"/>
        <w:tabs>
          <w:tab w:val="right" w:leader="dot" w:pos="9923"/>
        </w:tabs>
      </w:pPr>
      <w:r>
        <w:rPr>
          <w:rFonts w:hint="eastAsia" w:ascii="仿宋" w:hAnsi="仿宋" w:eastAsia="仿宋" w:cs="仿宋"/>
          <w:highlight w:val="none"/>
          <w:shd w:val="pct10" w:color="auto" w:fill="FFFFFF"/>
        </w:rPr>
        <w:fldChar w:fldCharType="begin"/>
      </w:r>
      <w:r>
        <w:rPr>
          <w:rFonts w:hint="eastAsia" w:ascii="仿宋" w:hAnsi="仿宋" w:eastAsia="仿宋" w:cs="仿宋"/>
          <w:highlight w:val="none"/>
          <w:shd w:val="pct10" w:color="auto" w:fill="FFFFFF"/>
        </w:rPr>
        <w:instrText xml:space="preserve"> HYPERLINK \l _Toc749 </w:instrText>
      </w:r>
      <w:r>
        <w:rPr>
          <w:rFonts w:hint="eastAsia" w:ascii="仿宋" w:hAnsi="仿宋" w:eastAsia="仿宋" w:cs="仿宋"/>
          <w:highlight w:val="none"/>
          <w:shd w:val="pct10" w:color="auto" w:fill="FFFFFF"/>
        </w:rPr>
        <w:fldChar w:fldCharType="separate"/>
      </w:r>
      <w:r>
        <w:rPr>
          <w:highlight w:val="none"/>
        </w:rPr>
        <w:t>九、履约保证金、签订合同</w:t>
      </w:r>
      <w:r>
        <w:tab/>
      </w:r>
      <w:r>
        <w:fldChar w:fldCharType="begin"/>
      </w:r>
      <w:r>
        <w:instrText xml:space="preserve"> PAGEREF _Toc749 \h </w:instrText>
      </w:r>
      <w:r>
        <w:fldChar w:fldCharType="separate"/>
      </w:r>
      <w:r>
        <w:t>15</w:t>
      </w:r>
      <w:r>
        <w:fldChar w:fldCharType="end"/>
      </w:r>
      <w:r>
        <w:rPr>
          <w:rFonts w:hint="eastAsia" w:ascii="仿宋" w:hAnsi="仿宋" w:eastAsia="仿宋" w:cs="仿宋"/>
          <w:highlight w:val="none"/>
          <w:shd w:val="pct10" w:color="auto" w:fill="FFFFFF"/>
        </w:rPr>
        <w:fldChar w:fldCharType="end"/>
      </w:r>
    </w:p>
    <w:p w14:paraId="180DC330">
      <w:pPr>
        <w:pStyle w:val="13"/>
        <w:tabs>
          <w:tab w:val="right" w:leader="dot" w:pos="9923"/>
        </w:tabs>
      </w:pPr>
      <w:r>
        <w:rPr>
          <w:rFonts w:hint="eastAsia" w:ascii="仿宋" w:hAnsi="仿宋" w:eastAsia="仿宋" w:cs="仿宋"/>
          <w:highlight w:val="none"/>
          <w:shd w:val="pct10" w:color="auto" w:fill="FFFFFF"/>
        </w:rPr>
        <w:fldChar w:fldCharType="begin"/>
      </w:r>
      <w:r>
        <w:rPr>
          <w:rFonts w:hint="eastAsia" w:ascii="仿宋" w:hAnsi="仿宋" w:eastAsia="仿宋" w:cs="仿宋"/>
          <w:highlight w:val="none"/>
          <w:shd w:val="pct10" w:color="auto" w:fill="FFFFFF"/>
        </w:rPr>
        <w:instrText xml:space="preserve"> HYPERLINK \l _Toc1409 </w:instrText>
      </w:r>
      <w:r>
        <w:rPr>
          <w:rFonts w:hint="eastAsia" w:ascii="仿宋" w:hAnsi="仿宋" w:eastAsia="仿宋" w:cs="仿宋"/>
          <w:highlight w:val="none"/>
          <w:shd w:val="pct10" w:color="auto" w:fill="FFFFFF"/>
        </w:rPr>
        <w:fldChar w:fldCharType="separate"/>
      </w:r>
      <w:r>
        <w:rPr>
          <w:highlight w:val="none"/>
        </w:rPr>
        <w:t>十、询问和质疑</w:t>
      </w:r>
      <w:r>
        <w:tab/>
      </w:r>
      <w:r>
        <w:fldChar w:fldCharType="begin"/>
      </w:r>
      <w:r>
        <w:instrText xml:space="preserve"> PAGEREF _Toc1409 \h </w:instrText>
      </w:r>
      <w:r>
        <w:fldChar w:fldCharType="separate"/>
      </w:r>
      <w:r>
        <w:t>16</w:t>
      </w:r>
      <w:r>
        <w:fldChar w:fldCharType="end"/>
      </w:r>
      <w:r>
        <w:rPr>
          <w:rFonts w:hint="eastAsia" w:ascii="仿宋" w:hAnsi="仿宋" w:eastAsia="仿宋" w:cs="仿宋"/>
          <w:highlight w:val="none"/>
          <w:shd w:val="pct10" w:color="auto" w:fill="FFFFFF"/>
        </w:rPr>
        <w:fldChar w:fldCharType="end"/>
      </w:r>
    </w:p>
    <w:p w14:paraId="1BE73C71">
      <w:pPr>
        <w:pStyle w:val="13"/>
        <w:tabs>
          <w:tab w:val="right" w:leader="dot" w:pos="9923"/>
        </w:tabs>
      </w:pPr>
      <w:r>
        <w:rPr>
          <w:rFonts w:hint="eastAsia" w:ascii="仿宋" w:hAnsi="仿宋" w:eastAsia="仿宋" w:cs="仿宋"/>
          <w:highlight w:val="none"/>
          <w:shd w:val="pct10" w:color="auto" w:fill="FFFFFF"/>
        </w:rPr>
        <w:fldChar w:fldCharType="begin"/>
      </w:r>
      <w:r>
        <w:rPr>
          <w:rFonts w:hint="eastAsia" w:ascii="仿宋" w:hAnsi="仿宋" w:eastAsia="仿宋" w:cs="仿宋"/>
          <w:highlight w:val="none"/>
          <w:shd w:val="pct10" w:color="auto" w:fill="FFFFFF"/>
        </w:rPr>
        <w:instrText xml:space="preserve"> HYPERLINK \l _Toc13534 </w:instrText>
      </w:r>
      <w:r>
        <w:rPr>
          <w:rFonts w:hint="eastAsia" w:ascii="仿宋" w:hAnsi="仿宋" w:eastAsia="仿宋" w:cs="仿宋"/>
          <w:highlight w:val="none"/>
          <w:shd w:val="pct10" w:color="auto" w:fill="FFFFFF"/>
        </w:rPr>
        <w:fldChar w:fldCharType="separate"/>
      </w:r>
      <w:r>
        <w:rPr>
          <w:highlight w:val="none"/>
        </w:rPr>
        <w:t>十一、采购代理服务费</w:t>
      </w:r>
      <w:r>
        <w:tab/>
      </w:r>
      <w:r>
        <w:fldChar w:fldCharType="begin"/>
      </w:r>
      <w:r>
        <w:instrText xml:space="preserve"> PAGEREF _Toc13534 \h </w:instrText>
      </w:r>
      <w:r>
        <w:fldChar w:fldCharType="separate"/>
      </w:r>
      <w:r>
        <w:t>17</w:t>
      </w:r>
      <w:r>
        <w:fldChar w:fldCharType="end"/>
      </w:r>
      <w:r>
        <w:rPr>
          <w:rFonts w:hint="eastAsia" w:ascii="仿宋" w:hAnsi="仿宋" w:eastAsia="仿宋" w:cs="仿宋"/>
          <w:highlight w:val="none"/>
          <w:shd w:val="pct10" w:color="auto" w:fill="FFFFFF"/>
        </w:rPr>
        <w:fldChar w:fldCharType="end"/>
      </w:r>
    </w:p>
    <w:p w14:paraId="12D2177A">
      <w:pPr>
        <w:pStyle w:val="13"/>
        <w:tabs>
          <w:tab w:val="right" w:leader="dot" w:pos="9923"/>
        </w:tabs>
      </w:pPr>
      <w:r>
        <w:rPr>
          <w:rFonts w:hint="eastAsia" w:ascii="仿宋" w:hAnsi="仿宋" w:eastAsia="仿宋" w:cs="仿宋"/>
          <w:highlight w:val="none"/>
          <w:shd w:val="pct10" w:color="auto" w:fill="FFFFFF"/>
        </w:rPr>
        <w:fldChar w:fldCharType="begin"/>
      </w:r>
      <w:r>
        <w:rPr>
          <w:rFonts w:hint="eastAsia" w:ascii="仿宋" w:hAnsi="仿宋" w:eastAsia="仿宋" w:cs="仿宋"/>
          <w:highlight w:val="none"/>
          <w:shd w:val="pct10" w:color="auto" w:fill="FFFFFF"/>
        </w:rPr>
        <w:instrText xml:space="preserve"> HYPERLINK \l _Toc26343 </w:instrText>
      </w:r>
      <w:r>
        <w:rPr>
          <w:rFonts w:hint="eastAsia" w:ascii="仿宋" w:hAnsi="仿宋" w:eastAsia="仿宋" w:cs="仿宋"/>
          <w:highlight w:val="none"/>
          <w:shd w:val="pct10" w:color="auto" w:fill="FFFFFF"/>
        </w:rPr>
        <w:fldChar w:fldCharType="separate"/>
      </w:r>
      <w:r>
        <w:rPr>
          <w:highlight w:val="none"/>
        </w:rPr>
        <w:t>十二、附则</w:t>
      </w:r>
      <w:r>
        <w:tab/>
      </w:r>
      <w:r>
        <w:fldChar w:fldCharType="begin"/>
      </w:r>
      <w:r>
        <w:instrText xml:space="preserve"> PAGEREF _Toc26343 \h </w:instrText>
      </w:r>
      <w:r>
        <w:fldChar w:fldCharType="separate"/>
      </w:r>
      <w:r>
        <w:t>17</w:t>
      </w:r>
      <w:r>
        <w:fldChar w:fldCharType="end"/>
      </w:r>
      <w:r>
        <w:rPr>
          <w:rFonts w:hint="eastAsia" w:ascii="仿宋" w:hAnsi="仿宋" w:eastAsia="仿宋" w:cs="仿宋"/>
          <w:highlight w:val="none"/>
          <w:shd w:val="pct10" w:color="auto" w:fill="FFFFFF"/>
        </w:rPr>
        <w:fldChar w:fldCharType="end"/>
      </w:r>
    </w:p>
    <w:p w14:paraId="51B63DE8">
      <w:pPr>
        <w:pStyle w:val="12"/>
        <w:tabs>
          <w:tab w:val="right" w:leader="dot" w:pos="9923"/>
        </w:tabs>
      </w:pPr>
      <w:r>
        <w:rPr>
          <w:rFonts w:hint="eastAsia" w:ascii="仿宋" w:hAnsi="仿宋" w:eastAsia="仿宋" w:cs="仿宋"/>
          <w:highlight w:val="none"/>
          <w:shd w:val="pct10" w:color="auto" w:fill="FFFFFF"/>
        </w:rPr>
        <w:fldChar w:fldCharType="begin"/>
      </w:r>
      <w:r>
        <w:rPr>
          <w:rFonts w:hint="eastAsia" w:ascii="仿宋" w:hAnsi="仿宋" w:eastAsia="仿宋" w:cs="仿宋"/>
          <w:highlight w:val="none"/>
          <w:shd w:val="pct10" w:color="auto" w:fill="FFFFFF"/>
        </w:rPr>
        <w:instrText xml:space="preserve"> HYPERLINK \l _Toc8221 </w:instrText>
      </w:r>
      <w:r>
        <w:rPr>
          <w:rFonts w:hint="eastAsia" w:ascii="仿宋" w:hAnsi="仿宋" w:eastAsia="仿宋" w:cs="仿宋"/>
          <w:highlight w:val="none"/>
          <w:shd w:val="pct10" w:color="auto" w:fill="FFFFFF"/>
        </w:rPr>
        <w:fldChar w:fldCharType="separate"/>
      </w:r>
      <w:r>
        <w:rPr>
          <w:highlight w:val="none"/>
        </w:rPr>
        <w:t>第三章　</w:t>
      </w:r>
      <w:r>
        <w:rPr>
          <w:szCs w:val="32"/>
          <w:highlight w:val="none"/>
        </w:rPr>
        <w:t>拟签订的合同文本</w:t>
      </w:r>
      <w:r>
        <w:tab/>
      </w:r>
      <w:r>
        <w:fldChar w:fldCharType="begin"/>
      </w:r>
      <w:r>
        <w:instrText xml:space="preserve"> PAGEREF _Toc8221 \h </w:instrText>
      </w:r>
      <w:r>
        <w:fldChar w:fldCharType="separate"/>
      </w:r>
      <w:r>
        <w:t>18</w:t>
      </w:r>
      <w:r>
        <w:fldChar w:fldCharType="end"/>
      </w:r>
      <w:r>
        <w:rPr>
          <w:rFonts w:hint="eastAsia" w:ascii="仿宋" w:hAnsi="仿宋" w:eastAsia="仿宋" w:cs="仿宋"/>
          <w:highlight w:val="none"/>
          <w:shd w:val="pct10" w:color="auto" w:fill="FFFFFF"/>
        </w:rPr>
        <w:fldChar w:fldCharType="end"/>
      </w:r>
    </w:p>
    <w:p w14:paraId="0AA2B30B">
      <w:pPr>
        <w:pStyle w:val="12"/>
        <w:tabs>
          <w:tab w:val="right" w:leader="dot" w:pos="9923"/>
        </w:tabs>
      </w:pPr>
      <w:r>
        <w:rPr>
          <w:rFonts w:hint="eastAsia" w:ascii="仿宋" w:hAnsi="仿宋" w:eastAsia="仿宋" w:cs="仿宋"/>
          <w:highlight w:val="none"/>
          <w:shd w:val="pct10" w:color="auto" w:fill="FFFFFF"/>
        </w:rPr>
        <w:fldChar w:fldCharType="begin"/>
      </w:r>
      <w:r>
        <w:rPr>
          <w:rFonts w:hint="eastAsia" w:ascii="仿宋" w:hAnsi="仿宋" w:eastAsia="仿宋" w:cs="仿宋"/>
          <w:highlight w:val="none"/>
          <w:shd w:val="pct10" w:color="auto" w:fill="FFFFFF"/>
        </w:rPr>
        <w:instrText xml:space="preserve"> HYPERLINK \l _Toc6010 </w:instrText>
      </w:r>
      <w:r>
        <w:rPr>
          <w:rFonts w:hint="eastAsia" w:ascii="仿宋" w:hAnsi="仿宋" w:eastAsia="仿宋" w:cs="仿宋"/>
          <w:highlight w:val="none"/>
          <w:shd w:val="pct10" w:color="auto" w:fill="FFFFFF"/>
        </w:rPr>
        <w:fldChar w:fldCharType="separate"/>
      </w:r>
      <w:r>
        <w:rPr>
          <w:highlight w:val="none"/>
        </w:rPr>
        <w:t>第四章  响应文件格式</w:t>
      </w:r>
      <w:r>
        <w:tab/>
      </w:r>
      <w:r>
        <w:fldChar w:fldCharType="begin"/>
      </w:r>
      <w:r>
        <w:instrText xml:space="preserve"> PAGEREF _Toc6010 \h </w:instrText>
      </w:r>
      <w:r>
        <w:fldChar w:fldCharType="separate"/>
      </w:r>
      <w:r>
        <w:t>22</w:t>
      </w:r>
      <w:r>
        <w:fldChar w:fldCharType="end"/>
      </w:r>
      <w:r>
        <w:rPr>
          <w:rFonts w:hint="eastAsia" w:ascii="仿宋" w:hAnsi="仿宋" w:eastAsia="仿宋" w:cs="仿宋"/>
          <w:highlight w:val="none"/>
          <w:shd w:val="pct10" w:color="auto" w:fill="FFFFFF"/>
        </w:rPr>
        <w:fldChar w:fldCharType="end"/>
      </w:r>
    </w:p>
    <w:p w14:paraId="7F4A7823">
      <w:pPr>
        <w:pStyle w:val="13"/>
        <w:tabs>
          <w:tab w:val="right" w:leader="dot" w:pos="9923"/>
        </w:tabs>
      </w:pPr>
      <w:r>
        <w:rPr>
          <w:rFonts w:hint="eastAsia" w:ascii="仿宋" w:hAnsi="仿宋" w:eastAsia="仿宋" w:cs="仿宋"/>
          <w:highlight w:val="none"/>
          <w:shd w:val="pct10" w:color="auto" w:fill="FFFFFF"/>
        </w:rPr>
        <w:fldChar w:fldCharType="begin"/>
      </w:r>
      <w:r>
        <w:rPr>
          <w:rFonts w:hint="eastAsia" w:ascii="仿宋" w:hAnsi="仿宋" w:eastAsia="仿宋" w:cs="仿宋"/>
          <w:highlight w:val="none"/>
          <w:shd w:val="pct10" w:color="auto" w:fill="FFFFFF"/>
        </w:rPr>
        <w:instrText xml:space="preserve"> HYPERLINK \l _Toc21903 </w:instrText>
      </w:r>
      <w:r>
        <w:rPr>
          <w:rFonts w:hint="eastAsia" w:ascii="仿宋" w:hAnsi="仿宋" w:eastAsia="仿宋" w:cs="仿宋"/>
          <w:highlight w:val="none"/>
          <w:shd w:val="pct10" w:color="auto" w:fill="FFFFFF"/>
        </w:rPr>
        <w:fldChar w:fldCharType="separate"/>
      </w:r>
      <w:r>
        <w:rPr>
          <w:highlight w:val="none"/>
        </w:rPr>
        <w:t>格式1. 谈判响应书</w:t>
      </w:r>
      <w:r>
        <w:tab/>
      </w:r>
      <w:r>
        <w:fldChar w:fldCharType="begin"/>
      </w:r>
      <w:r>
        <w:instrText xml:space="preserve"> PAGEREF _Toc21903 \h </w:instrText>
      </w:r>
      <w:r>
        <w:fldChar w:fldCharType="separate"/>
      </w:r>
      <w:r>
        <w:t>23</w:t>
      </w:r>
      <w:r>
        <w:fldChar w:fldCharType="end"/>
      </w:r>
      <w:r>
        <w:rPr>
          <w:rFonts w:hint="eastAsia" w:ascii="仿宋" w:hAnsi="仿宋" w:eastAsia="仿宋" w:cs="仿宋"/>
          <w:highlight w:val="none"/>
          <w:shd w:val="pct10" w:color="auto" w:fill="FFFFFF"/>
        </w:rPr>
        <w:fldChar w:fldCharType="end"/>
      </w:r>
    </w:p>
    <w:p w14:paraId="20D9B039">
      <w:pPr>
        <w:pStyle w:val="13"/>
        <w:tabs>
          <w:tab w:val="right" w:leader="dot" w:pos="9923"/>
        </w:tabs>
      </w:pPr>
      <w:r>
        <w:rPr>
          <w:rFonts w:hint="eastAsia" w:ascii="仿宋" w:hAnsi="仿宋" w:eastAsia="仿宋" w:cs="仿宋"/>
          <w:highlight w:val="none"/>
          <w:shd w:val="pct10" w:color="auto" w:fill="FFFFFF"/>
        </w:rPr>
        <w:fldChar w:fldCharType="begin"/>
      </w:r>
      <w:r>
        <w:rPr>
          <w:rFonts w:hint="eastAsia" w:ascii="仿宋" w:hAnsi="仿宋" w:eastAsia="仿宋" w:cs="仿宋"/>
          <w:highlight w:val="none"/>
          <w:shd w:val="pct10" w:color="auto" w:fill="FFFFFF"/>
        </w:rPr>
        <w:instrText xml:space="preserve"> HYPERLINK \l _Toc18240 </w:instrText>
      </w:r>
      <w:r>
        <w:rPr>
          <w:rFonts w:hint="eastAsia" w:ascii="仿宋" w:hAnsi="仿宋" w:eastAsia="仿宋" w:cs="仿宋"/>
          <w:highlight w:val="none"/>
          <w:shd w:val="pct10" w:color="auto" w:fill="FFFFFF"/>
        </w:rPr>
        <w:fldChar w:fldCharType="separate"/>
      </w:r>
      <w:r>
        <w:rPr>
          <w:highlight w:val="none"/>
        </w:rPr>
        <w:t>格式2．报价表</w:t>
      </w:r>
      <w:r>
        <w:tab/>
      </w:r>
      <w:r>
        <w:fldChar w:fldCharType="begin"/>
      </w:r>
      <w:r>
        <w:instrText xml:space="preserve"> PAGEREF _Toc18240 \h </w:instrText>
      </w:r>
      <w:r>
        <w:fldChar w:fldCharType="separate"/>
      </w:r>
      <w:r>
        <w:t>24</w:t>
      </w:r>
      <w:r>
        <w:fldChar w:fldCharType="end"/>
      </w:r>
      <w:r>
        <w:rPr>
          <w:rFonts w:hint="eastAsia" w:ascii="仿宋" w:hAnsi="仿宋" w:eastAsia="仿宋" w:cs="仿宋"/>
          <w:highlight w:val="none"/>
          <w:shd w:val="pct10" w:color="auto" w:fill="FFFFFF"/>
        </w:rPr>
        <w:fldChar w:fldCharType="end"/>
      </w:r>
    </w:p>
    <w:p w14:paraId="3F0F46B8">
      <w:pPr>
        <w:pStyle w:val="13"/>
        <w:tabs>
          <w:tab w:val="right" w:leader="dot" w:pos="9923"/>
        </w:tabs>
      </w:pPr>
      <w:r>
        <w:rPr>
          <w:rFonts w:hint="eastAsia" w:ascii="仿宋" w:hAnsi="仿宋" w:eastAsia="仿宋" w:cs="仿宋"/>
          <w:highlight w:val="none"/>
          <w:shd w:val="pct10" w:color="auto" w:fill="FFFFFF"/>
        </w:rPr>
        <w:fldChar w:fldCharType="begin"/>
      </w:r>
      <w:r>
        <w:rPr>
          <w:rFonts w:hint="eastAsia" w:ascii="仿宋" w:hAnsi="仿宋" w:eastAsia="仿宋" w:cs="仿宋"/>
          <w:highlight w:val="none"/>
          <w:shd w:val="pct10" w:color="auto" w:fill="FFFFFF"/>
        </w:rPr>
        <w:instrText xml:space="preserve"> HYPERLINK \l _Toc25876 </w:instrText>
      </w:r>
      <w:r>
        <w:rPr>
          <w:rFonts w:hint="eastAsia" w:ascii="仿宋" w:hAnsi="仿宋" w:eastAsia="仿宋" w:cs="仿宋"/>
          <w:highlight w:val="none"/>
          <w:shd w:val="pct10" w:color="auto" w:fill="FFFFFF"/>
        </w:rPr>
        <w:fldChar w:fldCharType="separate"/>
      </w:r>
      <w:r>
        <w:rPr>
          <w:highlight w:val="none"/>
        </w:rPr>
        <w:t>格式</w:t>
      </w:r>
      <w:r>
        <w:rPr>
          <w:rFonts w:hint="eastAsia"/>
          <w:highlight w:val="none"/>
          <w:lang w:val="en-US" w:eastAsia="zh-CN"/>
        </w:rPr>
        <w:t>3</w:t>
      </w:r>
      <w:r>
        <w:rPr>
          <w:highlight w:val="none"/>
        </w:rPr>
        <w:t>. 技术规格响应/偏离表</w:t>
      </w:r>
      <w:r>
        <w:tab/>
      </w:r>
      <w:r>
        <w:fldChar w:fldCharType="begin"/>
      </w:r>
      <w:r>
        <w:instrText xml:space="preserve"> PAGEREF _Toc25876 \h </w:instrText>
      </w:r>
      <w:r>
        <w:fldChar w:fldCharType="separate"/>
      </w:r>
      <w:r>
        <w:t>25</w:t>
      </w:r>
      <w:r>
        <w:fldChar w:fldCharType="end"/>
      </w:r>
      <w:r>
        <w:rPr>
          <w:rFonts w:hint="eastAsia" w:ascii="仿宋" w:hAnsi="仿宋" w:eastAsia="仿宋" w:cs="仿宋"/>
          <w:highlight w:val="none"/>
          <w:shd w:val="pct10" w:color="auto" w:fill="FFFFFF"/>
        </w:rPr>
        <w:fldChar w:fldCharType="end"/>
      </w:r>
    </w:p>
    <w:p w14:paraId="159FD434">
      <w:pPr>
        <w:pStyle w:val="13"/>
        <w:tabs>
          <w:tab w:val="right" w:leader="dot" w:pos="9923"/>
        </w:tabs>
      </w:pPr>
      <w:r>
        <w:rPr>
          <w:rFonts w:hint="eastAsia" w:ascii="仿宋" w:hAnsi="仿宋" w:eastAsia="仿宋" w:cs="仿宋"/>
          <w:highlight w:val="none"/>
          <w:shd w:val="pct10" w:color="auto" w:fill="FFFFFF"/>
        </w:rPr>
        <w:fldChar w:fldCharType="begin"/>
      </w:r>
      <w:r>
        <w:rPr>
          <w:rFonts w:hint="eastAsia" w:ascii="仿宋" w:hAnsi="仿宋" w:eastAsia="仿宋" w:cs="仿宋"/>
          <w:highlight w:val="none"/>
          <w:shd w:val="pct10" w:color="auto" w:fill="FFFFFF"/>
        </w:rPr>
        <w:instrText xml:space="preserve"> HYPERLINK \l _Toc3796 </w:instrText>
      </w:r>
      <w:r>
        <w:rPr>
          <w:rFonts w:hint="eastAsia" w:ascii="仿宋" w:hAnsi="仿宋" w:eastAsia="仿宋" w:cs="仿宋"/>
          <w:highlight w:val="none"/>
          <w:shd w:val="pct10" w:color="auto" w:fill="FFFFFF"/>
        </w:rPr>
        <w:fldChar w:fldCharType="separate"/>
      </w:r>
      <w:r>
        <w:rPr>
          <w:highlight w:val="none"/>
        </w:rPr>
        <w:t>格式</w:t>
      </w:r>
      <w:r>
        <w:rPr>
          <w:rFonts w:hint="eastAsia"/>
          <w:highlight w:val="none"/>
          <w:lang w:val="en-US" w:eastAsia="zh-CN"/>
        </w:rPr>
        <w:t>4</w:t>
      </w:r>
      <w:r>
        <w:rPr>
          <w:highlight w:val="none"/>
        </w:rPr>
        <w:t>. 商务要求响应/偏离表</w:t>
      </w:r>
      <w:r>
        <w:tab/>
      </w:r>
      <w:r>
        <w:fldChar w:fldCharType="begin"/>
      </w:r>
      <w:r>
        <w:instrText xml:space="preserve"> PAGEREF _Toc3796 \h </w:instrText>
      </w:r>
      <w:r>
        <w:fldChar w:fldCharType="separate"/>
      </w:r>
      <w:r>
        <w:t>26</w:t>
      </w:r>
      <w:r>
        <w:fldChar w:fldCharType="end"/>
      </w:r>
      <w:r>
        <w:rPr>
          <w:rFonts w:hint="eastAsia" w:ascii="仿宋" w:hAnsi="仿宋" w:eastAsia="仿宋" w:cs="仿宋"/>
          <w:highlight w:val="none"/>
          <w:shd w:val="pct10" w:color="auto" w:fill="FFFFFF"/>
        </w:rPr>
        <w:fldChar w:fldCharType="end"/>
      </w:r>
    </w:p>
    <w:p w14:paraId="547B94DE">
      <w:pPr>
        <w:pStyle w:val="13"/>
        <w:tabs>
          <w:tab w:val="right" w:leader="dot" w:pos="9923"/>
        </w:tabs>
      </w:pPr>
      <w:r>
        <w:rPr>
          <w:rFonts w:hint="eastAsia" w:ascii="仿宋" w:hAnsi="仿宋" w:eastAsia="仿宋" w:cs="仿宋"/>
          <w:highlight w:val="none"/>
          <w:shd w:val="pct10" w:color="auto" w:fill="FFFFFF"/>
        </w:rPr>
        <w:fldChar w:fldCharType="begin"/>
      </w:r>
      <w:r>
        <w:rPr>
          <w:rFonts w:hint="eastAsia" w:ascii="仿宋" w:hAnsi="仿宋" w:eastAsia="仿宋" w:cs="仿宋"/>
          <w:highlight w:val="none"/>
          <w:shd w:val="pct10" w:color="auto" w:fill="FFFFFF"/>
        </w:rPr>
        <w:instrText xml:space="preserve"> HYPERLINK \l _Toc13323 </w:instrText>
      </w:r>
      <w:r>
        <w:rPr>
          <w:rFonts w:hint="eastAsia" w:ascii="仿宋" w:hAnsi="仿宋" w:eastAsia="仿宋" w:cs="仿宋"/>
          <w:highlight w:val="none"/>
          <w:shd w:val="pct10" w:color="auto" w:fill="FFFFFF"/>
        </w:rPr>
        <w:fldChar w:fldCharType="separate"/>
      </w:r>
      <w:r>
        <w:rPr>
          <w:rFonts w:hint="eastAsia"/>
          <w:highlight w:val="none"/>
          <w:lang w:val="en-US" w:eastAsia="zh-CN"/>
        </w:rPr>
        <w:t>5</w:t>
      </w:r>
      <w:r>
        <w:rPr>
          <w:highlight w:val="none"/>
        </w:rPr>
        <w:t>. 其他证明资料</w:t>
      </w:r>
      <w:r>
        <w:tab/>
      </w:r>
      <w:r>
        <w:fldChar w:fldCharType="begin"/>
      </w:r>
      <w:r>
        <w:instrText xml:space="preserve"> PAGEREF _Toc13323 \h </w:instrText>
      </w:r>
      <w:r>
        <w:fldChar w:fldCharType="separate"/>
      </w:r>
      <w:r>
        <w:t>27</w:t>
      </w:r>
      <w:r>
        <w:fldChar w:fldCharType="end"/>
      </w:r>
      <w:r>
        <w:rPr>
          <w:rFonts w:hint="eastAsia" w:ascii="仿宋" w:hAnsi="仿宋" w:eastAsia="仿宋" w:cs="仿宋"/>
          <w:highlight w:val="none"/>
          <w:shd w:val="pct10" w:color="auto" w:fill="FFFFFF"/>
        </w:rPr>
        <w:fldChar w:fldCharType="end"/>
      </w:r>
    </w:p>
    <w:p w14:paraId="6E6ABDE0">
      <w:pPr>
        <w:pStyle w:val="13"/>
        <w:tabs>
          <w:tab w:val="right" w:leader="dot" w:pos="9923"/>
        </w:tabs>
      </w:pPr>
      <w:r>
        <w:rPr>
          <w:rFonts w:hint="eastAsia" w:ascii="仿宋" w:hAnsi="仿宋" w:eastAsia="仿宋" w:cs="仿宋"/>
          <w:highlight w:val="none"/>
          <w:shd w:val="pct10" w:color="auto" w:fill="FFFFFF"/>
        </w:rPr>
        <w:fldChar w:fldCharType="begin"/>
      </w:r>
      <w:r>
        <w:rPr>
          <w:rFonts w:hint="eastAsia" w:ascii="仿宋" w:hAnsi="仿宋" w:eastAsia="仿宋" w:cs="仿宋"/>
          <w:highlight w:val="none"/>
          <w:shd w:val="pct10" w:color="auto" w:fill="FFFFFF"/>
        </w:rPr>
        <w:instrText xml:space="preserve"> HYPERLINK \l _Toc6256 </w:instrText>
      </w:r>
      <w:r>
        <w:rPr>
          <w:rFonts w:hint="eastAsia" w:ascii="仿宋" w:hAnsi="仿宋" w:eastAsia="仿宋" w:cs="仿宋"/>
          <w:highlight w:val="none"/>
          <w:shd w:val="pct10" w:color="auto" w:fill="FFFFFF"/>
        </w:rPr>
        <w:fldChar w:fldCharType="separate"/>
      </w:r>
      <w:r>
        <w:rPr>
          <w:rFonts w:hint="eastAsia"/>
          <w:highlight w:val="none"/>
          <w:lang w:val="en-US" w:eastAsia="zh-CN"/>
        </w:rPr>
        <w:t>6</w:t>
      </w:r>
      <w:r>
        <w:rPr>
          <w:highlight w:val="none"/>
        </w:rPr>
        <w:t>. 技术文件</w:t>
      </w:r>
      <w:r>
        <w:tab/>
      </w:r>
      <w:r>
        <w:fldChar w:fldCharType="begin"/>
      </w:r>
      <w:r>
        <w:instrText xml:space="preserve"> PAGEREF _Toc6256 \h </w:instrText>
      </w:r>
      <w:r>
        <w:fldChar w:fldCharType="separate"/>
      </w:r>
      <w:r>
        <w:t>28</w:t>
      </w:r>
      <w:r>
        <w:fldChar w:fldCharType="end"/>
      </w:r>
      <w:r>
        <w:rPr>
          <w:rFonts w:hint="eastAsia" w:ascii="仿宋" w:hAnsi="仿宋" w:eastAsia="仿宋" w:cs="仿宋"/>
          <w:highlight w:val="none"/>
          <w:shd w:val="pct10" w:color="auto" w:fill="FFFFFF"/>
        </w:rPr>
        <w:fldChar w:fldCharType="end"/>
      </w:r>
    </w:p>
    <w:p w14:paraId="15955FB9">
      <w:pPr>
        <w:pStyle w:val="13"/>
        <w:tabs>
          <w:tab w:val="right" w:leader="dot" w:pos="9923"/>
        </w:tabs>
      </w:pPr>
      <w:r>
        <w:rPr>
          <w:rFonts w:hint="eastAsia" w:ascii="仿宋" w:hAnsi="仿宋" w:eastAsia="仿宋" w:cs="仿宋"/>
          <w:highlight w:val="none"/>
          <w:shd w:val="pct10" w:color="auto" w:fill="FFFFFF"/>
        </w:rPr>
        <w:fldChar w:fldCharType="begin"/>
      </w:r>
      <w:r>
        <w:rPr>
          <w:rFonts w:hint="eastAsia" w:ascii="仿宋" w:hAnsi="仿宋" w:eastAsia="仿宋" w:cs="仿宋"/>
          <w:highlight w:val="none"/>
          <w:shd w:val="pct10" w:color="auto" w:fill="FFFFFF"/>
        </w:rPr>
        <w:instrText xml:space="preserve"> HYPERLINK \l _Toc31961 </w:instrText>
      </w:r>
      <w:r>
        <w:rPr>
          <w:rFonts w:hint="eastAsia" w:ascii="仿宋" w:hAnsi="仿宋" w:eastAsia="仿宋" w:cs="仿宋"/>
          <w:highlight w:val="none"/>
          <w:shd w:val="pct10" w:color="auto" w:fill="FFFFFF"/>
        </w:rPr>
        <w:fldChar w:fldCharType="separate"/>
      </w:r>
      <w:r>
        <w:rPr>
          <w:rFonts w:hint="eastAsia"/>
          <w:highlight w:val="none"/>
          <w:lang w:val="en-US" w:eastAsia="zh-CN"/>
        </w:rPr>
        <w:t>7</w:t>
      </w:r>
      <w:r>
        <w:rPr>
          <w:highlight w:val="none"/>
        </w:rPr>
        <w:t>. 资格证明文件</w:t>
      </w:r>
      <w:r>
        <w:tab/>
      </w:r>
      <w:r>
        <w:fldChar w:fldCharType="begin"/>
      </w:r>
      <w:r>
        <w:instrText xml:space="preserve"> PAGEREF _Toc31961 \h </w:instrText>
      </w:r>
      <w:r>
        <w:fldChar w:fldCharType="separate"/>
      </w:r>
      <w:r>
        <w:t>29</w:t>
      </w:r>
      <w:r>
        <w:fldChar w:fldCharType="end"/>
      </w:r>
      <w:r>
        <w:rPr>
          <w:rFonts w:hint="eastAsia" w:ascii="仿宋" w:hAnsi="仿宋" w:eastAsia="仿宋" w:cs="仿宋"/>
          <w:highlight w:val="none"/>
          <w:shd w:val="pct10" w:color="auto" w:fill="FFFFFF"/>
        </w:rPr>
        <w:fldChar w:fldCharType="end"/>
      </w:r>
    </w:p>
    <w:p w14:paraId="22D5AD6A">
      <w:pPr>
        <w:pStyle w:val="13"/>
        <w:tabs>
          <w:tab w:val="right" w:leader="dot" w:pos="9923"/>
        </w:tabs>
      </w:pPr>
      <w:r>
        <w:rPr>
          <w:rFonts w:hint="eastAsia" w:ascii="仿宋" w:hAnsi="仿宋" w:eastAsia="仿宋" w:cs="仿宋"/>
          <w:highlight w:val="none"/>
          <w:shd w:val="pct10" w:color="auto" w:fill="FFFFFF"/>
        </w:rPr>
        <w:fldChar w:fldCharType="begin"/>
      </w:r>
      <w:r>
        <w:rPr>
          <w:rFonts w:hint="eastAsia" w:ascii="仿宋" w:hAnsi="仿宋" w:eastAsia="仿宋" w:cs="仿宋"/>
          <w:highlight w:val="none"/>
          <w:shd w:val="pct10" w:color="auto" w:fill="FFFFFF"/>
        </w:rPr>
        <w:instrText xml:space="preserve"> HYPERLINK \l _Toc12738 </w:instrText>
      </w:r>
      <w:r>
        <w:rPr>
          <w:rFonts w:hint="eastAsia" w:ascii="仿宋" w:hAnsi="仿宋" w:eastAsia="仿宋" w:cs="仿宋"/>
          <w:highlight w:val="none"/>
          <w:shd w:val="pct10" w:color="auto" w:fill="FFFFFF"/>
        </w:rPr>
        <w:fldChar w:fldCharType="separate"/>
      </w:r>
      <w:r>
        <w:rPr>
          <w:rFonts w:hint="eastAsia"/>
          <w:highlight w:val="none"/>
          <w:lang w:val="en-US" w:eastAsia="zh-CN"/>
        </w:rPr>
        <w:t>7</w:t>
      </w:r>
      <w:r>
        <w:rPr>
          <w:highlight w:val="none"/>
        </w:rPr>
        <w:t>.1</w:t>
      </w:r>
      <w:r>
        <w:rPr>
          <w:rFonts w:hint="eastAsia"/>
          <w:highlight w:val="none"/>
        </w:rPr>
        <w:t>、江西省政府采购供应商资格信用承诺函</w:t>
      </w:r>
      <w:r>
        <w:tab/>
      </w:r>
      <w:r>
        <w:fldChar w:fldCharType="begin"/>
      </w:r>
      <w:r>
        <w:instrText xml:space="preserve"> PAGEREF _Toc12738 \h </w:instrText>
      </w:r>
      <w:r>
        <w:fldChar w:fldCharType="separate"/>
      </w:r>
      <w:r>
        <w:t>29</w:t>
      </w:r>
      <w:r>
        <w:fldChar w:fldCharType="end"/>
      </w:r>
      <w:r>
        <w:rPr>
          <w:rFonts w:hint="eastAsia" w:ascii="仿宋" w:hAnsi="仿宋" w:eastAsia="仿宋" w:cs="仿宋"/>
          <w:highlight w:val="none"/>
          <w:shd w:val="pct10" w:color="auto" w:fill="FFFFFF"/>
        </w:rPr>
        <w:fldChar w:fldCharType="end"/>
      </w:r>
    </w:p>
    <w:p w14:paraId="1F79EC21">
      <w:pPr>
        <w:pStyle w:val="13"/>
        <w:tabs>
          <w:tab w:val="right" w:leader="dot" w:pos="9923"/>
        </w:tabs>
      </w:pPr>
      <w:r>
        <w:rPr>
          <w:rFonts w:hint="eastAsia" w:ascii="仿宋" w:hAnsi="仿宋" w:eastAsia="仿宋" w:cs="仿宋"/>
          <w:highlight w:val="none"/>
          <w:shd w:val="pct10" w:color="auto" w:fill="FFFFFF"/>
        </w:rPr>
        <w:fldChar w:fldCharType="begin"/>
      </w:r>
      <w:r>
        <w:rPr>
          <w:rFonts w:hint="eastAsia" w:ascii="仿宋" w:hAnsi="仿宋" w:eastAsia="仿宋" w:cs="仿宋"/>
          <w:highlight w:val="none"/>
          <w:shd w:val="pct10" w:color="auto" w:fill="FFFFFF"/>
        </w:rPr>
        <w:instrText xml:space="preserve"> HYPERLINK \l _Toc26568 </w:instrText>
      </w:r>
      <w:r>
        <w:rPr>
          <w:rFonts w:hint="eastAsia" w:ascii="仿宋" w:hAnsi="仿宋" w:eastAsia="仿宋" w:cs="仿宋"/>
          <w:highlight w:val="none"/>
          <w:shd w:val="pct10" w:color="auto" w:fill="FFFFFF"/>
        </w:rPr>
        <w:fldChar w:fldCharType="separate"/>
      </w:r>
      <w:r>
        <w:rPr>
          <w:rFonts w:hint="eastAsia" w:ascii="仿宋" w:hAnsi="仿宋" w:eastAsia="仿宋" w:cs="仿宋"/>
          <w:bCs/>
          <w:highlight w:val="none"/>
        </w:rPr>
        <w:t>说明：如投标人提供了《江西省政府采购供应商资格信用承诺函》的，视同提供了“满足《中华人民共和国政府采购法》第二十二条规定须提供的证明文件”中</w:t>
      </w:r>
      <w:r>
        <w:rPr>
          <w:rFonts w:hint="eastAsia" w:ascii="仿宋" w:hAnsi="仿宋" w:eastAsia="仿宋" w:cs="仿宋"/>
          <w:bCs/>
          <w:highlight w:val="none"/>
          <w:lang w:val="en-US" w:eastAsia="zh-CN"/>
        </w:rPr>
        <w:t>7.2</w:t>
      </w:r>
      <w:r>
        <w:rPr>
          <w:rFonts w:hint="eastAsia" w:ascii="仿宋" w:hAnsi="仿宋" w:eastAsia="仿宋" w:cs="仿宋"/>
          <w:bCs/>
          <w:highlight w:val="none"/>
        </w:rPr>
        <w:t>～</w:t>
      </w:r>
      <w:r>
        <w:rPr>
          <w:rFonts w:hint="eastAsia" w:ascii="仿宋" w:hAnsi="仿宋" w:eastAsia="仿宋" w:cs="仿宋"/>
          <w:highlight w:val="none"/>
          <w:lang w:val="en-US" w:eastAsia="zh-CN"/>
        </w:rPr>
        <w:t>7.</w:t>
      </w:r>
      <w:r>
        <w:rPr>
          <w:rFonts w:hint="eastAsia" w:ascii="仿宋" w:hAnsi="仿宋" w:eastAsia="仿宋" w:cs="仿宋"/>
          <w:bCs/>
          <w:highlight w:val="none"/>
          <w:lang w:val="en-US" w:eastAsia="zh-CN"/>
        </w:rPr>
        <w:t>6</w:t>
      </w:r>
      <w:r>
        <w:rPr>
          <w:rFonts w:hint="eastAsia" w:ascii="仿宋" w:hAnsi="仿宋" w:eastAsia="仿宋" w:cs="仿宋"/>
          <w:bCs/>
          <w:highlight w:val="none"/>
        </w:rPr>
        <w:t>资格要求的证明材料，无需再提供下列项证明文件。</w:t>
      </w:r>
      <w:r>
        <w:tab/>
      </w:r>
      <w:r>
        <w:fldChar w:fldCharType="begin"/>
      </w:r>
      <w:r>
        <w:instrText xml:space="preserve"> PAGEREF _Toc26568 \h </w:instrText>
      </w:r>
      <w:r>
        <w:fldChar w:fldCharType="separate"/>
      </w:r>
      <w:r>
        <w:t>31</w:t>
      </w:r>
      <w:r>
        <w:fldChar w:fldCharType="end"/>
      </w:r>
      <w:r>
        <w:rPr>
          <w:rFonts w:hint="eastAsia" w:ascii="仿宋" w:hAnsi="仿宋" w:eastAsia="仿宋" w:cs="仿宋"/>
          <w:highlight w:val="none"/>
          <w:shd w:val="pct10" w:color="auto" w:fill="FFFFFF"/>
        </w:rPr>
        <w:fldChar w:fldCharType="end"/>
      </w:r>
    </w:p>
    <w:p w14:paraId="085A265F">
      <w:pPr>
        <w:pStyle w:val="12"/>
        <w:tabs>
          <w:tab w:val="right" w:leader="dot" w:pos="9923"/>
        </w:tabs>
      </w:pPr>
      <w:r>
        <w:rPr>
          <w:rFonts w:hint="eastAsia" w:ascii="仿宋" w:hAnsi="仿宋" w:eastAsia="仿宋" w:cs="仿宋"/>
          <w:highlight w:val="none"/>
          <w:shd w:val="pct10" w:color="auto" w:fill="FFFFFF"/>
        </w:rPr>
        <w:fldChar w:fldCharType="begin"/>
      </w:r>
      <w:r>
        <w:rPr>
          <w:rFonts w:hint="eastAsia" w:ascii="仿宋" w:hAnsi="仿宋" w:eastAsia="仿宋" w:cs="仿宋"/>
          <w:highlight w:val="none"/>
          <w:shd w:val="pct10" w:color="auto" w:fill="FFFFFF"/>
        </w:rPr>
        <w:instrText xml:space="preserve"> HYPERLINK \l _Toc5605 </w:instrText>
      </w:r>
      <w:r>
        <w:rPr>
          <w:rFonts w:hint="eastAsia" w:ascii="仿宋" w:hAnsi="仿宋" w:eastAsia="仿宋" w:cs="仿宋"/>
          <w:highlight w:val="none"/>
          <w:shd w:val="pct10" w:color="auto" w:fill="FFFFFF"/>
        </w:rPr>
        <w:fldChar w:fldCharType="separate"/>
      </w:r>
      <w:r>
        <w:rPr>
          <w:highlight w:val="none"/>
        </w:rPr>
        <w:t>第五章  采购需求一览表及采购要求</w:t>
      </w:r>
      <w:r>
        <w:tab/>
      </w:r>
      <w:r>
        <w:fldChar w:fldCharType="begin"/>
      </w:r>
      <w:r>
        <w:instrText xml:space="preserve"> PAGEREF _Toc5605 \h </w:instrText>
      </w:r>
      <w:r>
        <w:fldChar w:fldCharType="separate"/>
      </w:r>
      <w:r>
        <w:t>36</w:t>
      </w:r>
      <w:r>
        <w:fldChar w:fldCharType="end"/>
      </w:r>
      <w:r>
        <w:rPr>
          <w:rFonts w:hint="eastAsia" w:ascii="仿宋" w:hAnsi="仿宋" w:eastAsia="仿宋" w:cs="仿宋"/>
          <w:highlight w:val="none"/>
          <w:shd w:val="pct10" w:color="auto" w:fill="FFFFFF"/>
        </w:rPr>
        <w:fldChar w:fldCharType="end"/>
      </w:r>
    </w:p>
    <w:p w14:paraId="3EB8C72B">
      <w:pPr>
        <w:pStyle w:val="13"/>
        <w:tabs>
          <w:tab w:val="right" w:leader="dot" w:pos="9923"/>
        </w:tabs>
      </w:pPr>
      <w:r>
        <w:rPr>
          <w:rFonts w:hint="eastAsia" w:ascii="仿宋" w:hAnsi="仿宋" w:eastAsia="仿宋" w:cs="仿宋"/>
          <w:highlight w:val="none"/>
          <w:shd w:val="pct10" w:color="auto" w:fill="FFFFFF"/>
        </w:rPr>
        <w:fldChar w:fldCharType="begin"/>
      </w:r>
      <w:r>
        <w:rPr>
          <w:rFonts w:hint="eastAsia" w:ascii="仿宋" w:hAnsi="仿宋" w:eastAsia="仿宋" w:cs="仿宋"/>
          <w:highlight w:val="none"/>
          <w:shd w:val="pct10" w:color="auto" w:fill="FFFFFF"/>
        </w:rPr>
        <w:instrText xml:space="preserve"> HYPERLINK \l _Toc28597 </w:instrText>
      </w:r>
      <w:r>
        <w:rPr>
          <w:rFonts w:hint="eastAsia" w:ascii="仿宋" w:hAnsi="仿宋" w:eastAsia="仿宋" w:cs="仿宋"/>
          <w:highlight w:val="none"/>
          <w:shd w:val="pct10" w:color="auto" w:fill="FFFFFF"/>
        </w:rPr>
        <w:fldChar w:fldCharType="separate"/>
      </w:r>
      <w:r>
        <w:rPr>
          <w:highlight w:val="none"/>
        </w:rPr>
        <w:t>一、采购需求一览表</w:t>
      </w:r>
      <w:r>
        <w:tab/>
      </w:r>
      <w:r>
        <w:fldChar w:fldCharType="begin"/>
      </w:r>
      <w:r>
        <w:instrText xml:space="preserve"> PAGEREF _Toc28597 \h </w:instrText>
      </w:r>
      <w:r>
        <w:fldChar w:fldCharType="separate"/>
      </w:r>
      <w:r>
        <w:t>36</w:t>
      </w:r>
      <w:r>
        <w:fldChar w:fldCharType="end"/>
      </w:r>
      <w:r>
        <w:rPr>
          <w:rFonts w:hint="eastAsia" w:ascii="仿宋" w:hAnsi="仿宋" w:eastAsia="仿宋" w:cs="仿宋"/>
          <w:highlight w:val="none"/>
          <w:shd w:val="pct10" w:color="auto" w:fill="FFFFFF"/>
        </w:rPr>
        <w:fldChar w:fldCharType="end"/>
      </w:r>
    </w:p>
    <w:p w14:paraId="721AC9D5">
      <w:pPr>
        <w:pStyle w:val="13"/>
        <w:tabs>
          <w:tab w:val="right" w:leader="dot" w:pos="9923"/>
        </w:tabs>
      </w:pPr>
      <w:r>
        <w:rPr>
          <w:rFonts w:hint="eastAsia" w:ascii="仿宋" w:hAnsi="仿宋" w:eastAsia="仿宋" w:cs="仿宋"/>
          <w:highlight w:val="none"/>
          <w:shd w:val="pct10" w:color="auto" w:fill="FFFFFF"/>
        </w:rPr>
        <w:fldChar w:fldCharType="begin"/>
      </w:r>
      <w:r>
        <w:rPr>
          <w:rFonts w:hint="eastAsia" w:ascii="仿宋" w:hAnsi="仿宋" w:eastAsia="仿宋" w:cs="仿宋"/>
          <w:highlight w:val="none"/>
          <w:shd w:val="pct10" w:color="auto" w:fill="FFFFFF"/>
        </w:rPr>
        <w:instrText xml:space="preserve"> HYPERLINK \l _Toc30652 </w:instrText>
      </w:r>
      <w:r>
        <w:rPr>
          <w:rFonts w:hint="eastAsia" w:ascii="仿宋" w:hAnsi="仿宋" w:eastAsia="仿宋" w:cs="仿宋"/>
          <w:highlight w:val="none"/>
          <w:shd w:val="pct10" w:color="auto" w:fill="FFFFFF"/>
        </w:rPr>
        <w:fldChar w:fldCharType="separate"/>
      </w:r>
      <w:r>
        <w:rPr>
          <w:rFonts w:hint="eastAsia"/>
          <w:highlight w:val="none"/>
          <w:lang w:val="en-US" w:eastAsia="zh-CN"/>
        </w:rPr>
        <w:t>二</w:t>
      </w:r>
      <w:r>
        <w:rPr>
          <w:highlight w:val="none"/>
        </w:rPr>
        <w:t>、</w:t>
      </w:r>
      <w:r>
        <w:rPr>
          <w:rFonts w:hint="eastAsia"/>
          <w:highlight w:val="none"/>
        </w:rPr>
        <w:t>采购需求</w:t>
      </w:r>
      <w:r>
        <w:tab/>
      </w:r>
      <w:r>
        <w:fldChar w:fldCharType="begin"/>
      </w:r>
      <w:r>
        <w:instrText xml:space="preserve"> PAGEREF _Toc30652 \h </w:instrText>
      </w:r>
      <w:r>
        <w:fldChar w:fldCharType="separate"/>
      </w:r>
      <w:r>
        <w:t>37</w:t>
      </w:r>
      <w:r>
        <w:fldChar w:fldCharType="end"/>
      </w:r>
      <w:r>
        <w:rPr>
          <w:rFonts w:hint="eastAsia" w:ascii="仿宋" w:hAnsi="仿宋" w:eastAsia="仿宋" w:cs="仿宋"/>
          <w:highlight w:val="none"/>
          <w:shd w:val="pct10" w:color="auto" w:fill="FFFFFF"/>
        </w:rPr>
        <w:fldChar w:fldCharType="end"/>
      </w:r>
    </w:p>
    <w:p w14:paraId="5C12676F">
      <w:pPr>
        <w:pStyle w:val="8"/>
        <w:tabs>
          <w:tab w:val="right" w:leader="dot" w:pos="9923"/>
        </w:tabs>
      </w:pPr>
      <w:r>
        <w:rPr>
          <w:rFonts w:hint="eastAsia" w:ascii="仿宋" w:hAnsi="仿宋" w:eastAsia="仿宋" w:cs="仿宋"/>
          <w:highlight w:val="none"/>
          <w:shd w:val="pct10" w:color="auto" w:fill="FFFFFF"/>
        </w:rPr>
        <w:fldChar w:fldCharType="begin"/>
      </w:r>
      <w:r>
        <w:rPr>
          <w:rFonts w:hint="eastAsia" w:ascii="仿宋" w:hAnsi="仿宋" w:eastAsia="仿宋" w:cs="仿宋"/>
          <w:highlight w:val="none"/>
          <w:shd w:val="pct10" w:color="auto" w:fill="FFFFFF"/>
        </w:rPr>
        <w:instrText xml:space="preserve"> HYPERLINK \l _Toc6509 </w:instrText>
      </w:r>
      <w:r>
        <w:rPr>
          <w:rFonts w:hint="eastAsia" w:ascii="仿宋" w:hAnsi="仿宋" w:eastAsia="仿宋" w:cs="仿宋"/>
          <w:highlight w:val="none"/>
          <w:shd w:val="pct10" w:color="auto" w:fill="FFFFFF"/>
        </w:rPr>
        <w:fldChar w:fldCharType="separate"/>
      </w:r>
      <w:r>
        <w:rPr>
          <w:rFonts w:hint="eastAsia" w:ascii="仿宋" w:hAnsi="仿宋" w:eastAsia="仿宋" w:cs="仿宋"/>
          <w:bCs/>
          <w:szCs w:val="24"/>
        </w:rPr>
        <w:t xml:space="preserve">（一） </w:t>
      </w:r>
      <w:r>
        <w:rPr>
          <w:rFonts w:hint="eastAsia" w:ascii="仿宋" w:hAnsi="仿宋" w:eastAsia="仿宋" w:cs="仿宋"/>
          <w:bCs/>
          <w:szCs w:val="24"/>
          <w:highlight w:val="none"/>
        </w:rPr>
        <w:t>技术需求</w:t>
      </w:r>
      <w:r>
        <w:tab/>
      </w:r>
      <w:r>
        <w:fldChar w:fldCharType="begin"/>
      </w:r>
      <w:r>
        <w:instrText xml:space="preserve"> PAGEREF _Toc6509 \h </w:instrText>
      </w:r>
      <w:r>
        <w:fldChar w:fldCharType="separate"/>
      </w:r>
      <w:r>
        <w:t>37</w:t>
      </w:r>
      <w:r>
        <w:fldChar w:fldCharType="end"/>
      </w:r>
      <w:r>
        <w:rPr>
          <w:rFonts w:hint="eastAsia" w:ascii="仿宋" w:hAnsi="仿宋" w:eastAsia="仿宋" w:cs="仿宋"/>
          <w:highlight w:val="none"/>
          <w:shd w:val="pct10" w:color="auto" w:fill="FFFFFF"/>
        </w:rPr>
        <w:fldChar w:fldCharType="end"/>
      </w:r>
    </w:p>
    <w:p w14:paraId="31C71CD8">
      <w:pPr>
        <w:pStyle w:val="8"/>
        <w:tabs>
          <w:tab w:val="right" w:leader="dot" w:pos="9923"/>
        </w:tabs>
      </w:pPr>
      <w:r>
        <w:rPr>
          <w:rFonts w:hint="eastAsia" w:ascii="仿宋" w:hAnsi="仿宋" w:eastAsia="仿宋" w:cs="仿宋"/>
          <w:highlight w:val="none"/>
          <w:shd w:val="pct10" w:color="auto" w:fill="FFFFFF"/>
        </w:rPr>
        <w:fldChar w:fldCharType="begin"/>
      </w:r>
      <w:r>
        <w:rPr>
          <w:rFonts w:hint="eastAsia" w:ascii="仿宋" w:hAnsi="仿宋" w:eastAsia="仿宋" w:cs="仿宋"/>
          <w:highlight w:val="none"/>
          <w:shd w:val="pct10" w:color="auto" w:fill="FFFFFF"/>
        </w:rPr>
        <w:instrText xml:space="preserve"> HYPERLINK \l _Toc22651 </w:instrText>
      </w:r>
      <w:r>
        <w:rPr>
          <w:rFonts w:hint="eastAsia" w:ascii="仿宋" w:hAnsi="仿宋" w:eastAsia="仿宋" w:cs="仿宋"/>
          <w:highlight w:val="none"/>
          <w:shd w:val="pct10" w:color="auto" w:fill="FFFFFF"/>
        </w:rPr>
        <w:fldChar w:fldCharType="separate"/>
      </w:r>
      <w:r>
        <w:rPr>
          <w:rFonts w:hint="eastAsia" w:ascii="仿宋" w:hAnsi="仿宋" w:eastAsia="仿宋" w:cs="仿宋"/>
          <w:bCs/>
          <w:szCs w:val="24"/>
          <w:highlight w:val="none"/>
          <w:lang w:val="en-US" w:eastAsia="zh-CN"/>
        </w:rPr>
        <w:t>1、工程量清单</w:t>
      </w:r>
      <w:r>
        <w:tab/>
      </w:r>
      <w:r>
        <w:fldChar w:fldCharType="begin"/>
      </w:r>
      <w:r>
        <w:instrText xml:space="preserve"> PAGEREF _Toc22651 \h </w:instrText>
      </w:r>
      <w:r>
        <w:fldChar w:fldCharType="separate"/>
      </w:r>
      <w:r>
        <w:t>37</w:t>
      </w:r>
      <w:r>
        <w:fldChar w:fldCharType="end"/>
      </w:r>
      <w:r>
        <w:rPr>
          <w:rFonts w:hint="eastAsia" w:ascii="仿宋" w:hAnsi="仿宋" w:eastAsia="仿宋" w:cs="仿宋"/>
          <w:highlight w:val="none"/>
          <w:shd w:val="pct10" w:color="auto" w:fill="FFFFFF"/>
        </w:rPr>
        <w:fldChar w:fldCharType="end"/>
      </w:r>
    </w:p>
    <w:p w14:paraId="37F34CE9">
      <w:pPr>
        <w:tabs>
          <w:tab w:val="right" w:leader="dot" w:pos="9913"/>
        </w:tabs>
        <w:spacing w:line="360" w:lineRule="auto"/>
        <w:jc w:val="center"/>
        <w:rPr>
          <w:rFonts w:ascii="仿宋" w:hAnsi="仿宋" w:eastAsia="仿宋" w:cs="仿宋"/>
          <w:highlight w:val="none"/>
          <w:shd w:val="pct10" w:color="auto" w:fill="FFFFFF"/>
        </w:rPr>
      </w:pPr>
      <w:r>
        <w:rPr>
          <w:rFonts w:hint="eastAsia" w:ascii="仿宋" w:hAnsi="仿宋" w:eastAsia="仿宋" w:cs="仿宋"/>
          <w:highlight w:val="none"/>
          <w:shd w:val="pct10" w:color="auto" w:fill="FFFFFF"/>
        </w:rPr>
        <w:fldChar w:fldCharType="end"/>
      </w:r>
    </w:p>
    <w:p w14:paraId="52D26C95">
      <w:pPr>
        <w:rPr>
          <w:rFonts w:ascii="仿宋" w:hAnsi="仿宋" w:eastAsia="仿宋" w:cs="仿宋"/>
          <w:highlight w:val="none"/>
          <w:shd w:val="pct10" w:color="auto" w:fill="FFFFFF"/>
        </w:rPr>
      </w:pPr>
    </w:p>
    <w:p w14:paraId="2B40889D">
      <w:pPr>
        <w:rPr>
          <w:rFonts w:ascii="仿宋" w:hAnsi="仿宋" w:eastAsia="仿宋" w:cs="仿宋"/>
          <w:highlight w:val="none"/>
          <w:shd w:val="pct10" w:color="auto" w:fill="FFFFFF"/>
        </w:rPr>
      </w:pPr>
    </w:p>
    <w:p w14:paraId="0F7DECE0">
      <w:pPr>
        <w:rPr>
          <w:rFonts w:ascii="仿宋" w:hAnsi="仿宋" w:eastAsia="仿宋" w:cs="仿宋"/>
          <w:highlight w:val="none"/>
          <w:shd w:val="pct10" w:color="auto" w:fill="FFFFFF"/>
        </w:rPr>
      </w:pPr>
      <w:r>
        <w:rPr>
          <w:rFonts w:ascii="仿宋" w:hAnsi="仿宋" w:eastAsia="仿宋" w:cs="仿宋"/>
          <w:highlight w:val="none"/>
          <w:shd w:val="pct10" w:color="auto" w:fill="FFFFFF"/>
        </w:rPr>
        <w:br w:type="page"/>
      </w:r>
    </w:p>
    <w:p w14:paraId="63F0EE73">
      <w:pPr>
        <w:pStyle w:val="40"/>
        <w:spacing w:line="460" w:lineRule="exact"/>
        <w:rPr>
          <w:rFonts w:hint="default"/>
          <w:highlight w:val="none"/>
        </w:rPr>
      </w:pPr>
      <w:bookmarkStart w:id="0" w:name="_Toc25155"/>
      <w:r>
        <w:rPr>
          <w:highlight w:val="none"/>
        </w:rPr>
        <w:t>第一章  谈判邀请</w:t>
      </w:r>
      <w:bookmarkEnd w:id="0"/>
    </w:p>
    <w:p w14:paraId="51FBEC21">
      <w:pPr>
        <w:pStyle w:val="15"/>
        <w:ind w:firstLine="210"/>
        <w:rPr>
          <w:highlight w:val="none"/>
        </w:rPr>
      </w:pPr>
    </w:p>
    <w:p w14:paraId="24F0AEB5">
      <w:pPr>
        <w:pBdr>
          <w:top w:val="single" w:color="auto" w:sz="4" w:space="1"/>
          <w:left w:val="single" w:color="auto" w:sz="4" w:space="4"/>
          <w:bottom w:val="single" w:color="auto" w:sz="4" w:space="1"/>
          <w:right w:val="single" w:color="auto" w:sz="4" w:space="4"/>
        </w:pBdr>
        <w:spacing w:line="460" w:lineRule="exact"/>
        <w:rPr>
          <w:rFonts w:ascii="仿宋" w:hAnsi="仿宋" w:eastAsia="仿宋" w:cs="仿宋"/>
          <w:b/>
          <w:bCs/>
          <w:sz w:val="24"/>
          <w:szCs w:val="24"/>
          <w:highlight w:val="none"/>
        </w:rPr>
      </w:pPr>
      <w:r>
        <w:rPr>
          <w:rFonts w:hint="eastAsia" w:ascii="仿宋" w:hAnsi="仿宋" w:eastAsia="仿宋" w:cs="仿宋"/>
          <w:b/>
          <w:bCs/>
          <w:sz w:val="24"/>
          <w:szCs w:val="24"/>
          <w:highlight w:val="none"/>
        </w:rPr>
        <w:t>项目概况</w:t>
      </w:r>
    </w:p>
    <w:p w14:paraId="19447205">
      <w:pPr>
        <w:pBdr>
          <w:top w:val="single" w:color="auto" w:sz="4" w:space="1"/>
          <w:left w:val="single" w:color="auto" w:sz="4" w:space="4"/>
          <w:bottom w:val="single" w:color="auto" w:sz="4" w:space="1"/>
          <w:right w:val="single" w:color="auto" w:sz="4" w:space="4"/>
        </w:pBdr>
        <w:spacing w:line="46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本项目的潜在供应商应在东乡区人民政府网（公共资源交易）</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lang w:val="en-US" w:eastAsia="zh-CN"/>
        </w:rPr>
        <w:t>东乡区公共资源交易中心、</w:t>
      </w:r>
      <w:r>
        <w:rPr>
          <w:rFonts w:hint="eastAsia" w:ascii="仿宋" w:hAnsi="仿宋" w:eastAsia="仿宋" w:cs="仿宋"/>
          <w:sz w:val="24"/>
          <w:szCs w:val="24"/>
          <w:highlight w:val="none"/>
          <w:lang w:eastAsia="zh-CN"/>
        </w:rPr>
        <w:t>抚州市东乡区工业与科技创新投资集团有限公司</w:t>
      </w:r>
      <w:r>
        <w:rPr>
          <w:rFonts w:hint="eastAsia" w:ascii="仿宋" w:hAnsi="仿宋" w:eastAsia="仿宋" w:cs="仿宋"/>
          <w:sz w:val="24"/>
          <w:szCs w:val="24"/>
          <w:highlight w:val="none"/>
        </w:rPr>
        <w:t>官网下载获取谈判文件。并于</w:t>
      </w:r>
      <w:r>
        <w:rPr>
          <w:rFonts w:hint="eastAsia" w:ascii="仿宋" w:hAnsi="仿宋" w:eastAsia="仿宋" w:cs="仿宋"/>
          <w:sz w:val="24"/>
          <w:szCs w:val="24"/>
          <w:highlight w:val="none"/>
          <w:lang w:eastAsia="zh-CN"/>
        </w:rPr>
        <w:t>2025年</w:t>
      </w:r>
      <w:r>
        <w:rPr>
          <w:rFonts w:hint="eastAsia" w:ascii="仿宋" w:hAnsi="仿宋" w:eastAsia="仿宋" w:cs="仿宋"/>
          <w:sz w:val="24"/>
          <w:szCs w:val="24"/>
          <w:highlight w:val="none"/>
          <w:lang w:val="en-US" w:eastAsia="zh-CN"/>
        </w:rPr>
        <w:t>9</w:t>
      </w:r>
      <w:r>
        <w:rPr>
          <w:rFonts w:hint="eastAsia" w:ascii="仿宋" w:hAnsi="仿宋" w:eastAsia="仿宋" w:cs="仿宋"/>
          <w:sz w:val="24"/>
          <w:szCs w:val="24"/>
          <w:highlight w:val="none"/>
          <w:lang w:eastAsia="zh-CN"/>
        </w:rPr>
        <w:t>月</w:t>
      </w:r>
      <w:r>
        <w:rPr>
          <w:rFonts w:hint="eastAsia" w:ascii="仿宋" w:hAnsi="仿宋" w:eastAsia="仿宋" w:cs="仿宋"/>
          <w:sz w:val="24"/>
          <w:szCs w:val="24"/>
          <w:highlight w:val="none"/>
          <w:lang w:val="en-US" w:eastAsia="zh-CN"/>
        </w:rPr>
        <w:t>16</w:t>
      </w:r>
      <w:r>
        <w:rPr>
          <w:rFonts w:hint="eastAsia" w:ascii="仿宋" w:hAnsi="仿宋" w:eastAsia="仿宋" w:cs="仿宋"/>
          <w:sz w:val="24"/>
          <w:szCs w:val="24"/>
          <w:highlight w:val="none"/>
          <w:lang w:eastAsia="zh-CN"/>
        </w:rPr>
        <w:t>日上午10点00分</w:t>
      </w:r>
      <w:r>
        <w:rPr>
          <w:rFonts w:hint="eastAsia" w:ascii="仿宋" w:hAnsi="仿宋" w:eastAsia="仿宋" w:cs="仿宋"/>
          <w:sz w:val="24"/>
          <w:szCs w:val="24"/>
          <w:highlight w:val="none"/>
        </w:rPr>
        <w:t>（北京时间）前提交响应文件。</w:t>
      </w:r>
    </w:p>
    <w:p w14:paraId="6A7F5B27">
      <w:pPr>
        <w:pStyle w:val="41"/>
        <w:spacing w:before="0" w:beforeLines="0" w:line="460" w:lineRule="exact"/>
        <w:rPr>
          <w:rFonts w:hint="default"/>
          <w:highlight w:val="none"/>
        </w:rPr>
      </w:pPr>
      <w:bookmarkStart w:id="1" w:name="_Toc27129"/>
      <w:bookmarkStart w:id="2" w:name="_Toc18680"/>
      <w:bookmarkStart w:id="3" w:name="_Toc28359002"/>
      <w:bookmarkStart w:id="4" w:name="_Toc35393790"/>
      <w:bookmarkStart w:id="5" w:name="_Toc35393621"/>
      <w:bookmarkStart w:id="6" w:name="_Toc28359079"/>
      <w:bookmarkStart w:id="7" w:name="_Hlk24379207"/>
      <w:r>
        <w:rPr>
          <w:highlight w:val="none"/>
        </w:rPr>
        <w:t>一、项目基本情况</w:t>
      </w:r>
      <w:bookmarkEnd w:id="1"/>
      <w:bookmarkEnd w:id="2"/>
      <w:bookmarkEnd w:id="3"/>
      <w:bookmarkEnd w:id="4"/>
      <w:bookmarkEnd w:id="5"/>
      <w:bookmarkEnd w:id="6"/>
    </w:p>
    <w:p w14:paraId="65CDABCC">
      <w:pPr>
        <w:pStyle w:val="45"/>
        <w:spacing w:line="460" w:lineRule="exact"/>
        <w:rPr>
          <w:rFonts w:hint="eastAsia" w:eastAsia="仿宋"/>
          <w:highlight w:val="none"/>
          <w:lang w:eastAsia="zh-CN"/>
        </w:rPr>
      </w:pPr>
      <w:r>
        <w:rPr>
          <w:rFonts w:hint="eastAsia"/>
          <w:highlight w:val="none"/>
          <w:lang w:val="en-US" w:eastAsia="zh-CN"/>
        </w:rPr>
        <w:t>1、</w:t>
      </w:r>
      <w:r>
        <w:rPr>
          <w:highlight w:val="none"/>
        </w:rPr>
        <w:t>项目编号：</w:t>
      </w:r>
      <w:r>
        <w:rPr>
          <w:rFonts w:hint="eastAsia"/>
          <w:highlight w:val="none"/>
          <w:lang w:eastAsia="zh-CN"/>
        </w:rPr>
        <w:t>JXZS20250910</w:t>
      </w:r>
    </w:p>
    <w:p w14:paraId="6F39F0AC">
      <w:pPr>
        <w:pStyle w:val="45"/>
        <w:spacing w:line="460" w:lineRule="exact"/>
        <w:rPr>
          <w:rFonts w:hint="eastAsia"/>
          <w:highlight w:val="none"/>
          <w:lang w:eastAsia="zh-CN"/>
        </w:rPr>
      </w:pPr>
      <w:r>
        <w:rPr>
          <w:rFonts w:hint="eastAsia"/>
          <w:highlight w:val="none"/>
          <w:lang w:val="en-US" w:eastAsia="zh-CN"/>
        </w:rPr>
        <w:t>2、</w:t>
      </w:r>
      <w:r>
        <w:rPr>
          <w:highlight w:val="none"/>
        </w:rPr>
        <w:t>项目名称：</w:t>
      </w:r>
      <w:r>
        <w:rPr>
          <w:rFonts w:hint="eastAsia"/>
          <w:highlight w:val="none"/>
          <w:lang w:eastAsia="zh-CN"/>
        </w:rPr>
        <w:t>东乡经开区渊山岗工业园金海岛厂区维修工程——屋面钢结构维修</w:t>
      </w:r>
    </w:p>
    <w:p w14:paraId="0E2D9A51">
      <w:pPr>
        <w:pStyle w:val="45"/>
        <w:spacing w:line="460" w:lineRule="exact"/>
        <w:rPr>
          <w:highlight w:val="none"/>
        </w:rPr>
      </w:pPr>
      <w:r>
        <w:rPr>
          <w:rFonts w:hint="eastAsia"/>
          <w:highlight w:val="none"/>
        </w:rPr>
        <w:t>3、预算金额：540719.68元</w:t>
      </w:r>
    </w:p>
    <w:p w14:paraId="597A4293">
      <w:pPr>
        <w:pStyle w:val="45"/>
        <w:spacing w:line="460" w:lineRule="exact"/>
        <w:rPr>
          <w:rFonts w:hint="eastAsia"/>
          <w:highlight w:val="none"/>
          <w:lang w:eastAsia="zh-CN"/>
        </w:rPr>
      </w:pPr>
      <w:r>
        <w:rPr>
          <w:rFonts w:hint="eastAsia"/>
          <w:highlight w:val="none"/>
        </w:rPr>
        <w:t>4、最高限价：</w:t>
      </w:r>
      <w:r>
        <w:rPr>
          <w:rFonts w:hint="eastAsia"/>
          <w:highlight w:val="none"/>
          <w:lang w:val="en-US" w:eastAsia="zh-CN"/>
        </w:rPr>
        <w:t>预算金额的10%（即不得高于预算金额的90%）</w:t>
      </w:r>
    </w:p>
    <w:bookmarkEnd w:id="7"/>
    <w:p w14:paraId="6189CF53">
      <w:pPr>
        <w:pStyle w:val="45"/>
        <w:spacing w:line="460" w:lineRule="exact"/>
        <w:rPr>
          <w:rFonts w:hint="default"/>
          <w:highlight w:val="none"/>
        </w:rPr>
      </w:pPr>
      <w:r>
        <w:rPr>
          <w:rFonts w:hint="eastAsia"/>
          <w:highlight w:val="none"/>
          <w:lang w:val="en-US" w:eastAsia="zh-CN"/>
        </w:rPr>
        <w:t>5、</w:t>
      </w:r>
      <w:r>
        <w:rPr>
          <w:highlight w:val="none"/>
        </w:rPr>
        <w:t>采购需求：</w:t>
      </w:r>
    </w:p>
    <w:tbl>
      <w:tblPr>
        <w:tblStyle w:val="17"/>
        <w:tblW w:w="5047" w:type="pct"/>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3973"/>
        <w:gridCol w:w="1263"/>
        <w:gridCol w:w="1566"/>
        <w:gridCol w:w="3230"/>
      </w:tblGrid>
      <w:tr w14:paraId="3B98009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1980" w:type="pct"/>
            <w:shd w:val="clear" w:color="auto" w:fill="auto"/>
            <w:vAlign w:val="center"/>
          </w:tcPr>
          <w:p w14:paraId="713ECE21">
            <w:pPr>
              <w:widowControl/>
              <w:spacing w:line="460" w:lineRule="exact"/>
              <w:jc w:val="center"/>
              <w:rPr>
                <w:rFonts w:ascii="仿宋" w:hAnsi="仿宋" w:eastAsia="仿宋" w:cs="仿宋"/>
                <w:sz w:val="24"/>
                <w:szCs w:val="24"/>
                <w:highlight w:val="none"/>
              </w:rPr>
            </w:pPr>
            <w:r>
              <w:rPr>
                <w:rFonts w:hint="eastAsia" w:ascii="仿宋" w:hAnsi="仿宋" w:eastAsia="仿宋" w:cs="仿宋"/>
                <w:kern w:val="0"/>
                <w:sz w:val="24"/>
                <w:szCs w:val="24"/>
                <w:highlight w:val="none"/>
                <w:lang w:bidi="ar"/>
              </w:rPr>
              <w:t>采购条目名称</w:t>
            </w:r>
          </w:p>
        </w:tc>
        <w:tc>
          <w:tcPr>
            <w:tcW w:w="629" w:type="pct"/>
            <w:shd w:val="clear" w:color="auto" w:fill="auto"/>
            <w:vAlign w:val="center"/>
          </w:tcPr>
          <w:p w14:paraId="61FFD949">
            <w:pPr>
              <w:widowControl/>
              <w:spacing w:line="460" w:lineRule="exact"/>
              <w:jc w:val="center"/>
              <w:rPr>
                <w:rFonts w:ascii="仿宋" w:hAnsi="仿宋" w:eastAsia="仿宋" w:cs="仿宋"/>
                <w:sz w:val="24"/>
                <w:szCs w:val="24"/>
                <w:highlight w:val="none"/>
              </w:rPr>
            </w:pPr>
            <w:r>
              <w:rPr>
                <w:rFonts w:hint="eastAsia" w:ascii="仿宋" w:hAnsi="仿宋" w:eastAsia="仿宋" w:cs="仿宋"/>
                <w:kern w:val="0"/>
                <w:sz w:val="24"/>
                <w:szCs w:val="24"/>
                <w:highlight w:val="none"/>
                <w:lang w:bidi="ar"/>
              </w:rPr>
              <w:t>数量</w:t>
            </w:r>
          </w:p>
        </w:tc>
        <w:tc>
          <w:tcPr>
            <w:tcW w:w="780" w:type="pct"/>
            <w:shd w:val="clear" w:color="auto" w:fill="auto"/>
            <w:vAlign w:val="center"/>
          </w:tcPr>
          <w:p w14:paraId="1B245555">
            <w:pPr>
              <w:widowControl/>
              <w:spacing w:line="460" w:lineRule="exact"/>
              <w:jc w:val="center"/>
              <w:rPr>
                <w:rFonts w:ascii="仿宋" w:hAnsi="仿宋" w:eastAsia="仿宋" w:cs="仿宋"/>
                <w:sz w:val="24"/>
                <w:szCs w:val="24"/>
                <w:highlight w:val="none"/>
              </w:rPr>
            </w:pPr>
            <w:r>
              <w:rPr>
                <w:rFonts w:hint="eastAsia" w:ascii="仿宋" w:hAnsi="仿宋" w:eastAsia="仿宋" w:cs="仿宋"/>
                <w:kern w:val="0"/>
                <w:sz w:val="24"/>
                <w:szCs w:val="24"/>
                <w:highlight w:val="none"/>
                <w:lang w:bidi="ar"/>
              </w:rPr>
              <w:t>单位</w:t>
            </w:r>
          </w:p>
        </w:tc>
        <w:tc>
          <w:tcPr>
            <w:tcW w:w="1609" w:type="pct"/>
            <w:shd w:val="clear" w:color="auto" w:fill="auto"/>
            <w:vAlign w:val="center"/>
          </w:tcPr>
          <w:p w14:paraId="623E70CF">
            <w:pPr>
              <w:widowControl/>
              <w:spacing w:line="460" w:lineRule="exact"/>
              <w:jc w:val="center"/>
              <w:rPr>
                <w:rFonts w:hint="eastAsia" w:ascii="仿宋" w:hAnsi="仿宋" w:eastAsia="仿宋" w:cs="仿宋"/>
                <w:kern w:val="0"/>
                <w:sz w:val="24"/>
                <w:szCs w:val="24"/>
                <w:highlight w:val="none"/>
                <w:lang w:bidi="ar"/>
              </w:rPr>
            </w:pPr>
            <w:r>
              <w:rPr>
                <w:rFonts w:hint="eastAsia" w:ascii="仿宋" w:hAnsi="仿宋" w:eastAsia="仿宋" w:cs="仿宋"/>
                <w:kern w:val="0"/>
                <w:sz w:val="24"/>
                <w:szCs w:val="24"/>
                <w:highlight w:val="none"/>
                <w:lang w:bidi="ar"/>
              </w:rPr>
              <w:t>主要服务要求</w:t>
            </w:r>
          </w:p>
        </w:tc>
      </w:tr>
      <w:tr w14:paraId="5150A68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80" w:hRule="atLeast"/>
          <w:jc w:val="center"/>
        </w:trPr>
        <w:tc>
          <w:tcPr>
            <w:tcW w:w="1980" w:type="pct"/>
            <w:shd w:val="clear" w:color="auto" w:fill="auto"/>
            <w:vAlign w:val="center"/>
          </w:tcPr>
          <w:p w14:paraId="418B1C15">
            <w:pPr>
              <w:widowControl/>
              <w:spacing w:line="460" w:lineRule="exact"/>
              <w:jc w:val="center"/>
              <w:rPr>
                <w:rFonts w:ascii="仿宋" w:hAnsi="仿宋" w:eastAsia="仿宋" w:cs="仿宋"/>
                <w:sz w:val="24"/>
                <w:szCs w:val="24"/>
                <w:highlight w:val="none"/>
              </w:rPr>
            </w:pPr>
            <w:r>
              <w:rPr>
                <w:rFonts w:hint="eastAsia" w:ascii="仿宋" w:hAnsi="仿宋" w:eastAsia="仿宋" w:cs="仿宋"/>
                <w:sz w:val="24"/>
                <w:szCs w:val="24"/>
                <w:highlight w:val="none"/>
                <w:lang w:eastAsia="zh-CN"/>
              </w:rPr>
              <w:t>东乡经开区渊山岗工业园金海岛厂区维修工程——屋面钢结构维修</w:t>
            </w:r>
          </w:p>
        </w:tc>
        <w:tc>
          <w:tcPr>
            <w:tcW w:w="629" w:type="pct"/>
            <w:shd w:val="clear" w:color="auto" w:fill="auto"/>
            <w:vAlign w:val="center"/>
          </w:tcPr>
          <w:p w14:paraId="696F4C73">
            <w:pPr>
              <w:widowControl/>
              <w:spacing w:line="460" w:lineRule="exact"/>
              <w:jc w:val="center"/>
              <w:rPr>
                <w:rFonts w:ascii="仿宋" w:hAnsi="仿宋" w:eastAsia="仿宋" w:cs="仿宋"/>
                <w:sz w:val="24"/>
                <w:szCs w:val="24"/>
                <w:highlight w:val="none"/>
              </w:rPr>
            </w:pPr>
            <w:r>
              <w:rPr>
                <w:rFonts w:hint="eastAsia" w:ascii="仿宋" w:hAnsi="仿宋" w:eastAsia="仿宋" w:cs="仿宋"/>
                <w:sz w:val="24"/>
                <w:szCs w:val="24"/>
                <w:highlight w:val="none"/>
              </w:rPr>
              <w:t>1</w:t>
            </w:r>
          </w:p>
        </w:tc>
        <w:tc>
          <w:tcPr>
            <w:tcW w:w="780" w:type="pct"/>
            <w:shd w:val="clear" w:color="auto" w:fill="auto"/>
            <w:vAlign w:val="center"/>
          </w:tcPr>
          <w:p w14:paraId="3E1E2F33">
            <w:pPr>
              <w:widowControl/>
              <w:spacing w:line="460" w:lineRule="exact"/>
              <w:jc w:val="center"/>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val="en-US" w:eastAsia="zh-CN"/>
              </w:rPr>
              <w:t>项</w:t>
            </w:r>
          </w:p>
        </w:tc>
        <w:tc>
          <w:tcPr>
            <w:tcW w:w="1609" w:type="pct"/>
            <w:shd w:val="clear" w:color="auto" w:fill="auto"/>
            <w:vAlign w:val="center"/>
          </w:tcPr>
          <w:p w14:paraId="0A64CC4B">
            <w:pPr>
              <w:widowControl/>
              <w:spacing w:line="460" w:lineRule="exact"/>
              <w:jc w:val="center"/>
              <w:rPr>
                <w:rFonts w:hint="eastAsia" w:ascii="仿宋" w:hAnsi="仿宋" w:eastAsia="仿宋" w:cs="仿宋"/>
                <w:kern w:val="0"/>
                <w:sz w:val="24"/>
                <w:szCs w:val="24"/>
                <w:highlight w:val="none"/>
                <w:lang w:eastAsia="zh-CN" w:bidi="ar"/>
              </w:rPr>
            </w:pPr>
            <w:r>
              <w:rPr>
                <w:rFonts w:hint="eastAsia" w:ascii="仿宋" w:hAnsi="仿宋" w:eastAsia="仿宋" w:cs="仿宋"/>
                <w:kern w:val="0"/>
                <w:sz w:val="24"/>
                <w:szCs w:val="24"/>
                <w:highlight w:val="none"/>
                <w:lang w:bidi="ar"/>
              </w:rPr>
              <w:t>详见“采购项目需求”</w:t>
            </w:r>
          </w:p>
        </w:tc>
      </w:tr>
    </w:tbl>
    <w:p w14:paraId="3042A781">
      <w:pPr>
        <w:pStyle w:val="45"/>
        <w:spacing w:line="460" w:lineRule="exact"/>
        <w:rPr>
          <w:rFonts w:hint="default"/>
          <w:highlight w:val="none"/>
        </w:rPr>
      </w:pPr>
      <w:r>
        <w:rPr>
          <w:rFonts w:hint="eastAsia"/>
          <w:highlight w:val="none"/>
          <w:lang w:val="en-US" w:eastAsia="zh-CN"/>
        </w:rPr>
        <w:t>6、</w:t>
      </w:r>
      <w:r>
        <w:rPr>
          <w:highlight w:val="none"/>
        </w:rPr>
        <w:t>合同履行期限：</w:t>
      </w:r>
      <w:r>
        <w:rPr>
          <w:rFonts w:hint="eastAsia"/>
          <w:highlight w:val="none"/>
          <w:lang w:eastAsia="zh-CN"/>
        </w:rPr>
        <w:t>合同签订后15天内完成施工并交付使用。</w:t>
      </w:r>
    </w:p>
    <w:p w14:paraId="01206A84">
      <w:pPr>
        <w:pStyle w:val="45"/>
        <w:spacing w:line="460" w:lineRule="exact"/>
        <w:rPr>
          <w:rFonts w:hint="default"/>
          <w:highlight w:val="none"/>
        </w:rPr>
      </w:pPr>
      <w:r>
        <w:rPr>
          <w:rFonts w:hint="eastAsia"/>
          <w:highlight w:val="none"/>
          <w:lang w:val="en-US" w:eastAsia="zh-CN"/>
        </w:rPr>
        <w:t>7、</w:t>
      </w:r>
      <w:r>
        <w:rPr>
          <w:highlight w:val="none"/>
        </w:rPr>
        <w:t>本项目（是/否）接受联合体参加谈判：否</w:t>
      </w:r>
    </w:p>
    <w:p w14:paraId="47F76871">
      <w:pPr>
        <w:pStyle w:val="41"/>
        <w:spacing w:before="0" w:beforeLines="0" w:line="460" w:lineRule="exact"/>
        <w:rPr>
          <w:rFonts w:hint="default"/>
          <w:highlight w:val="none"/>
        </w:rPr>
      </w:pPr>
      <w:bookmarkStart w:id="8" w:name="_Toc26529"/>
      <w:bookmarkStart w:id="9" w:name="_Toc28359003"/>
      <w:bookmarkStart w:id="10" w:name="_Toc28359080"/>
      <w:bookmarkStart w:id="11" w:name="_Toc35393791"/>
      <w:bookmarkStart w:id="12" w:name="_Toc8458"/>
      <w:bookmarkStart w:id="13" w:name="_Toc35393622"/>
      <w:r>
        <w:rPr>
          <w:highlight w:val="none"/>
        </w:rPr>
        <w:t>二、申请人的资格要求</w:t>
      </w:r>
      <w:bookmarkEnd w:id="8"/>
      <w:bookmarkEnd w:id="9"/>
      <w:bookmarkEnd w:id="10"/>
      <w:bookmarkEnd w:id="11"/>
      <w:bookmarkEnd w:id="12"/>
      <w:bookmarkEnd w:id="13"/>
    </w:p>
    <w:p w14:paraId="55229227">
      <w:pPr>
        <w:pStyle w:val="45"/>
        <w:spacing w:line="460" w:lineRule="exact"/>
        <w:rPr>
          <w:rFonts w:hint="default"/>
          <w:highlight w:val="none"/>
        </w:rPr>
      </w:pPr>
      <w:r>
        <w:rPr>
          <w:highlight w:val="none"/>
        </w:rPr>
        <w:t>1.具有独立承担民事责任的能力</w:t>
      </w:r>
    </w:p>
    <w:p w14:paraId="55BE2A34">
      <w:pPr>
        <w:pStyle w:val="45"/>
        <w:spacing w:line="460" w:lineRule="exact"/>
        <w:rPr>
          <w:rFonts w:hint="default"/>
          <w:highlight w:val="none"/>
        </w:rPr>
      </w:pPr>
      <w:r>
        <w:rPr>
          <w:highlight w:val="none"/>
        </w:rPr>
        <w:t xml:space="preserve">2.具有良好的商业信誉和健全的财务会计制度 </w:t>
      </w:r>
    </w:p>
    <w:p w14:paraId="3D860191">
      <w:pPr>
        <w:pStyle w:val="45"/>
        <w:spacing w:line="460" w:lineRule="exact"/>
        <w:rPr>
          <w:rFonts w:hint="default"/>
          <w:highlight w:val="none"/>
        </w:rPr>
      </w:pPr>
      <w:r>
        <w:rPr>
          <w:highlight w:val="none"/>
        </w:rPr>
        <w:t xml:space="preserve">3.具有履行合同所必须的设备和专业技术能力 </w:t>
      </w:r>
    </w:p>
    <w:p w14:paraId="058B0282">
      <w:pPr>
        <w:pStyle w:val="45"/>
        <w:spacing w:line="460" w:lineRule="exact"/>
        <w:rPr>
          <w:rFonts w:hint="default"/>
          <w:highlight w:val="none"/>
        </w:rPr>
      </w:pPr>
      <w:r>
        <w:rPr>
          <w:highlight w:val="none"/>
        </w:rPr>
        <w:t>4.有依法缴纳税收和社会保障资金的良好记录</w:t>
      </w:r>
    </w:p>
    <w:p w14:paraId="1DC9B52B">
      <w:pPr>
        <w:pStyle w:val="45"/>
        <w:spacing w:line="460" w:lineRule="exact"/>
        <w:rPr>
          <w:rFonts w:hint="default"/>
          <w:highlight w:val="none"/>
        </w:rPr>
      </w:pPr>
      <w:r>
        <w:rPr>
          <w:highlight w:val="none"/>
        </w:rPr>
        <w:t>5.参加采购活动前三年内,在经营活动中没有重大违法记录</w:t>
      </w:r>
    </w:p>
    <w:p w14:paraId="21A03D54">
      <w:pPr>
        <w:pStyle w:val="45"/>
        <w:spacing w:line="460" w:lineRule="exact"/>
        <w:rPr>
          <w:rFonts w:hint="default"/>
          <w:highlight w:val="none"/>
        </w:rPr>
      </w:pPr>
      <w:r>
        <w:rPr>
          <w:highlight w:val="none"/>
        </w:rPr>
        <w:t>6.法律、行政法规规定的其他条件。</w:t>
      </w:r>
    </w:p>
    <w:p w14:paraId="1BAA3901">
      <w:pPr>
        <w:pStyle w:val="45"/>
        <w:spacing w:line="460" w:lineRule="exact"/>
        <w:rPr>
          <w:rFonts w:hint="default"/>
          <w:highlight w:val="none"/>
        </w:rPr>
      </w:pPr>
      <w:r>
        <w:rPr>
          <w:highlight w:val="none"/>
        </w:rPr>
        <w:t>7.单位负责人为同一人或者存在直接控股、管理关系的不同供应商，不得参加同一合同项下的采购活动。</w:t>
      </w:r>
    </w:p>
    <w:p w14:paraId="0A3EF01F">
      <w:pPr>
        <w:pStyle w:val="45"/>
        <w:spacing w:line="460" w:lineRule="exact"/>
        <w:rPr>
          <w:rFonts w:hint="eastAsia" w:eastAsia="仿宋"/>
          <w:highlight w:val="none"/>
          <w:lang w:eastAsia="zh-CN"/>
        </w:rPr>
      </w:pPr>
      <w:r>
        <w:rPr>
          <w:highlight w:val="none"/>
        </w:rPr>
        <w:t>8.</w:t>
      </w:r>
      <w:r>
        <w:rPr>
          <w:rFonts w:hint="default"/>
          <w:highlight w:val="none"/>
        </w:rPr>
        <w:t xml:space="preserve"> </w:t>
      </w:r>
      <w:r>
        <w:rPr>
          <w:highlight w:val="none"/>
        </w:rPr>
        <w:t>投标人须提供法人代表授权委托书、被授权人身份证复印件加盖公章</w:t>
      </w:r>
      <w:r>
        <w:rPr>
          <w:b/>
          <w:highlight w:val="none"/>
        </w:rPr>
        <w:t>（提供原件）</w:t>
      </w:r>
      <w:r>
        <w:rPr>
          <w:rFonts w:hint="eastAsia"/>
          <w:b/>
          <w:highlight w:val="none"/>
          <w:lang w:eastAsia="zh-CN"/>
        </w:rPr>
        <w:t>。</w:t>
      </w:r>
    </w:p>
    <w:p w14:paraId="163DA539">
      <w:pPr>
        <w:pStyle w:val="45"/>
        <w:spacing w:line="460" w:lineRule="exact"/>
        <w:rPr>
          <w:rFonts w:hint="default"/>
          <w:highlight w:val="none"/>
        </w:rPr>
      </w:pPr>
      <w:r>
        <w:rPr>
          <w:highlight w:val="none"/>
        </w:rPr>
        <w:t>9. 通过“信用中国”或“中国政府采购网”查询相关主体信用记录，被列入失信被执行人、重大税收违法失信主体、政府采购严重违法失信行为记录名单的供应商（处罚期限尚未届满的），不得参与本项目的采购活动。</w:t>
      </w:r>
    </w:p>
    <w:p w14:paraId="5ABCD564">
      <w:pPr>
        <w:pStyle w:val="45"/>
        <w:spacing w:line="460" w:lineRule="exact"/>
        <w:rPr>
          <w:highlight w:val="none"/>
        </w:rPr>
      </w:pPr>
      <w:r>
        <w:rPr>
          <w:highlight w:val="none"/>
        </w:rPr>
        <w:t>10.本项目不接受联合体。</w:t>
      </w:r>
    </w:p>
    <w:p w14:paraId="536EA97C">
      <w:pPr>
        <w:pStyle w:val="45"/>
        <w:spacing w:line="460" w:lineRule="exact"/>
        <w:rPr>
          <w:rFonts w:hint="default" w:ascii="宋体" w:hAnsi="宋体" w:cs="宋体"/>
          <w:sz w:val="24"/>
          <w:szCs w:val="24"/>
          <w:highlight w:val="none"/>
          <w:u w:val="single"/>
          <w:lang w:val="en-US" w:eastAsia="zh-CN"/>
        </w:rPr>
      </w:pPr>
      <w:r>
        <w:rPr>
          <w:rFonts w:hint="eastAsia"/>
          <w:highlight w:val="none"/>
          <w:lang w:val="en-US" w:eastAsia="zh-CN"/>
        </w:rPr>
        <w:t>11</w:t>
      </w:r>
      <w:r>
        <w:rPr>
          <w:rFonts w:hint="eastAsia"/>
          <w:highlight w:val="none"/>
        </w:rPr>
        <w:t>.本项目的特定资格要求：</w:t>
      </w:r>
      <w:r>
        <w:rPr>
          <w:rFonts w:hint="eastAsia" w:ascii="宋体" w:hAnsi="宋体" w:cs="宋体"/>
          <w:sz w:val="24"/>
          <w:szCs w:val="24"/>
          <w:highlight w:val="none"/>
          <w:u w:val="single"/>
          <w:lang w:eastAsia="zh-CN"/>
        </w:rPr>
        <w:t>具备</w:t>
      </w:r>
      <w:r>
        <w:rPr>
          <w:rFonts w:hint="eastAsia" w:ascii="宋体" w:hAnsi="宋体" w:cs="宋体"/>
          <w:sz w:val="24"/>
          <w:szCs w:val="24"/>
          <w:highlight w:val="none"/>
          <w:u w:val="single"/>
          <w:lang w:val="en-US" w:eastAsia="zh-CN"/>
        </w:rPr>
        <w:t>建筑工程施工总承包三级（含）以上或钢结构工程专业承包三级（含）以上</w:t>
      </w:r>
      <w:r>
        <w:rPr>
          <w:rFonts w:hint="eastAsia" w:ascii="宋体" w:hAnsi="宋体" w:cs="宋体"/>
          <w:sz w:val="24"/>
          <w:szCs w:val="24"/>
          <w:highlight w:val="none"/>
          <w:u w:val="single"/>
          <w:lang w:eastAsia="zh-CN"/>
        </w:rPr>
        <w:t>资质。</w:t>
      </w:r>
    </w:p>
    <w:p w14:paraId="43CFDC70">
      <w:pPr>
        <w:pStyle w:val="45"/>
        <w:spacing w:line="460" w:lineRule="exact"/>
        <w:rPr>
          <w:rFonts w:hint="default" w:eastAsia="仿宋"/>
          <w:highlight w:val="none"/>
          <w:lang w:val="en-US" w:eastAsia="zh-CN"/>
        </w:rPr>
      </w:pPr>
      <w:r>
        <w:rPr>
          <w:rFonts w:hint="eastAsia"/>
          <w:highlight w:val="none"/>
          <w:lang w:val="en-US" w:eastAsia="zh-CN"/>
        </w:rPr>
        <w:t>12、</w:t>
      </w:r>
      <w:r>
        <w:rPr>
          <w:rFonts w:hint="eastAsia" w:ascii="宋体" w:hAnsi="宋体" w:cs="宋体"/>
          <w:sz w:val="24"/>
          <w:szCs w:val="24"/>
          <w:highlight w:val="none"/>
        </w:rPr>
        <w:t>落实中小企业采购政府：</w:t>
      </w:r>
      <w:r>
        <w:rPr>
          <w:rFonts w:hint="eastAsia" w:ascii="宋体" w:hAnsi="宋体" w:cs="宋体"/>
          <w:sz w:val="24"/>
          <w:szCs w:val="24"/>
          <w:highlight w:val="none"/>
          <w:u w:val="single"/>
          <w:lang w:eastAsia="zh-CN"/>
        </w:rPr>
        <w:t>本项目专门面向中小企业采购</w:t>
      </w:r>
      <w:r>
        <w:rPr>
          <w:rFonts w:hint="eastAsia" w:ascii="宋体" w:hAnsi="宋体" w:cs="宋体"/>
          <w:sz w:val="24"/>
          <w:szCs w:val="24"/>
          <w:highlight w:val="none"/>
          <w:u w:val="single"/>
        </w:rPr>
        <w:t>。</w:t>
      </w:r>
    </w:p>
    <w:p w14:paraId="67EF729F">
      <w:pPr>
        <w:pStyle w:val="41"/>
        <w:spacing w:before="0" w:beforeLines="0" w:line="460" w:lineRule="exact"/>
        <w:rPr>
          <w:rFonts w:hint="default"/>
          <w:highlight w:val="none"/>
        </w:rPr>
      </w:pPr>
      <w:bookmarkStart w:id="14" w:name="_Toc28086"/>
      <w:r>
        <w:rPr>
          <w:highlight w:val="none"/>
        </w:rPr>
        <w:t>三、竞争性谈判文件的获取时间：</w:t>
      </w:r>
      <w:bookmarkEnd w:id="14"/>
    </w:p>
    <w:p w14:paraId="6771CEF1">
      <w:pPr>
        <w:spacing w:line="460" w:lineRule="exact"/>
        <w:ind w:firstLine="480" w:firstLineChars="200"/>
        <w:jc w:val="left"/>
        <w:rPr>
          <w:rFonts w:ascii="仿宋" w:hAnsi="仿宋" w:eastAsia="仿宋" w:cs="仿宋"/>
          <w:sz w:val="24"/>
          <w:szCs w:val="24"/>
          <w:highlight w:val="none"/>
        </w:rPr>
      </w:pPr>
      <w:r>
        <w:rPr>
          <w:rFonts w:hint="eastAsia" w:ascii="仿宋" w:hAnsi="仿宋" w:eastAsia="仿宋" w:cs="仿宋"/>
          <w:sz w:val="24"/>
          <w:szCs w:val="24"/>
          <w:highlight w:val="none"/>
        </w:rPr>
        <w:t>时间：2025年0</w:t>
      </w:r>
      <w:r>
        <w:rPr>
          <w:rFonts w:hint="eastAsia" w:ascii="仿宋" w:hAnsi="仿宋" w:eastAsia="仿宋" w:cs="仿宋"/>
          <w:sz w:val="24"/>
          <w:szCs w:val="24"/>
          <w:highlight w:val="none"/>
          <w:lang w:val="en-US" w:eastAsia="zh-CN"/>
        </w:rPr>
        <w:t>9</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11</w:t>
      </w:r>
      <w:r>
        <w:rPr>
          <w:rFonts w:hint="eastAsia" w:ascii="仿宋" w:hAnsi="仿宋" w:eastAsia="仿宋" w:cs="仿宋"/>
          <w:sz w:val="24"/>
          <w:szCs w:val="24"/>
          <w:highlight w:val="none"/>
        </w:rPr>
        <w:t>日至2025年0</w:t>
      </w:r>
      <w:r>
        <w:rPr>
          <w:rFonts w:hint="eastAsia" w:ascii="仿宋" w:hAnsi="仿宋" w:eastAsia="仿宋" w:cs="仿宋"/>
          <w:sz w:val="24"/>
          <w:szCs w:val="24"/>
          <w:highlight w:val="none"/>
          <w:lang w:val="en-US" w:eastAsia="zh-CN"/>
        </w:rPr>
        <w:t>9</w:t>
      </w:r>
      <w:r>
        <w:rPr>
          <w:rFonts w:hint="eastAsia" w:ascii="仿宋" w:hAnsi="仿宋" w:eastAsia="仿宋" w:cs="仿宋"/>
          <w:sz w:val="24"/>
          <w:szCs w:val="24"/>
          <w:highlight w:val="none"/>
        </w:rPr>
        <w:t>月</w:t>
      </w:r>
      <w:r>
        <w:rPr>
          <w:rFonts w:hint="eastAsia" w:ascii="仿宋" w:hAnsi="仿宋" w:eastAsia="仿宋" w:cs="仿宋"/>
          <w:sz w:val="24"/>
          <w:szCs w:val="24"/>
          <w:highlight w:val="none"/>
          <w:lang w:val="en-US" w:eastAsia="zh-CN"/>
        </w:rPr>
        <w:t>15</w:t>
      </w:r>
      <w:r>
        <w:rPr>
          <w:rFonts w:hint="eastAsia" w:ascii="仿宋" w:hAnsi="仿宋" w:eastAsia="仿宋" w:cs="仿宋"/>
          <w:sz w:val="24"/>
          <w:szCs w:val="24"/>
          <w:highlight w:val="none"/>
        </w:rPr>
        <w:t>日（北京时间，法定节假日除外）</w:t>
      </w:r>
    </w:p>
    <w:p w14:paraId="66374D0E">
      <w:pPr>
        <w:spacing w:line="460" w:lineRule="exact"/>
        <w:ind w:firstLine="480" w:firstLineChars="200"/>
        <w:jc w:val="left"/>
        <w:rPr>
          <w:rFonts w:hint="eastAsia" w:ascii="仿宋" w:hAnsi="仿宋" w:eastAsia="仿宋" w:cs="仿宋"/>
          <w:sz w:val="24"/>
          <w:szCs w:val="24"/>
          <w:highlight w:val="none"/>
        </w:rPr>
      </w:pPr>
      <w:r>
        <w:rPr>
          <w:rFonts w:hint="eastAsia" w:ascii="仿宋" w:hAnsi="仿宋" w:eastAsia="仿宋" w:cs="仿宋"/>
          <w:sz w:val="24"/>
          <w:szCs w:val="24"/>
          <w:highlight w:val="none"/>
        </w:rPr>
        <w:t>地点：东乡区人民政府网、</w:t>
      </w:r>
      <w:r>
        <w:rPr>
          <w:rFonts w:hint="eastAsia" w:ascii="仿宋" w:hAnsi="仿宋" w:eastAsia="仿宋" w:cs="仿宋"/>
          <w:sz w:val="24"/>
          <w:szCs w:val="24"/>
          <w:highlight w:val="none"/>
          <w:lang w:val="en-US" w:eastAsia="zh-CN"/>
        </w:rPr>
        <w:t>东乡区公共资源交易中心、</w:t>
      </w:r>
      <w:r>
        <w:rPr>
          <w:rFonts w:hint="eastAsia" w:ascii="仿宋" w:hAnsi="仿宋" w:eastAsia="仿宋" w:cs="仿宋"/>
          <w:sz w:val="24"/>
          <w:szCs w:val="24"/>
          <w:highlight w:val="none"/>
          <w:lang w:eastAsia="zh-CN"/>
        </w:rPr>
        <w:t>抚州市东乡区工业与科技创新投资集团有限公司</w:t>
      </w:r>
      <w:r>
        <w:rPr>
          <w:rFonts w:hint="eastAsia" w:ascii="仿宋" w:hAnsi="仿宋" w:eastAsia="仿宋" w:cs="仿宋"/>
          <w:sz w:val="24"/>
          <w:szCs w:val="24"/>
          <w:highlight w:val="none"/>
        </w:rPr>
        <w:t>官网</w:t>
      </w:r>
    </w:p>
    <w:p w14:paraId="091478BF">
      <w:pPr>
        <w:spacing w:line="460" w:lineRule="exact"/>
        <w:ind w:firstLine="480" w:firstLineChars="200"/>
        <w:jc w:val="left"/>
        <w:rPr>
          <w:rFonts w:ascii="仿宋" w:hAnsi="仿宋" w:eastAsia="仿宋" w:cs="仿宋"/>
          <w:sz w:val="24"/>
          <w:szCs w:val="24"/>
          <w:highlight w:val="none"/>
        </w:rPr>
      </w:pPr>
      <w:r>
        <w:rPr>
          <w:rFonts w:hint="eastAsia" w:ascii="仿宋" w:hAnsi="仿宋" w:eastAsia="仿宋" w:cs="仿宋"/>
          <w:sz w:val="24"/>
          <w:szCs w:val="24"/>
          <w:highlight w:val="none"/>
        </w:rPr>
        <w:t>方式：自行下载获取谈判文件</w:t>
      </w:r>
    </w:p>
    <w:p w14:paraId="23CB42D0">
      <w:pPr>
        <w:spacing w:line="460" w:lineRule="exact"/>
        <w:ind w:firstLine="480" w:firstLineChars="200"/>
        <w:jc w:val="left"/>
        <w:rPr>
          <w:rFonts w:ascii="仿宋" w:hAnsi="仿宋" w:eastAsia="仿宋" w:cs="仿宋"/>
          <w:sz w:val="24"/>
          <w:szCs w:val="24"/>
          <w:highlight w:val="none"/>
        </w:rPr>
      </w:pPr>
      <w:r>
        <w:rPr>
          <w:rFonts w:hint="eastAsia" w:ascii="仿宋" w:hAnsi="仿宋" w:eastAsia="仿宋" w:cs="仿宋"/>
          <w:sz w:val="24"/>
          <w:szCs w:val="24"/>
          <w:highlight w:val="none"/>
        </w:rPr>
        <w:t>售价：</w:t>
      </w:r>
      <w:r>
        <w:rPr>
          <w:rFonts w:ascii="仿宋" w:hAnsi="仿宋" w:eastAsia="仿宋" w:cs="仿宋"/>
          <w:sz w:val="24"/>
          <w:szCs w:val="24"/>
          <w:highlight w:val="none"/>
          <w:u w:val="single"/>
        </w:rPr>
        <w:t>0</w:t>
      </w:r>
      <w:r>
        <w:rPr>
          <w:rFonts w:hint="eastAsia" w:ascii="仿宋" w:hAnsi="仿宋" w:eastAsia="仿宋" w:cs="仿宋"/>
          <w:sz w:val="24"/>
          <w:szCs w:val="24"/>
          <w:highlight w:val="none"/>
        </w:rPr>
        <w:t>元人民币</w:t>
      </w:r>
    </w:p>
    <w:p w14:paraId="24A9785C">
      <w:pPr>
        <w:pStyle w:val="41"/>
        <w:spacing w:before="0" w:beforeLines="0" w:line="460" w:lineRule="exact"/>
        <w:rPr>
          <w:rFonts w:hint="default"/>
          <w:highlight w:val="none"/>
        </w:rPr>
      </w:pPr>
      <w:bookmarkStart w:id="15" w:name="_Toc23741"/>
      <w:r>
        <w:rPr>
          <w:highlight w:val="none"/>
        </w:rPr>
        <w:t>四、提交响应文件截止时间、谈判时间和地点：</w:t>
      </w:r>
      <w:bookmarkEnd w:id="15"/>
    </w:p>
    <w:p w14:paraId="37196354">
      <w:pPr>
        <w:spacing w:line="460" w:lineRule="exact"/>
        <w:ind w:firstLine="600" w:firstLineChars="250"/>
        <w:jc w:val="left"/>
        <w:rPr>
          <w:rFonts w:ascii="仿宋" w:hAnsi="仿宋" w:eastAsia="仿宋" w:cs="仿宋"/>
          <w:bCs/>
          <w:sz w:val="24"/>
          <w:highlight w:val="none"/>
        </w:rPr>
      </w:pPr>
      <w:bookmarkStart w:id="16" w:name="_Toc35393794"/>
      <w:bookmarkStart w:id="17" w:name="_Toc28359007"/>
      <w:bookmarkStart w:id="18" w:name="_Toc12960"/>
      <w:bookmarkStart w:id="19" w:name="_Toc35393625"/>
      <w:bookmarkStart w:id="20" w:name="_Toc28359084"/>
      <w:r>
        <w:rPr>
          <w:rFonts w:hint="eastAsia" w:ascii="仿宋" w:hAnsi="仿宋" w:eastAsia="仿宋" w:cs="仿宋"/>
          <w:bCs/>
          <w:sz w:val="24"/>
          <w:highlight w:val="none"/>
        </w:rPr>
        <w:t>谈判时间：2025年0</w:t>
      </w:r>
      <w:r>
        <w:rPr>
          <w:rFonts w:hint="eastAsia" w:ascii="仿宋" w:hAnsi="仿宋" w:eastAsia="仿宋" w:cs="仿宋"/>
          <w:bCs/>
          <w:sz w:val="24"/>
          <w:highlight w:val="none"/>
          <w:lang w:val="en-US" w:eastAsia="zh-CN"/>
        </w:rPr>
        <w:t>9</w:t>
      </w:r>
      <w:r>
        <w:rPr>
          <w:rFonts w:hint="eastAsia" w:ascii="仿宋" w:hAnsi="仿宋" w:eastAsia="仿宋" w:cs="仿宋"/>
          <w:bCs/>
          <w:sz w:val="24"/>
          <w:highlight w:val="none"/>
        </w:rPr>
        <w:t>月</w:t>
      </w:r>
      <w:r>
        <w:rPr>
          <w:rFonts w:hint="eastAsia" w:ascii="仿宋" w:hAnsi="仿宋" w:eastAsia="仿宋" w:cs="仿宋"/>
          <w:bCs/>
          <w:sz w:val="24"/>
          <w:highlight w:val="none"/>
          <w:lang w:val="en-US" w:eastAsia="zh-CN"/>
        </w:rPr>
        <w:t>16</w:t>
      </w:r>
      <w:r>
        <w:rPr>
          <w:rFonts w:hint="eastAsia" w:ascii="仿宋" w:hAnsi="仿宋" w:eastAsia="仿宋" w:cs="仿宋"/>
          <w:bCs/>
          <w:sz w:val="24"/>
          <w:highlight w:val="none"/>
        </w:rPr>
        <w:t>日10点</w:t>
      </w:r>
    </w:p>
    <w:p w14:paraId="31E371DE">
      <w:pPr>
        <w:spacing w:line="460" w:lineRule="exact"/>
        <w:jc w:val="left"/>
        <w:rPr>
          <w:rFonts w:ascii="仿宋" w:hAnsi="仿宋" w:eastAsia="仿宋" w:cs="仿宋"/>
          <w:bCs/>
          <w:sz w:val="24"/>
          <w:szCs w:val="24"/>
          <w:highlight w:val="none"/>
        </w:rPr>
      </w:pPr>
      <w:r>
        <w:rPr>
          <w:rFonts w:hint="eastAsia" w:ascii="仿宋" w:hAnsi="仿宋" w:eastAsia="仿宋" w:cs="仿宋"/>
          <w:bCs/>
          <w:sz w:val="24"/>
          <w:szCs w:val="24"/>
          <w:highlight w:val="none"/>
        </w:rPr>
        <w:t xml:space="preserve"> </w:t>
      </w:r>
      <w:r>
        <w:rPr>
          <w:rFonts w:ascii="仿宋" w:hAnsi="仿宋" w:eastAsia="仿宋" w:cs="仿宋"/>
          <w:bCs/>
          <w:sz w:val="24"/>
          <w:szCs w:val="24"/>
          <w:highlight w:val="none"/>
        </w:rPr>
        <w:t xml:space="preserve">    </w:t>
      </w:r>
      <w:r>
        <w:rPr>
          <w:rFonts w:hint="eastAsia" w:ascii="仿宋" w:hAnsi="仿宋" w:eastAsia="仿宋" w:cs="仿宋"/>
          <w:bCs/>
          <w:sz w:val="24"/>
          <w:szCs w:val="24"/>
          <w:highlight w:val="none"/>
        </w:rPr>
        <w:t>谈判地点：抚州市公共资源交易中心东乡分中心（地址：东乡区政务服务中心大楼4楼（状元路以北、华芸路以东、区行政中心后面）</w:t>
      </w:r>
      <w:r>
        <w:rPr>
          <w:rFonts w:ascii="仿宋" w:hAnsi="仿宋" w:eastAsia="仿宋" w:cs="仿宋"/>
          <w:bCs/>
          <w:sz w:val="24"/>
          <w:szCs w:val="24"/>
          <w:highlight w:val="none"/>
        </w:rPr>
        <w:t xml:space="preserve"> </w:t>
      </w:r>
    </w:p>
    <w:p w14:paraId="78F98C23">
      <w:pPr>
        <w:pStyle w:val="41"/>
        <w:spacing w:before="0" w:beforeLines="0" w:line="460" w:lineRule="exact"/>
        <w:rPr>
          <w:rFonts w:hint="default"/>
          <w:highlight w:val="none"/>
        </w:rPr>
      </w:pPr>
      <w:bookmarkStart w:id="21" w:name="_Toc21875"/>
      <w:r>
        <w:rPr>
          <w:highlight w:val="none"/>
        </w:rPr>
        <w:t>五、公告期限</w:t>
      </w:r>
      <w:bookmarkEnd w:id="16"/>
      <w:bookmarkEnd w:id="17"/>
      <w:bookmarkEnd w:id="18"/>
      <w:bookmarkEnd w:id="19"/>
      <w:bookmarkEnd w:id="20"/>
      <w:bookmarkEnd w:id="21"/>
    </w:p>
    <w:p w14:paraId="145D238F">
      <w:pPr>
        <w:pStyle w:val="45"/>
        <w:spacing w:line="460" w:lineRule="exact"/>
        <w:rPr>
          <w:rFonts w:hint="default"/>
          <w:highlight w:val="none"/>
        </w:rPr>
      </w:pPr>
      <w:r>
        <w:rPr>
          <w:highlight w:val="none"/>
        </w:rPr>
        <w:t>自本公告发布之日起3个工作日。</w:t>
      </w:r>
    </w:p>
    <w:p w14:paraId="2AB37F0E">
      <w:pPr>
        <w:pStyle w:val="41"/>
        <w:spacing w:before="0" w:beforeLines="0" w:line="460" w:lineRule="exact"/>
        <w:rPr>
          <w:rFonts w:hint="default"/>
          <w:highlight w:val="none"/>
        </w:rPr>
      </w:pPr>
      <w:bookmarkStart w:id="22" w:name="_Toc28359085"/>
      <w:bookmarkStart w:id="23" w:name="_Toc2850"/>
      <w:bookmarkStart w:id="24" w:name="_Toc35393796"/>
      <w:bookmarkStart w:id="25" w:name="_Toc28359008"/>
      <w:bookmarkStart w:id="26" w:name="_Toc25456"/>
      <w:bookmarkStart w:id="27" w:name="_Toc35393627"/>
      <w:r>
        <w:rPr>
          <w:highlight w:val="none"/>
        </w:rPr>
        <w:t>六、对本次采购提出询问，请按以下方式联系</w:t>
      </w:r>
      <w:bookmarkEnd w:id="22"/>
      <w:bookmarkEnd w:id="23"/>
      <w:bookmarkEnd w:id="24"/>
      <w:bookmarkEnd w:id="25"/>
      <w:bookmarkEnd w:id="26"/>
      <w:bookmarkEnd w:id="27"/>
    </w:p>
    <w:p w14:paraId="53E41C26">
      <w:pPr>
        <w:spacing w:line="46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1.采购人信息</w:t>
      </w:r>
    </w:p>
    <w:p w14:paraId="64B7BDE7">
      <w:pPr>
        <w:spacing w:line="460" w:lineRule="exact"/>
        <w:ind w:firstLine="480" w:firstLineChars="200"/>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名    称：江西子翔建筑工程有限公司</w:t>
      </w:r>
    </w:p>
    <w:p w14:paraId="368ADE47">
      <w:pPr>
        <w:spacing w:line="460" w:lineRule="exact"/>
        <w:ind w:firstLine="480" w:firstLineChars="200"/>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地    址：江西省抚州市东乡区大富工业园区大富大道3号</w:t>
      </w:r>
    </w:p>
    <w:p w14:paraId="3C9894AA">
      <w:pPr>
        <w:spacing w:line="460" w:lineRule="exact"/>
        <w:ind w:firstLine="480" w:firstLineChars="200"/>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联系方式：18665648394</w:t>
      </w:r>
    </w:p>
    <w:p w14:paraId="17149682">
      <w:pPr>
        <w:spacing w:line="460" w:lineRule="exact"/>
        <w:ind w:firstLine="480" w:firstLineChars="200"/>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2.采购代理机构信息</w:t>
      </w:r>
    </w:p>
    <w:p w14:paraId="1D71DC7F">
      <w:pPr>
        <w:spacing w:line="460" w:lineRule="exact"/>
        <w:ind w:firstLine="480" w:firstLineChars="200"/>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名 称：</w:t>
      </w:r>
      <w:r>
        <w:rPr>
          <w:rFonts w:hint="eastAsia" w:ascii="仿宋" w:hAnsi="仿宋" w:eastAsia="仿宋" w:cs="仿宋"/>
          <w:sz w:val="24"/>
          <w:szCs w:val="24"/>
          <w:highlight w:val="none"/>
          <w:lang w:eastAsia="zh-CN"/>
        </w:rPr>
        <w:t>江西中铖工程管理有限公司</w:t>
      </w:r>
    </w:p>
    <w:p w14:paraId="41027767">
      <w:pPr>
        <w:spacing w:line="460" w:lineRule="exact"/>
        <w:ind w:firstLine="480" w:firstLineChars="200"/>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地　址</w:t>
      </w:r>
      <w:r>
        <w:rPr>
          <w:rFonts w:hint="eastAsia" w:ascii="仿宋" w:hAnsi="仿宋" w:eastAsia="仿宋" w:cs="仿宋"/>
          <w:sz w:val="24"/>
          <w:szCs w:val="24"/>
          <w:highlight w:val="none"/>
          <w:lang w:eastAsia="zh-CN"/>
        </w:rPr>
        <w:t>：江西省南昌市红谷滩区红谷中大道1568号红谷凯旋8栋</w:t>
      </w:r>
    </w:p>
    <w:p w14:paraId="7029F1FE">
      <w:pPr>
        <w:spacing w:line="460" w:lineRule="exact"/>
        <w:ind w:firstLine="480" w:firstLineChars="200"/>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项目联系人：</w:t>
      </w:r>
      <w:r>
        <w:rPr>
          <w:rFonts w:hint="eastAsia" w:ascii="仿宋" w:hAnsi="仿宋" w:eastAsia="仿宋" w:cs="仿宋"/>
          <w:sz w:val="24"/>
          <w:szCs w:val="24"/>
          <w:highlight w:val="none"/>
          <w:lang w:eastAsia="zh-CN"/>
        </w:rPr>
        <w:t>邹小姐</w:t>
      </w:r>
    </w:p>
    <w:p w14:paraId="3E2702BA">
      <w:pPr>
        <w:spacing w:line="460" w:lineRule="exact"/>
        <w:ind w:firstLine="480" w:firstLineChars="200"/>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电　</w:t>
      </w:r>
      <w:r>
        <w:rPr>
          <w:rFonts w:hint="eastAsia" w:ascii="仿宋" w:hAnsi="仿宋" w:eastAsia="仿宋" w:cs="仿宋"/>
          <w:sz w:val="24"/>
          <w:szCs w:val="24"/>
          <w:highlight w:val="none"/>
          <w:lang w:eastAsia="zh-CN"/>
        </w:rPr>
        <w:t>话：13870070707</w:t>
      </w:r>
    </w:p>
    <w:p w14:paraId="7E7CCFF7">
      <w:pPr>
        <w:spacing w:line="460" w:lineRule="exact"/>
        <w:ind w:firstLine="480" w:firstLineChars="200"/>
        <w:rPr>
          <w:rFonts w:ascii="仿宋" w:hAnsi="仿宋" w:eastAsia="仿宋" w:cs="仿宋"/>
          <w:sz w:val="24"/>
          <w:szCs w:val="24"/>
          <w:highlight w:val="none"/>
          <w:u w:val="single"/>
        </w:rPr>
      </w:pPr>
      <w:r>
        <w:rPr>
          <w:rFonts w:hint="eastAsia" w:ascii="仿宋" w:hAnsi="仿宋" w:eastAsia="仿宋" w:cs="仿宋"/>
          <w:sz w:val="24"/>
          <w:szCs w:val="24"/>
          <w:highlight w:val="none"/>
        </w:rPr>
        <w:t>电子函件：</w:t>
      </w:r>
      <w:r>
        <w:rPr>
          <w:rFonts w:hint="eastAsia" w:ascii="仿宋" w:hAnsi="仿宋" w:eastAsia="仿宋" w:cs="仿宋"/>
          <w:sz w:val="24"/>
          <w:szCs w:val="24"/>
          <w:highlight w:val="none"/>
          <w:lang w:eastAsia="zh-CN"/>
        </w:rPr>
        <w:t>35532518@qq.com</w:t>
      </w:r>
    </w:p>
    <w:p w14:paraId="61A08193">
      <w:pPr>
        <w:spacing w:line="360" w:lineRule="auto"/>
        <w:rPr>
          <w:rFonts w:ascii="仿宋" w:hAnsi="仿宋" w:eastAsia="仿宋" w:cs="仿宋"/>
          <w:sz w:val="24"/>
          <w:szCs w:val="24"/>
          <w:highlight w:val="none"/>
          <w:u w:val="single"/>
        </w:rPr>
      </w:pPr>
    </w:p>
    <w:p w14:paraId="361A2DB7">
      <w:pPr>
        <w:rPr>
          <w:rFonts w:ascii="仿宋" w:hAnsi="仿宋" w:eastAsia="仿宋" w:cs="仿宋"/>
          <w:bCs/>
          <w:sz w:val="24"/>
          <w:szCs w:val="24"/>
          <w:highlight w:val="none"/>
        </w:rPr>
      </w:pPr>
    </w:p>
    <w:p w14:paraId="36C4F15C">
      <w:pPr>
        <w:rPr>
          <w:rFonts w:ascii="仿宋" w:hAnsi="仿宋" w:eastAsia="仿宋" w:cs="仿宋"/>
          <w:bCs/>
          <w:sz w:val="24"/>
          <w:szCs w:val="24"/>
          <w:highlight w:val="none"/>
        </w:rPr>
      </w:pPr>
    </w:p>
    <w:p w14:paraId="3F34AC90">
      <w:pPr>
        <w:rPr>
          <w:rFonts w:ascii="仿宋" w:hAnsi="仿宋" w:eastAsia="仿宋" w:cs="仿宋"/>
          <w:highlight w:val="none"/>
        </w:rPr>
      </w:pPr>
    </w:p>
    <w:p w14:paraId="147E0A65">
      <w:pPr>
        <w:widowControl/>
        <w:jc w:val="left"/>
        <w:rPr>
          <w:rFonts w:ascii="仿宋" w:hAnsi="仿宋" w:eastAsia="仿宋" w:cs="仿宋"/>
          <w:highlight w:val="none"/>
        </w:rPr>
      </w:pPr>
      <w:r>
        <w:rPr>
          <w:rFonts w:hint="eastAsia" w:ascii="仿宋" w:hAnsi="仿宋" w:eastAsia="仿宋" w:cs="仿宋"/>
          <w:highlight w:val="none"/>
        </w:rPr>
        <w:br w:type="page"/>
      </w:r>
    </w:p>
    <w:p w14:paraId="18AFEE74">
      <w:pPr>
        <w:pStyle w:val="40"/>
        <w:rPr>
          <w:rFonts w:hint="default"/>
          <w:highlight w:val="none"/>
        </w:rPr>
      </w:pPr>
      <w:bookmarkStart w:id="28" w:name="_Toc30483"/>
      <w:r>
        <w:rPr>
          <w:highlight w:val="none"/>
        </w:rPr>
        <w:t>第二章  供应商须知</w:t>
      </w:r>
      <w:bookmarkEnd w:id="28"/>
    </w:p>
    <w:p w14:paraId="71BE0913">
      <w:pPr>
        <w:pStyle w:val="42"/>
        <w:spacing w:before="240"/>
        <w:rPr>
          <w:rFonts w:hint="default"/>
          <w:highlight w:val="none"/>
        </w:rPr>
      </w:pPr>
      <w:bookmarkStart w:id="29" w:name="_Toc1780"/>
      <w:bookmarkStart w:id="30" w:name="_Toc221335709"/>
      <w:bookmarkStart w:id="31" w:name="_Toc220257383"/>
      <w:bookmarkStart w:id="32" w:name="_Toc220403898"/>
      <w:r>
        <w:rPr>
          <w:highlight w:val="none"/>
        </w:rPr>
        <w:t>一、供应商须知前附表</w:t>
      </w:r>
      <w:bookmarkEnd w:id="29"/>
      <w:bookmarkEnd w:id="30"/>
      <w:bookmarkEnd w:id="31"/>
      <w:bookmarkEnd w:id="32"/>
    </w:p>
    <w:tbl>
      <w:tblPr>
        <w:tblStyle w:val="17"/>
        <w:tblW w:w="101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5"/>
        <w:gridCol w:w="1076"/>
        <w:gridCol w:w="4211"/>
        <w:gridCol w:w="3979"/>
      </w:tblGrid>
      <w:tr w14:paraId="474E9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75" w:type="dxa"/>
          </w:tcPr>
          <w:p w14:paraId="15354864">
            <w:pPr>
              <w:spacing w:line="360" w:lineRule="auto"/>
              <w:jc w:val="center"/>
              <w:rPr>
                <w:rFonts w:ascii="仿宋" w:hAnsi="仿宋" w:eastAsia="仿宋" w:cs="仿宋"/>
                <w:b/>
                <w:bCs/>
                <w:sz w:val="24"/>
                <w:szCs w:val="24"/>
                <w:highlight w:val="none"/>
              </w:rPr>
            </w:pPr>
            <w:r>
              <w:rPr>
                <w:rFonts w:hint="eastAsia" w:ascii="仿宋" w:hAnsi="仿宋" w:eastAsia="仿宋" w:cs="仿宋"/>
                <w:b/>
                <w:bCs/>
                <w:sz w:val="24"/>
                <w:szCs w:val="24"/>
                <w:highlight w:val="none"/>
              </w:rPr>
              <w:t>序号</w:t>
            </w:r>
          </w:p>
        </w:tc>
        <w:tc>
          <w:tcPr>
            <w:tcW w:w="1076" w:type="dxa"/>
          </w:tcPr>
          <w:p w14:paraId="0ACDA462">
            <w:pPr>
              <w:spacing w:line="360" w:lineRule="auto"/>
              <w:jc w:val="center"/>
              <w:rPr>
                <w:rFonts w:ascii="仿宋" w:hAnsi="仿宋" w:eastAsia="仿宋" w:cs="仿宋"/>
                <w:b/>
                <w:bCs/>
                <w:sz w:val="24"/>
                <w:szCs w:val="24"/>
                <w:highlight w:val="none"/>
              </w:rPr>
            </w:pPr>
            <w:r>
              <w:rPr>
                <w:rFonts w:hint="eastAsia" w:ascii="仿宋" w:hAnsi="仿宋" w:eastAsia="仿宋" w:cs="仿宋"/>
                <w:b/>
                <w:bCs/>
                <w:sz w:val="24"/>
                <w:szCs w:val="24"/>
                <w:highlight w:val="none"/>
              </w:rPr>
              <w:t>条款号</w:t>
            </w:r>
          </w:p>
        </w:tc>
        <w:tc>
          <w:tcPr>
            <w:tcW w:w="8190" w:type="dxa"/>
            <w:gridSpan w:val="2"/>
          </w:tcPr>
          <w:p w14:paraId="04936AB2">
            <w:pPr>
              <w:spacing w:line="360" w:lineRule="auto"/>
              <w:jc w:val="center"/>
              <w:rPr>
                <w:rFonts w:ascii="仿宋" w:hAnsi="仿宋" w:eastAsia="仿宋" w:cs="仿宋"/>
                <w:b/>
                <w:bCs/>
                <w:sz w:val="24"/>
                <w:szCs w:val="24"/>
                <w:highlight w:val="none"/>
              </w:rPr>
            </w:pPr>
            <w:r>
              <w:rPr>
                <w:rFonts w:hint="eastAsia" w:ascii="仿宋" w:hAnsi="仿宋" w:eastAsia="仿宋" w:cs="仿宋"/>
                <w:b/>
                <w:bCs/>
                <w:sz w:val="24"/>
                <w:szCs w:val="24"/>
                <w:highlight w:val="none"/>
              </w:rPr>
              <w:t>内容</w:t>
            </w:r>
          </w:p>
        </w:tc>
      </w:tr>
      <w:tr w14:paraId="34943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75" w:type="dxa"/>
            <w:vAlign w:val="center"/>
          </w:tcPr>
          <w:p w14:paraId="67227C33">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1</w:t>
            </w:r>
          </w:p>
        </w:tc>
        <w:tc>
          <w:tcPr>
            <w:tcW w:w="1076" w:type="dxa"/>
            <w:vAlign w:val="center"/>
          </w:tcPr>
          <w:p w14:paraId="762EBEC2">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1.1</w:t>
            </w:r>
          </w:p>
        </w:tc>
        <w:tc>
          <w:tcPr>
            <w:tcW w:w="8190" w:type="dxa"/>
            <w:gridSpan w:val="2"/>
            <w:vAlign w:val="center"/>
          </w:tcPr>
          <w:p w14:paraId="3001B8D7">
            <w:pPr>
              <w:spacing w:line="360" w:lineRule="auto"/>
              <w:rPr>
                <w:rFonts w:ascii="仿宋" w:hAnsi="仿宋" w:eastAsia="仿宋" w:cs="仿宋"/>
                <w:sz w:val="24"/>
                <w:szCs w:val="24"/>
                <w:highlight w:val="none"/>
              </w:rPr>
            </w:pPr>
            <w:r>
              <w:rPr>
                <w:rFonts w:hint="eastAsia" w:ascii="仿宋" w:hAnsi="仿宋" w:eastAsia="仿宋" w:cs="仿宋"/>
                <w:sz w:val="24"/>
                <w:szCs w:val="24"/>
                <w:highlight w:val="none"/>
              </w:rPr>
              <w:t>项目名称及项目编号：详见“第一章谈判邀请”</w:t>
            </w:r>
          </w:p>
        </w:tc>
      </w:tr>
      <w:tr w14:paraId="2192C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75" w:type="dxa"/>
            <w:vAlign w:val="center"/>
          </w:tcPr>
          <w:p w14:paraId="2106DDDE">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2</w:t>
            </w:r>
          </w:p>
        </w:tc>
        <w:tc>
          <w:tcPr>
            <w:tcW w:w="1076" w:type="dxa"/>
            <w:vAlign w:val="center"/>
          </w:tcPr>
          <w:p w14:paraId="500A8098">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2.1</w:t>
            </w:r>
          </w:p>
        </w:tc>
        <w:tc>
          <w:tcPr>
            <w:tcW w:w="8190" w:type="dxa"/>
            <w:gridSpan w:val="2"/>
            <w:vAlign w:val="center"/>
          </w:tcPr>
          <w:p w14:paraId="71AFA0F9">
            <w:pPr>
              <w:spacing w:line="360" w:lineRule="auto"/>
              <w:rPr>
                <w:rFonts w:ascii="仿宋" w:hAnsi="仿宋" w:eastAsia="仿宋" w:cs="仿宋"/>
                <w:sz w:val="24"/>
                <w:szCs w:val="24"/>
                <w:highlight w:val="none"/>
              </w:rPr>
            </w:pPr>
            <w:r>
              <w:rPr>
                <w:rFonts w:hint="eastAsia" w:ascii="仿宋" w:hAnsi="仿宋" w:eastAsia="仿宋" w:cs="仿宋"/>
                <w:sz w:val="24"/>
                <w:szCs w:val="24"/>
                <w:highlight w:val="none"/>
              </w:rPr>
              <w:t>采购人名称：详见“第一章谈判邀请”</w:t>
            </w:r>
          </w:p>
        </w:tc>
      </w:tr>
      <w:tr w14:paraId="375B6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75" w:type="dxa"/>
            <w:vAlign w:val="center"/>
          </w:tcPr>
          <w:p w14:paraId="0F8A4486">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3</w:t>
            </w:r>
          </w:p>
        </w:tc>
        <w:tc>
          <w:tcPr>
            <w:tcW w:w="1076" w:type="dxa"/>
            <w:vAlign w:val="center"/>
          </w:tcPr>
          <w:p w14:paraId="7BA4D4DD">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2.2</w:t>
            </w:r>
          </w:p>
        </w:tc>
        <w:tc>
          <w:tcPr>
            <w:tcW w:w="8190" w:type="dxa"/>
            <w:gridSpan w:val="2"/>
            <w:vAlign w:val="center"/>
          </w:tcPr>
          <w:p w14:paraId="66CF097F">
            <w:pPr>
              <w:spacing w:line="360" w:lineRule="auto"/>
              <w:rPr>
                <w:rFonts w:ascii="仿宋" w:hAnsi="仿宋" w:eastAsia="仿宋" w:cs="仿宋"/>
                <w:sz w:val="24"/>
                <w:szCs w:val="24"/>
                <w:highlight w:val="none"/>
              </w:rPr>
            </w:pPr>
            <w:r>
              <w:rPr>
                <w:rFonts w:hint="eastAsia" w:ascii="仿宋" w:hAnsi="仿宋" w:eastAsia="仿宋" w:cs="仿宋"/>
                <w:sz w:val="24"/>
                <w:szCs w:val="24"/>
                <w:highlight w:val="none"/>
              </w:rPr>
              <w:t>采购代理机构：详见“第一章谈判邀请”</w:t>
            </w:r>
          </w:p>
        </w:tc>
      </w:tr>
      <w:tr w14:paraId="72B14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75" w:type="dxa"/>
            <w:vAlign w:val="center"/>
          </w:tcPr>
          <w:p w14:paraId="1869DEDD">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4</w:t>
            </w:r>
          </w:p>
        </w:tc>
        <w:tc>
          <w:tcPr>
            <w:tcW w:w="1076" w:type="dxa"/>
            <w:vAlign w:val="center"/>
          </w:tcPr>
          <w:p w14:paraId="0C903AB7">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3.2.1</w:t>
            </w:r>
          </w:p>
        </w:tc>
        <w:tc>
          <w:tcPr>
            <w:tcW w:w="8190" w:type="dxa"/>
            <w:gridSpan w:val="2"/>
          </w:tcPr>
          <w:p w14:paraId="1E770FB5">
            <w:pPr>
              <w:spacing w:line="360" w:lineRule="auto"/>
              <w:rPr>
                <w:rFonts w:ascii="仿宋" w:hAnsi="仿宋" w:eastAsia="仿宋" w:cs="仿宋"/>
                <w:sz w:val="24"/>
                <w:szCs w:val="24"/>
                <w:highlight w:val="none"/>
              </w:rPr>
            </w:pPr>
            <w:r>
              <w:rPr>
                <w:rFonts w:hint="eastAsia" w:ascii="仿宋" w:hAnsi="仿宋" w:eastAsia="仿宋" w:cs="仿宋"/>
                <w:sz w:val="24"/>
                <w:szCs w:val="24"/>
                <w:highlight w:val="none"/>
              </w:rPr>
              <w:t>本项目是否接受联合体参加竞争性谈判：详见“第一章谈判邀请”</w:t>
            </w:r>
          </w:p>
        </w:tc>
      </w:tr>
      <w:tr w14:paraId="43CD2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75" w:type="dxa"/>
            <w:vAlign w:val="center"/>
          </w:tcPr>
          <w:p w14:paraId="42525F07">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5</w:t>
            </w:r>
          </w:p>
        </w:tc>
        <w:tc>
          <w:tcPr>
            <w:tcW w:w="1076" w:type="dxa"/>
            <w:vAlign w:val="center"/>
          </w:tcPr>
          <w:p w14:paraId="6EAA69FC">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8</w:t>
            </w:r>
          </w:p>
        </w:tc>
        <w:tc>
          <w:tcPr>
            <w:tcW w:w="8190" w:type="dxa"/>
            <w:gridSpan w:val="2"/>
          </w:tcPr>
          <w:p w14:paraId="494CBE06">
            <w:pPr>
              <w:spacing w:line="360" w:lineRule="auto"/>
              <w:rPr>
                <w:rFonts w:ascii="仿宋" w:hAnsi="仿宋" w:eastAsia="仿宋" w:cs="仿宋"/>
                <w:sz w:val="24"/>
                <w:szCs w:val="24"/>
                <w:highlight w:val="none"/>
              </w:rPr>
            </w:pPr>
            <w:r>
              <w:rPr>
                <w:rFonts w:hint="eastAsia" w:ascii="仿宋" w:hAnsi="仿宋" w:eastAsia="仿宋" w:cs="仿宋"/>
                <w:sz w:val="24"/>
                <w:szCs w:val="24"/>
                <w:highlight w:val="none"/>
              </w:rPr>
              <w:t>供应商应当提交的资格、资信证明文件</w:t>
            </w:r>
          </w:p>
        </w:tc>
      </w:tr>
      <w:tr w14:paraId="561DD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75" w:type="dxa"/>
            <w:vMerge w:val="restart"/>
            <w:vAlign w:val="center"/>
          </w:tcPr>
          <w:p w14:paraId="70817308">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6</w:t>
            </w:r>
          </w:p>
        </w:tc>
        <w:tc>
          <w:tcPr>
            <w:tcW w:w="1076" w:type="dxa"/>
            <w:vMerge w:val="restart"/>
            <w:vAlign w:val="center"/>
          </w:tcPr>
          <w:p w14:paraId="42829C0E">
            <w:pPr>
              <w:spacing w:line="360" w:lineRule="auto"/>
              <w:jc w:val="center"/>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val="en-US" w:eastAsia="zh-CN"/>
              </w:rPr>
              <w:t>9</w:t>
            </w:r>
          </w:p>
        </w:tc>
        <w:tc>
          <w:tcPr>
            <w:tcW w:w="8190" w:type="dxa"/>
            <w:gridSpan w:val="2"/>
          </w:tcPr>
          <w:p w14:paraId="1FFE3867">
            <w:pPr>
              <w:spacing w:line="42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本项目是否适宜由中小企业提供：</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rPr>
              <w:t xml:space="preserve">是    </w:t>
            </w:r>
            <w:r>
              <w:rPr>
                <w:rFonts w:hint="eastAsia" w:ascii="仿宋" w:hAnsi="仿宋" w:eastAsia="仿宋" w:cs="仿宋"/>
                <w:b/>
                <w:sz w:val="24"/>
                <w:szCs w:val="24"/>
                <w:highlight w:val="none"/>
                <w:lang w:eastAsia="zh-CN"/>
              </w:rPr>
              <w:t>□</w:t>
            </w:r>
            <w:r>
              <w:rPr>
                <w:rFonts w:hint="eastAsia" w:ascii="仿宋" w:hAnsi="仿宋" w:eastAsia="仿宋" w:cs="仿宋"/>
                <w:sz w:val="24"/>
                <w:szCs w:val="24"/>
                <w:highlight w:val="none"/>
              </w:rPr>
              <w:t>否</w:t>
            </w:r>
          </w:p>
          <w:p w14:paraId="05030237">
            <w:pPr>
              <w:spacing w:line="42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是否专门面向中小企业：</w:t>
            </w:r>
            <w:r>
              <w:rPr>
                <w:rFonts w:hint="eastAsia" w:ascii="仿宋" w:hAnsi="仿宋" w:eastAsia="仿宋" w:cs="仿宋"/>
                <w:b/>
                <w:sz w:val="24"/>
                <w:szCs w:val="24"/>
                <w:highlight w:val="none"/>
                <w:lang w:eastAsia="zh-CN"/>
              </w:rPr>
              <w:t>☑</w:t>
            </w:r>
            <w:r>
              <w:rPr>
                <w:rFonts w:hint="eastAsia" w:ascii="仿宋" w:hAnsi="仿宋" w:eastAsia="仿宋" w:cs="仿宋"/>
                <w:sz w:val="24"/>
                <w:szCs w:val="24"/>
                <w:highlight w:val="none"/>
              </w:rPr>
              <w:t xml:space="preserve">是    </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rPr>
              <w:t>否</w:t>
            </w:r>
          </w:p>
          <w:p w14:paraId="6F836DC5">
            <w:pPr>
              <w:spacing w:line="420" w:lineRule="exact"/>
              <w:rPr>
                <w:rFonts w:hint="eastAsia" w:ascii="仿宋" w:hAnsi="仿宋" w:eastAsia="仿宋" w:cs="仿宋"/>
                <w:sz w:val="24"/>
                <w:szCs w:val="24"/>
                <w:highlight w:val="none"/>
                <w:u w:val="single"/>
                <w:lang w:eastAsia="zh-CN"/>
              </w:rPr>
            </w:pPr>
            <w:r>
              <w:rPr>
                <w:rFonts w:hint="eastAsia" w:ascii="仿宋" w:hAnsi="仿宋" w:eastAsia="仿宋" w:cs="仿宋"/>
                <w:sz w:val="24"/>
                <w:szCs w:val="24"/>
                <w:highlight w:val="none"/>
              </w:rPr>
              <w:t>预留方式及比例：</w:t>
            </w:r>
            <w:r>
              <w:rPr>
                <w:rFonts w:hint="eastAsia" w:ascii="仿宋" w:hAnsi="仿宋" w:eastAsia="仿宋" w:cs="仿宋"/>
                <w:sz w:val="24"/>
                <w:szCs w:val="24"/>
                <w:highlight w:val="none"/>
                <w:u w:val="single"/>
                <w:lang w:val="en-US" w:eastAsia="zh-CN"/>
              </w:rPr>
              <w:t>/</w:t>
            </w:r>
          </w:p>
          <w:p w14:paraId="01C4B696">
            <w:pPr>
              <w:spacing w:line="42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是否专门面向小微企业：</w:t>
            </w:r>
            <w:r>
              <w:rPr>
                <w:rFonts w:hint="eastAsia" w:ascii="仿宋" w:hAnsi="仿宋" w:eastAsia="仿宋" w:cs="仿宋"/>
                <w:b/>
                <w:sz w:val="24"/>
                <w:szCs w:val="24"/>
                <w:highlight w:val="none"/>
              </w:rPr>
              <w:t>□</w:t>
            </w:r>
            <w:r>
              <w:rPr>
                <w:rFonts w:hint="eastAsia" w:ascii="仿宋" w:hAnsi="仿宋" w:eastAsia="仿宋" w:cs="仿宋"/>
                <w:sz w:val="24"/>
                <w:szCs w:val="24"/>
                <w:highlight w:val="none"/>
              </w:rPr>
              <w:t>是    ☑否</w:t>
            </w:r>
          </w:p>
          <w:p w14:paraId="36012A0E">
            <w:pPr>
              <w:spacing w:line="42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所属行业：</w:t>
            </w:r>
            <w:r>
              <w:rPr>
                <w:rFonts w:hint="eastAsia" w:ascii="宋体" w:hAnsi="宋体" w:eastAsia="宋体" w:cs="宋体"/>
                <w:b/>
                <w:bCs/>
                <w:color w:val="auto"/>
                <w:sz w:val="24"/>
                <w:szCs w:val="24"/>
                <w:lang w:eastAsia="zh-CN"/>
              </w:rPr>
              <w:t>建筑业</w:t>
            </w:r>
          </w:p>
          <w:p w14:paraId="670F6F18">
            <w:pPr>
              <w:spacing w:line="360" w:lineRule="auto"/>
              <w:rPr>
                <w:rFonts w:hint="eastAsia" w:ascii="仿宋" w:hAnsi="仿宋" w:eastAsia="仿宋" w:cs="仿宋"/>
                <w:b/>
                <w:sz w:val="24"/>
                <w:szCs w:val="24"/>
                <w:highlight w:val="none"/>
              </w:rPr>
            </w:pPr>
            <w:r>
              <w:rPr>
                <w:rFonts w:hint="eastAsia" w:ascii="仿宋" w:hAnsi="仿宋" w:eastAsia="仿宋" w:cs="仿宋"/>
                <w:sz w:val="24"/>
                <w:szCs w:val="24"/>
                <w:highlight w:val="none"/>
              </w:rPr>
              <w:t>价格评审优惠政策执行以下，第【</w:t>
            </w:r>
            <w:r>
              <w:rPr>
                <w:rFonts w:hint="eastAsia" w:ascii="仿宋" w:hAnsi="仿宋" w:eastAsia="仿宋" w:cs="仿宋"/>
                <w:sz w:val="24"/>
                <w:szCs w:val="24"/>
                <w:highlight w:val="none"/>
                <w:lang w:val="en-US" w:eastAsia="zh-CN"/>
              </w:rPr>
              <w:t>1</w:t>
            </w:r>
            <w:r>
              <w:rPr>
                <w:rFonts w:hint="eastAsia" w:ascii="仿宋" w:hAnsi="仿宋" w:eastAsia="仿宋" w:cs="仿宋"/>
                <w:sz w:val="24"/>
                <w:szCs w:val="24"/>
                <w:highlight w:val="none"/>
              </w:rPr>
              <w:t>】项。</w:t>
            </w:r>
          </w:p>
        </w:tc>
      </w:tr>
      <w:tr w14:paraId="702FD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75" w:type="dxa"/>
            <w:vMerge w:val="continue"/>
            <w:vAlign w:val="center"/>
          </w:tcPr>
          <w:p w14:paraId="386320E5">
            <w:pPr>
              <w:spacing w:line="360" w:lineRule="auto"/>
              <w:jc w:val="center"/>
              <w:rPr>
                <w:rFonts w:hint="eastAsia" w:ascii="仿宋" w:hAnsi="仿宋" w:eastAsia="仿宋" w:cs="仿宋"/>
                <w:sz w:val="24"/>
                <w:szCs w:val="24"/>
                <w:highlight w:val="none"/>
              </w:rPr>
            </w:pPr>
          </w:p>
        </w:tc>
        <w:tc>
          <w:tcPr>
            <w:tcW w:w="1076" w:type="dxa"/>
            <w:vMerge w:val="continue"/>
            <w:vAlign w:val="center"/>
          </w:tcPr>
          <w:p w14:paraId="2EB60ACC">
            <w:pPr>
              <w:spacing w:line="360" w:lineRule="auto"/>
              <w:jc w:val="center"/>
              <w:rPr>
                <w:rFonts w:hint="eastAsia" w:ascii="仿宋" w:hAnsi="仿宋" w:eastAsia="仿宋" w:cs="仿宋"/>
                <w:sz w:val="24"/>
                <w:szCs w:val="24"/>
                <w:highlight w:val="none"/>
                <w:lang w:val="en-US" w:eastAsia="zh-CN"/>
              </w:rPr>
            </w:pPr>
          </w:p>
        </w:tc>
        <w:tc>
          <w:tcPr>
            <w:tcW w:w="8190" w:type="dxa"/>
            <w:gridSpan w:val="2"/>
            <w:shd w:val="clear" w:color="auto" w:fill="auto"/>
            <w:vAlign w:val="top"/>
          </w:tcPr>
          <w:p w14:paraId="309F8876">
            <w:pPr>
              <w:spacing w:line="420" w:lineRule="exact"/>
              <w:rPr>
                <w:rFonts w:hint="eastAsia" w:ascii="仿宋" w:hAnsi="仿宋" w:eastAsia="仿宋" w:cs="仿宋"/>
                <w:kern w:val="2"/>
                <w:sz w:val="24"/>
                <w:szCs w:val="24"/>
                <w:highlight w:val="none"/>
                <w:lang w:val="en-US" w:eastAsia="zh-CN" w:bidi="ar-SA"/>
              </w:rPr>
            </w:pPr>
            <w:r>
              <w:rPr>
                <w:rFonts w:hint="eastAsia" w:ascii="仿宋" w:hAnsi="仿宋" w:eastAsia="仿宋" w:cs="仿宋"/>
                <w:sz w:val="24"/>
                <w:szCs w:val="24"/>
                <w:highlight w:val="none"/>
              </w:rPr>
              <w:t>【1】专门面向中小企业采购，不再执行价格评审优惠的扶持政策。</w:t>
            </w:r>
          </w:p>
        </w:tc>
      </w:tr>
      <w:tr w14:paraId="4236B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75" w:type="dxa"/>
            <w:vMerge w:val="continue"/>
            <w:vAlign w:val="center"/>
          </w:tcPr>
          <w:p w14:paraId="3447444B">
            <w:pPr>
              <w:spacing w:line="360" w:lineRule="auto"/>
              <w:jc w:val="center"/>
              <w:rPr>
                <w:rFonts w:hint="eastAsia" w:ascii="仿宋" w:hAnsi="仿宋" w:eastAsia="仿宋" w:cs="仿宋"/>
                <w:sz w:val="24"/>
                <w:szCs w:val="24"/>
                <w:highlight w:val="none"/>
              </w:rPr>
            </w:pPr>
          </w:p>
        </w:tc>
        <w:tc>
          <w:tcPr>
            <w:tcW w:w="1076" w:type="dxa"/>
            <w:vMerge w:val="continue"/>
            <w:vAlign w:val="center"/>
          </w:tcPr>
          <w:p w14:paraId="5BC7CA46">
            <w:pPr>
              <w:spacing w:line="360" w:lineRule="auto"/>
              <w:jc w:val="center"/>
              <w:rPr>
                <w:rFonts w:hint="eastAsia" w:ascii="仿宋" w:hAnsi="仿宋" w:eastAsia="仿宋" w:cs="仿宋"/>
                <w:sz w:val="24"/>
                <w:szCs w:val="24"/>
                <w:highlight w:val="none"/>
                <w:lang w:val="en-US" w:eastAsia="zh-CN"/>
              </w:rPr>
            </w:pPr>
          </w:p>
        </w:tc>
        <w:tc>
          <w:tcPr>
            <w:tcW w:w="8190" w:type="dxa"/>
            <w:gridSpan w:val="2"/>
            <w:shd w:val="clear" w:color="auto" w:fill="auto"/>
            <w:vAlign w:val="top"/>
          </w:tcPr>
          <w:p w14:paraId="0426CD5E">
            <w:pPr>
              <w:spacing w:line="42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【2】不专门面向中小企业采购，享受价格评审优惠的扶持政策：</w:t>
            </w:r>
          </w:p>
          <w:p w14:paraId="0FB278A4">
            <w:pPr>
              <w:spacing w:line="42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9. 对小型和微型企业、监狱企业、残疾人福利性单位参加投标享受的政策：</w:t>
            </w:r>
          </w:p>
          <w:p w14:paraId="678A8447">
            <w:pPr>
              <w:spacing w:line="42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9.1 对小型和微型企业的价格给予10%的扣除，用扣除后的价格参与评审。</w:t>
            </w:r>
          </w:p>
          <w:p w14:paraId="2B324A6B">
            <w:pPr>
              <w:spacing w:line="42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9.2 监狱企业视同小型、微型企业，享受评审中价格扣除等政府促进中小企业发展的政府采购政策。</w:t>
            </w:r>
          </w:p>
          <w:p w14:paraId="5AFDE39A">
            <w:pPr>
              <w:spacing w:line="42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9.3 残疾人福利性单位视同小型、微型企业，享受评审中价格扣除等政府促进中小企业发展的政府采购政策；福利性单位属于小型、微型企业的，不重复享受政策。</w:t>
            </w:r>
          </w:p>
          <w:p w14:paraId="127CF276">
            <w:pPr>
              <w:spacing w:line="42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9.4 鼓励大中型企业和其他自然人、法人或者其他组织与小型、微型企业组成联合体共同参加非专门面向中小企业的政府采购活动。联合协议中约定，小型、微型企业的协议合同金额占到联合体协议合同总金额 40%以上的，可给予联合体4%的价格扣除。 (适用于联合体投标)</w:t>
            </w:r>
          </w:p>
          <w:p w14:paraId="4C1BE6CC">
            <w:pPr>
              <w:spacing w:line="42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联合体各方均为小型、微型企业的，联合体视同为小型、微型企业。 (适用于联合体投标)</w:t>
            </w:r>
          </w:p>
          <w:p w14:paraId="576AC1CE">
            <w:pPr>
              <w:spacing w:line="42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组成联合体的大中型企业和其他自然人、法人或者其他组织，与小型、微型企业之间不得存在投资关系。(适用于联合体投标)</w:t>
            </w:r>
          </w:p>
        </w:tc>
      </w:tr>
      <w:tr w14:paraId="077AB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875" w:type="dxa"/>
            <w:vAlign w:val="center"/>
          </w:tcPr>
          <w:p w14:paraId="214B1546">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7</w:t>
            </w:r>
          </w:p>
        </w:tc>
        <w:tc>
          <w:tcPr>
            <w:tcW w:w="1076" w:type="dxa"/>
            <w:vAlign w:val="center"/>
          </w:tcPr>
          <w:p w14:paraId="37324787">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15</w:t>
            </w:r>
          </w:p>
        </w:tc>
        <w:tc>
          <w:tcPr>
            <w:tcW w:w="8190" w:type="dxa"/>
            <w:gridSpan w:val="2"/>
            <w:vAlign w:val="center"/>
          </w:tcPr>
          <w:p w14:paraId="192658A7">
            <w:pPr>
              <w:spacing w:line="360" w:lineRule="auto"/>
              <w:rPr>
                <w:rFonts w:ascii="仿宋" w:hAnsi="仿宋" w:eastAsia="仿宋" w:cs="仿宋"/>
                <w:sz w:val="24"/>
                <w:szCs w:val="24"/>
                <w:highlight w:val="none"/>
              </w:rPr>
            </w:pPr>
            <w:r>
              <w:rPr>
                <w:rFonts w:hint="eastAsia" w:ascii="仿宋" w:hAnsi="仿宋" w:eastAsia="仿宋" w:cs="仿宋"/>
                <w:sz w:val="24"/>
                <w:szCs w:val="24"/>
                <w:highlight w:val="none"/>
              </w:rPr>
              <w:t>谈判保证金：</w:t>
            </w:r>
          </w:p>
          <w:p w14:paraId="03E28E8A">
            <w:pPr>
              <w:spacing w:line="360" w:lineRule="auto"/>
              <w:ind w:firstLine="480" w:firstLineChars="200"/>
              <w:rPr>
                <w:rFonts w:ascii="仿宋" w:hAnsi="仿宋" w:eastAsia="仿宋" w:cs="仿宋"/>
                <w:bCs/>
                <w:sz w:val="24"/>
                <w:szCs w:val="24"/>
                <w:highlight w:val="none"/>
              </w:rPr>
            </w:pPr>
            <w:r>
              <w:rPr>
                <w:rFonts w:hint="eastAsia" w:ascii="仿宋" w:hAnsi="仿宋" w:eastAsia="仿宋" w:cs="仿宋"/>
                <w:bCs/>
                <w:sz w:val="24"/>
                <w:szCs w:val="24"/>
                <w:highlight w:val="none"/>
              </w:rPr>
              <w:t>谈判保证金必须在谈判截止时间前到达谈判保证金账户（到账时间以提交的银行到账单为准）。谈判保证金必须从谈判企业法定代表人营业执照注册所在地本单位基本帐户一次性（不含企业的分公司或办事处的帐户）转入下列招标人指定帐户，不能提交现金。</w:t>
            </w:r>
          </w:p>
          <w:p w14:paraId="7CE27624">
            <w:pPr>
              <w:spacing w:line="360" w:lineRule="auto"/>
              <w:rPr>
                <w:rFonts w:ascii="仿宋" w:hAnsi="仿宋" w:eastAsia="仿宋" w:cs="仿宋"/>
                <w:b/>
                <w:bCs/>
                <w:sz w:val="24"/>
                <w:highlight w:val="none"/>
              </w:rPr>
            </w:pPr>
            <w:r>
              <w:rPr>
                <w:rFonts w:hint="eastAsia" w:ascii="仿宋" w:hAnsi="仿宋" w:eastAsia="仿宋" w:cs="仿宋"/>
                <w:b/>
                <w:sz w:val="24"/>
                <w:highlight w:val="none"/>
              </w:rPr>
              <w:t>谈判保证金:</w:t>
            </w:r>
            <w:r>
              <w:rPr>
                <w:rFonts w:hint="eastAsia" w:ascii="仿宋" w:hAnsi="仿宋" w:eastAsia="仿宋" w:cs="仿宋"/>
                <w:b/>
                <w:bCs/>
                <w:sz w:val="24"/>
                <w:highlight w:val="none"/>
              </w:rPr>
              <w:t>人民币</w:t>
            </w:r>
            <w:r>
              <w:rPr>
                <w:rFonts w:hint="eastAsia" w:ascii="仿宋" w:hAnsi="仿宋" w:eastAsia="仿宋" w:cs="仿宋"/>
                <w:b/>
                <w:bCs/>
                <w:sz w:val="24"/>
                <w:highlight w:val="none"/>
                <w:lang w:val="en-US" w:eastAsia="zh-CN"/>
              </w:rPr>
              <w:t>壹万</w:t>
            </w:r>
            <w:r>
              <w:rPr>
                <w:rFonts w:hint="eastAsia" w:ascii="仿宋" w:hAnsi="仿宋" w:eastAsia="仿宋" w:cs="仿宋"/>
                <w:b/>
                <w:bCs/>
                <w:sz w:val="24"/>
                <w:highlight w:val="none"/>
              </w:rPr>
              <w:t>元整（小写：</w:t>
            </w:r>
            <w:r>
              <w:rPr>
                <w:rFonts w:hint="eastAsia" w:ascii="仿宋" w:hAnsi="仿宋" w:eastAsia="仿宋" w:cs="仿宋"/>
                <w:b/>
                <w:bCs/>
                <w:sz w:val="24"/>
                <w:highlight w:val="none"/>
                <w:lang w:val="en-US" w:eastAsia="zh-CN"/>
              </w:rPr>
              <w:t>10</w:t>
            </w:r>
            <w:r>
              <w:rPr>
                <w:rFonts w:hint="eastAsia" w:ascii="仿宋" w:hAnsi="仿宋" w:eastAsia="仿宋" w:cs="仿宋"/>
                <w:b/>
                <w:bCs/>
                <w:sz w:val="24"/>
                <w:highlight w:val="none"/>
              </w:rPr>
              <w:t>000.00元）；</w:t>
            </w:r>
            <w:r>
              <w:rPr>
                <w:rFonts w:ascii="仿宋" w:hAnsi="仿宋" w:eastAsia="仿宋" w:cs="仿宋"/>
                <w:b/>
                <w:bCs/>
                <w:sz w:val="24"/>
                <w:highlight w:val="none"/>
              </w:rPr>
              <w:t xml:space="preserve"> </w:t>
            </w:r>
          </w:p>
          <w:p w14:paraId="11A3B8D6">
            <w:pPr>
              <w:spacing w:line="360" w:lineRule="auto"/>
              <w:rPr>
                <w:rFonts w:ascii="仿宋" w:hAnsi="仿宋" w:eastAsia="仿宋" w:cs="仿宋"/>
                <w:b/>
                <w:sz w:val="24"/>
                <w:szCs w:val="24"/>
                <w:highlight w:val="none"/>
              </w:rPr>
            </w:pPr>
            <w:r>
              <w:rPr>
                <w:rFonts w:hint="eastAsia" w:ascii="仿宋" w:hAnsi="仿宋" w:eastAsia="仿宋" w:cs="仿宋"/>
                <w:b/>
                <w:sz w:val="24"/>
                <w:highlight w:val="none"/>
              </w:rPr>
              <w:t>谈判保证金转入账户：</w:t>
            </w:r>
            <w:r>
              <w:rPr>
                <w:rFonts w:ascii="仿宋" w:hAnsi="仿宋" w:eastAsia="仿宋" w:cs="仿宋"/>
                <w:b/>
                <w:sz w:val="24"/>
                <w:szCs w:val="24"/>
                <w:highlight w:val="none"/>
              </w:rPr>
              <w:t xml:space="preserve"> </w:t>
            </w:r>
          </w:p>
          <w:p w14:paraId="16267035">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1.账户名：抚州市公共资源交易中心东乡分中心</w:t>
            </w:r>
          </w:p>
          <w:p w14:paraId="42BCB591">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开户行：工商银行东乡支行</w:t>
            </w:r>
            <w:r>
              <w:rPr>
                <w:rFonts w:ascii="仿宋" w:hAnsi="仿宋" w:eastAsia="仿宋" w:cs="仿宋"/>
                <w:b/>
                <w:sz w:val="24"/>
                <w:szCs w:val="24"/>
                <w:highlight w:val="none"/>
              </w:rPr>
              <w:t xml:space="preserve"> </w:t>
            </w:r>
          </w:p>
          <w:p w14:paraId="5E6AF2C8">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银行账号：</w:t>
            </w:r>
            <w:r>
              <w:rPr>
                <w:rFonts w:ascii="仿宋" w:hAnsi="仿宋" w:eastAsia="仿宋" w:cs="仿宋"/>
                <w:b/>
                <w:sz w:val="24"/>
                <w:szCs w:val="24"/>
                <w:highlight w:val="none"/>
              </w:rPr>
              <w:t>1511207029200052687</w:t>
            </w:r>
          </w:p>
          <w:p w14:paraId="3384822F">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2.账户名：抚州市公共资源交易中心东乡分中心</w:t>
            </w:r>
          </w:p>
          <w:p w14:paraId="4333332A">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开户行：农业银行东乡支行</w:t>
            </w:r>
          </w:p>
          <w:p w14:paraId="66699288">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银行账号：</w:t>
            </w:r>
            <w:r>
              <w:rPr>
                <w:rFonts w:ascii="仿宋" w:hAnsi="仿宋" w:eastAsia="仿宋" w:cs="仿宋"/>
                <w:b/>
                <w:sz w:val="24"/>
                <w:szCs w:val="24"/>
                <w:highlight w:val="none"/>
              </w:rPr>
              <w:t xml:space="preserve">14-055101040023616  </w:t>
            </w:r>
          </w:p>
          <w:p w14:paraId="260B800A">
            <w:pPr>
              <w:spacing w:line="360" w:lineRule="auto"/>
              <w:rPr>
                <w:rFonts w:ascii="仿宋" w:hAnsi="仿宋" w:eastAsia="仿宋" w:cs="仿宋"/>
                <w:b/>
                <w:sz w:val="24"/>
                <w:szCs w:val="24"/>
                <w:highlight w:val="none"/>
              </w:rPr>
            </w:pPr>
            <w:r>
              <w:rPr>
                <w:rFonts w:ascii="仿宋" w:hAnsi="仿宋" w:eastAsia="仿宋" w:cs="仿宋"/>
                <w:b/>
                <w:sz w:val="24"/>
                <w:szCs w:val="24"/>
                <w:highlight w:val="none"/>
              </w:rPr>
              <w:t>3</w:t>
            </w:r>
            <w:r>
              <w:rPr>
                <w:rFonts w:hint="eastAsia" w:ascii="仿宋" w:hAnsi="仿宋" w:eastAsia="仿宋" w:cs="仿宋"/>
                <w:b/>
                <w:sz w:val="24"/>
                <w:szCs w:val="24"/>
                <w:highlight w:val="none"/>
              </w:rPr>
              <w:t>.账户名：抚州市公共资源交易中心东乡分中心</w:t>
            </w:r>
          </w:p>
          <w:p w14:paraId="5784AF02">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开户行：中国银行东乡支行</w:t>
            </w:r>
          </w:p>
          <w:p w14:paraId="564A0EA3">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银行账号：</w:t>
            </w:r>
            <w:r>
              <w:rPr>
                <w:rFonts w:ascii="仿宋" w:hAnsi="仿宋" w:eastAsia="仿宋" w:cs="仿宋"/>
                <w:b/>
                <w:sz w:val="24"/>
                <w:szCs w:val="24"/>
                <w:highlight w:val="none"/>
              </w:rPr>
              <w:t>194717127051</w:t>
            </w:r>
          </w:p>
          <w:p w14:paraId="3C9844BE">
            <w:pPr>
              <w:spacing w:line="360" w:lineRule="auto"/>
              <w:rPr>
                <w:rFonts w:ascii="仿宋" w:hAnsi="仿宋" w:eastAsia="仿宋" w:cs="仿宋"/>
                <w:b/>
                <w:sz w:val="24"/>
                <w:szCs w:val="24"/>
                <w:highlight w:val="none"/>
              </w:rPr>
            </w:pPr>
            <w:r>
              <w:rPr>
                <w:rFonts w:ascii="仿宋" w:hAnsi="仿宋" w:eastAsia="仿宋" w:cs="仿宋"/>
                <w:b/>
                <w:sz w:val="24"/>
                <w:szCs w:val="24"/>
                <w:highlight w:val="none"/>
              </w:rPr>
              <w:t>4</w:t>
            </w:r>
            <w:r>
              <w:rPr>
                <w:rFonts w:hint="eastAsia" w:ascii="仿宋" w:hAnsi="仿宋" w:eastAsia="仿宋" w:cs="仿宋"/>
                <w:b/>
                <w:sz w:val="24"/>
                <w:szCs w:val="24"/>
                <w:highlight w:val="none"/>
              </w:rPr>
              <w:t>.账户名：抚州市公共资源交易中心东乡分中心</w:t>
            </w:r>
          </w:p>
          <w:p w14:paraId="54A7FE3F">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开户行：建设银行东乡支行</w:t>
            </w:r>
          </w:p>
          <w:p w14:paraId="071A6839">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帐号：36001551210052503110</w:t>
            </w:r>
          </w:p>
          <w:p w14:paraId="3800F813">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5</w:t>
            </w:r>
            <w:r>
              <w:rPr>
                <w:rFonts w:ascii="仿宋" w:hAnsi="仿宋" w:eastAsia="仿宋" w:cs="仿宋"/>
                <w:b/>
                <w:sz w:val="24"/>
                <w:szCs w:val="24"/>
                <w:highlight w:val="none"/>
              </w:rPr>
              <w:t>.</w:t>
            </w:r>
            <w:r>
              <w:rPr>
                <w:rFonts w:hint="eastAsia" w:ascii="仿宋" w:hAnsi="仿宋" w:eastAsia="仿宋" w:cs="仿宋"/>
                <w:b/>
                <w:sz w:val="24"/>
                <w:szCs w:val="24"/>
                <w:highlight w:val="none"/>
              </w:rPr>
              <w:t>账户名：抚州市公共资源交易中心东乡分中心</w:t>
            </w:r>
          </w:p>
          <w:p w14:paraId="37154A7F">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开户行：上饶银行东乡支行</w:t>
            </w:r>
          </w:p>
          <w:p w14:paraId="58770C1E">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帐号：206603110000000178</w:t>
            </w:r>
          </w:p>
          <w:p w14:paraId="2B4E163A">
            <w:pPr>
              <w:spacing w:line="360" w:lineRule="auto"/>
              <w:ind w:firstLine="482" w:firstLineChars="200"/>
              <w:rPr>
                <w:rFonts w:ascii="仿宋" w:hAnsi="仿宋" w:eastAsia="仿宋" w:cs="仿宋"/>
                <w:b/>
                <w:sz w:val="24"/>
                <w:szCs w:val="24"/>
                <w:highlight w:val="none"/>
              </w:rPr>
            </w:pPr>
            <w:r>
              <w:rPr>
                <w:rFonts w:hint="eastAsia" w:ascii="仿宋" w:hAnsi="仿宋" w:eastAsia="仿宋" w:cs="仿宋"/>
                <w:b/>
                <w:sz w:val="24"/>
                <w:szCs w:val="24"/>
                <w:highlight w:val="none"/>
              </w:rPr>
              <w:t>凭证请注明“项目名称”字样；未按要求汇出到账或标注不清，影响谈判的，由谈判人自行负责。</w:t>
            </w:r>
          </w:p>
          <w:p w14:paraId="0DF72F2B">
            <w:pPr>
              <w:spacing w:line="360" w:lineRule="auto"/>
              <w:rPr>
                <w:rFonts w:ascii="仿宋" w:hAnsi="仿宋" w:eastAsia="仿宋"/>
                <w:b/>
                <w:sz w:val="24"/>
                <w:highlight w:val="none"/>
              </w:rPr>
            </w:pPr>
            <w:r>
              <w:rPr>
                <w:rFonts w:hint="eastAsia" w:ascii="仿宋" w:hAnsi="仿宋" w:eastAsia="仿宋" w:cs="仿宋"/>
                <w:b/>
                <w:sz w:val="24"/>
                <w:szCs w:val="24"/>
                <w:highlight w:val="none"/>
              </w:rPr>
              <w:t>备注：已转账谈判保证金的潜在谈判人因特殊情况放弃本次谈判，须在谈判截止时间前书面通知招标代理；否则列入黑名单，一年内禁止其参与</w:t>
            </w:r>
            <w:r>
              <w:rPr>
                <w:rFonts w:hint="eastAsia" w:ascii="仿宋" w:hAnsi="仿宋" w:eastAsia="仿宋" w:cs="仿宋"/>
                <w:b/>
                <w:sz w:val="24"/>
                <w:szCs w:val="24"/>
                <w:highlight w:val="none"/>
                <w:lang w:eastAsia="zh-CN"/>
              </w:rPr>
              <w:t>江西子翔建筑工程有限公司</w:t>
            </w:r>
            <w:r>
              <w:rPr>
                <w:rFonts w:hint="eastAsia" w:ascii="仿宋" w:hAnsi="仿宋" w:eastAsia="仿宋" w:cs="仿宋"/>
                <w:b/>
                <w:sz w:val="24"/>
                <w:szCs w:val="24"/>
                <w:highlight w:val="none"/>
              </w:rPr>
              <w:t>任何招谈判事宜。</w:t>
            </w:r>
            <w:r>
              <w:rPr>
                <w:rFonts w:hint="eastAsia" w:ascii="仿宋" w:hAnsi="仿宋" w:eastAsia="仿宋"/>
                <w:b/>
                <w:sz w:val="24"/>
                <w:highlight w:val="none"/>
              </w:rPr>
              <w:t xml:space="preserve"> </w:t>
            </w:r>
          </w:p>
        </w:tc>
      </w:tr>
      <w:tr w14:paraId="2F64D8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875" w:type="dxa"/>
            <w:vAlign w:val="center"/>
          </w:tcPr>
          <w:p w14:paraId="3C3C06B8">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8</w:t>
            </w:r>
          </w:p>
        </w:tc>
        <w:tc>
          <w:tcPr>
            <w:tcW w:w="1076" w:type="dxa"/>
            <w:vAlign w:val="center"/>
          </w:tcPr>
          <w:p w14:paraId="04048146">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16</w:t>
            </w:r>
          </w:p>
        </w:tc>
        <w:tc>
          <w:tcPr>
            <w:tcW w:w="8190" w:type="dxa"/>
            <w:gridSpan w:val="2"/>
          </w:tcPr>
          <w:p w14:paraId="29EC710F">
            <w:pPr>
              <w:spacing w:line="360" w:lineRule="auto"/>
              <w:rPr>
                <w:rFonts w:ascii="仿宋" w:hAnsi="仿宋" w:eastAsia="仿宋" w:cs="仿宋"/>
                <w:b/>
                <w:sz w:val="24"/>
                <w:szCs w:val="24"/>
                <w:highlight w:val="none"/>
              </w:rPr>
            </w:pPr>
            <w:r>
              <w:rPr>
                <w:rFonts w:hint="eastAsia" w:ascii="仿宋" w:hAnsi="仿宋" w:eastAsia="仿宋" w:cs="仿宋"/>
                <w:sz w:val="24"/>
                <w:szCs w:val="24"/>
                <w:highlight w:val="none"/>
              </w:rPr>
              <w:t>谈判有效期：自谈判之日起</w:t>
            </w:r>
            <w:r>
              <w:rPr>
                <w:rFonts w:hint="eastAsia" w:ascii="仿宋" w:hAnsi="仿宋" w:eastAsia="仿宋" w:cs="仿宋"/>
                <w:sz w:val="24"/>
                <w:szCs w:val="24"/>
                <w:highlight w:val="none"/>
                <w:u w:val="single"/>
              </w:rPr>
              <w:t xml:space="preserve"> </w:t>
            </w:r>
            <w:r>
              <w:rPr>
                <w:rFonts w:hint="eastAsia" w:ascii="仿宋" w:hAnsi="仿宋" w:eastAsia="仿宋" w:cs="仿宋"/>
                <w:b/>
                <w:sz w:val="24"/>
                <w:szCs w:val="24"/>
                <w:highlight w:val="none"/>
                <w:u w:val="single"/>
              </w:rPr>
              <w:t xml:space="preserve">90 </w:t>
            </w:r>
            <w:r>
              <w:rPr>
                <w:rFonts w:hint="eastAsia" w:ascii="仿宋" w:hAnsi="仿宋" w:eastAsia="仿宋" w:cs="仿宋"/>
                <w:b/>
                <w:sz w:val="24"/>
                <w:szCs w:val="24"/>
                <w:highlight w:val="none"/>
              </w:rPr>
              <w:t>天</w:t>
            </w:r>
          </w:p>
        </w:tc>
      </w:tr>
      <w:tr w14:paraId="613FED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875" w:type="dxa"/>
            <w:vAlign w:val="center"/>
          </w:tcPr>
          <w:p w14:paraId="0FE6593B">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9</w:t>
            </w:r>
          </w:p>
        </w:tc>
        <w:tc>
          <w:tcPr>
            <w:tcW w:w="1076" w:type="dxa"/>
            <w:vAlign w:val="center"/>
          </w:tcPr>
          <w:p w14:paraId="2024C88F">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18</w:t>
            </w:r>
          </w:p>
        </w:tc>
        <w:tc>
          <w:tcPr>
            <w:tcW w:w="8190" w:type="dxa"/>
            <w:gridSpan w:val="2"/>
          </w:tcPr>
          <w:p w14:paraId="2DFD2510">
            <w:pPr>
              <w:spacing w:line="360" w:lineRule="auto"/>
              <w:ind w:left="567" w:hanging="567"/>
              <w:rPr>
                <w:rFonts w:ascii="仿宋" w:hAnsi="仿宋" w:eastAsia="仿宋"/>
                <w:sz w:val="24"/>
                <w:szCs w:val="24"/>
                <w:highlight w:val="none"/>
              </w:rPr>
            </w:pPr>
            <w:r>
              <w:rPr>
                <w:rFonts w:hint="eastAsia" w:ascii="仿宋" w:hAnsi="仿宋" w:eastAsia="仿宋"/>
                <w:sz w:val="24"/>
                <w:szCs w:val="24"/>
                <w:highlight w:val="none"/>
              </w:rPr>
              <w:t>响应文件的份数：正本1份、 副本</w:t>
            </w:r>
            <w:r>
              <w:rPr>
                <w:rFonts w:ascii="仿宋" w:hAnsi="仿宋" w:eastAsia="仿宋"/>
                <w:sz w:val="24"/>
                <w:szCs w:val="24"/>
                <w:highlight w:val="none"/>
              </w:rPr>
              <w:t>2</w:t>
            </w:r>
            <w:r>
              <w:rPr>
                <w:rFonts w:hint="eastAsia" w:ascii="仿宋" w:hAnsi="仿宋" w:eastAsia="仿宋"/>
                <w:sz w:val="24"/>
                <w:szCs w:val="24"/>
                <w:highlight w:val="none"/>
              </w:rPr>
              <w:t>份</w:t>
            </w:r>
          </w:p>
          <w:p w14:paraId="332CC1AB">
            <w:pPr>
              <w:spacing w:line="360" w:lineRule="auto"/>
              <w:rPr>
                <w:rFonts w:ascii="仿宋" w:hAnsi="仿宋" w:eastAsia="仿宋" w:cs="仿宋"/>
                <w:sz w:val="24"/>
                <w:szCs w:val="24"/>
                <w:highlight w:val="none"/>
              </w:rPr>
            </w:pPr>
            <w:r>
              <w:rPr>
                <w:rFonts w:hint="eastAsia" w:ascii="仿宋" w:hAnsi="仿宋" w:eastAsia="仿宋"/>
                <w:b/>
                <w:sz w:val="24"/>
                <w:szCs w:val="24"/>
                <w:highlight w:val="none"/>
              </w:rPr>
              <w:t>注：响应文件正、副本均须胶装</w:t>
            </w:r>
          </w:p>
        </w:tc>
      </w:tr>
      <w:tr w14:paraId="22A79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5" w:hRule="atLeast"/>
        </w:trPr>
        <w:tc>
          <w:tcPr>
            <w:tcW w:w="875" w:type="dxa"/>
            <w:vAlign w:val="center"/>
          </w:tcPr>
          <w:p w14:paraId="0E2A752F">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10</w:t>
            </w:r>
          </w:p>
        </w:tc>
        <w:tc>
          <w:tcPr>
            <w:tcW w:w="1076" w:type="dxa"/>
            <w:vAlign w:val="center"/>
          </w:tcPr>
          <w:p w14:paraId="3EFBE62D">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19</w:t>
            </w:r>
          </w:p>
        </w:tc>
        <w:tc>
          <w:tcPr>
            <w:tcW w:w="8190" w:type="dxa"/>
            <w:gridSpan w:val="2"/>
            <w:vAlign w:val="center"/>
          </w:tcPr>
          <w:p w14:paraId="587187C3">
            <w:pPr>
              <w:spacing w:line="360" w:lineRule="auto"/>
              <w:rPr>
                <w:rFonts w:ascii="仿宋" w:hAnsi="仿宋" w:eastAsia="仿宋" w:cs="仿宋"/>
                <w:sz w:val="24"/>
                <w:szCs w:val="24"/>
                <w:highlight w:val="none"/>
              </w:rPr>
            </w:pPr>
            <w:r>
              <w:rPr>
                <w:rFonts w:hint="eastAsia" w:ascii="仿宋" w:hAnsi="仿宋" w:eastAsia="仿宋" w:cs="仿宋"/>
                <w:sz w:val="24"/>
                <w:szCs w:val="24"/>
                <w:highlight w:val="none"/>
              </w:rPr>
              <w:t>响应文件递交截止时间：详见“第一章谈判邀请”</w:t>
            </w:r>
          </w:p>
          <w:p w14:paraId="787DB9AF">
            <w:pPr>
              <w:spacing w:line="360" w:lineRule="auto"/>
              <w:rPr>
                <w:rFonts w:ascii="仿宋" w:hAnsi="仿宋" w:eastAsia="仿宋" w:cs="仿宋"/>
                <w:sz w:val="24"/>
                <w:szCs w:val="24"/>
                <w:highlight w:val="none"/>
              </w:rPr>
            </w:pPr>
            <w:r>
              <w:rPr>
                <w:rFonts w:hint="eastAsia" w:ascii="仿宋" w:hAnsi="仿宋" w:eastAsia="仿宋" w:cs="仿宋"/>
                <w:sz w:val="24"/>
                <w:szCs w:val="24"/>
                <w:highlight w:val="none"/>
              </w:rPr>
              <w:t>谈判时间：详见“第一章谈判邀请”</w:t>
            </w:r>
          </w:p>
          <w:p w14:paraId="5E2A6C6B">
            <w:pPr>
              <w:spacing w:line="360" w:lineRule="auto"/>
              <w:jc w:val="left"/>
              <w:rPr>
                <w:rFonts w:ascii="仿宋" w:hAnsi="仿宋" w:eastAsia="仿宋" w:cs="仿宋"/>
                <w:sz w:val="24"/>
                <w:szCs w:val="24"/>
                <w:highlight w:val="none"/>
              </w:rPr>
            </w:pPr>
            <w:r>
              <w:rPr>
                <w:rFonts w:hint="eastAsia" w:ascii="仿宋" w:hAnsi="仿宋" w:eastAsia="仿宋" w:cs="仿宋"/>
                <w:sz w:val="24"/>
                <w:szCs w:val="24"/>
                <w:highlight w:val="none"/>
              </w:rPr>
              <w:t>谈判地点：详见“第一章谈判邀请”</w:t>
            </w:r>
          </w:p>
        </w:tc>
      </w:tr>
      <w:tr w14:paraId="52D05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trPr>
        <w:tc>
          <w:tcPr>
            <w:tcW w:w="875" w:type="dxa"/>
            <w:vAlign w:val="center"/>
          </w:tcPr>
          <w:p w14:paraId="362BCA25">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11</w:t>
            </w:r>
          </w:p>
        </w:tc>
        <w:tc>
          <w:tcPr>
            <w:tcW w:w="1076" w:type="dxa"/>
            <w:vAlign w:val="center"/>
          </w:tcPr>
          <w:p w14:paraId="3B716B44">
            <w:pPr>
              <w:spacing w:line="360" w:lineRule="auto"/>
              <w:jc w:val="center"/>
              <w:rPr>
                <w:rFonts w:ascii="仿宋" w:hAnsi="仿宋" w:eastAsia="仿宋" w:cs="仿宋"/>
                <w:dstrike/>
                <w:sz w:val="24"/>
                <w:szCs w:val="24"/>
                <w:highlight w:val="none"/>
              </w:rPr>
            </w:pPr>
            <w:r>
              <w:rPr>
                <w:rFonts w:hint="eastAsia" w:ascii="仿宋" w:hAnsi="仿宋" w:eastAsia="仿宋" w:cs="仿宋"/>
                <w:sz w:val="24"/>
                <w:szCs w:val="24"/>
                <w:highlight w:val="none"/>
              </w:rPr>
              <w:t>26</w:t>
            </w:r>
          </w:p>
        </w:tc>
        <w:tc>
          <w:tcPr>
            <w:tcW w:w="8190" w:type="dxa"/>
            <w:gridSpan w:val="2"/>
            <w:vAlign w:val="center"/>
          </w:tcPr>
          <w:p w14:paraId="26322640">
            <w:pPr>
              <w:pStyle w:val="16"/>
              <w:ind w:left="0" w:leftChars="0" w:firstLine="0" w:firstLineChars="0"/>
              <w:rPr>
                <w:rFonts w:hint="default" w:eastAsia="仿宋"/>
                <w:highlight w:val="none"/>
                <w:lang w:val="en-US" w:eastAsia="zh-CN"/>
              </w:rPr>
            </w:pPr>
            <w:r>
              <w:rPr>
                <w:rFonts w:hint="eastAsia" w:ascii="仿宋" w:hAnsi="仿宋" w:eastAsia="仿宋" w:cs="仿宋"/>
                <w:b/>
                <w:sz w:val="24"/>
                <w:szCs w:val="24"/>
                <w:highlight w:val="none"/>
                <w:lang w:val="en-US" w:eastAsia="zh-CN"/>
              </w:rPr>
              <w:t>标的所属行业：建筑业</w:t>
            </w:r>
          </w:p>
          <w:p w14:paraId="76223928">
            <w:pPr>
              <w:adjustRightInd w:val="0"/>
              <w:snapToGrid w:val="0"/>
              <w:spacing w:line="360" w:lineRule="auto"/>
              <w:rPr>
                <w:rFonts w:ascii="仿宋" w:hAnsi="仿宋" w:eastAsia="仿宋" w:cs="仿宋"/>
                <w:b/>
                <w:sz w:val="24"/>
                <w:szCs w:val="24"/>
                <w:highlight w:val="none"/>
                <w:lang w:val="en-GB"/>
              </w:rPr>
            </w:pPr>
            <w:r>
              <w:rPr>
                <w:rFonts w:hint="eastAsia" w:ascii="仿宋" w:hAnsi="仿宋" w:eastAsia="仿宋" w:cs="仿宋"/>
                <w:b/>
                <w:sz w:val="24"/>
                <w:szCs w:val="24"/>
                <w:highlight w:val="none"/>
                <w:lang w:val="en-GB"/>
              </w:rPr>
              <w:t>成交标准：</w:t>
            </w:r>
          </w:p>
          <w:p w14:paraId="1BAF0F52">
            <w:pPr>
              <w:adjustRightInd w:val="0"/>
              <w:snapToGrid w:val="0"/>
              <w:spacing w:line="360" w:lineRule="auto"/>
              <w:ind w:firstLine="482" w:firstLineChars="200"/>
              <w:rPr>
                <w:rFonts w:ascii="仿宋" w:hAnsi="仿宋" w:eastAsia="仿宋" w:cs="仿宋"/>
                <w:dstrike/>
                <w:sz w:val="24"/>
                <w:szCs w:val="24"/>
                <w:highlight w:val="none"/>
              </w:rPr>
            </w:pPr>
            <w:r>
              <w:rPr>
                <w:rFonts w:hint="eastAsia" w:ascii="仿宋" w:hAnsi="仿宋" w:eastAsia="仿宋" w:cs="仿宋"/>
                <w:b/>
                <w:sz w:val="24"/>
                <w:szCs w:val="24"/>
                <w:highlight w:val="none"/>
                <w:lang w:val="en-GB"/>
              </w:rPr>
              <w:t>根据质量和服务均能满足竞争性谈判文件实质性响应要求且最后报价最低的原则确定成交供应商。</w:t>
            </w:r>
          </w:p>
        </w:tc>
      </w:tr>
      <w:tr w14:paraId="753FC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875" w:type="dxa"/>
            <w:vAlign w:val="center"/>
          </w:tcPr>
          <w:p w14:paraId="4B9B438B">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12</w:t>
            </w:r>
          </w:p>
        </w:tc>
        <w:tc>
          <w:tcPr>
            <w:tcW w:w="1076" w:type="dxa"/>
            <w:vAlign w:val="center"/>
          </w:tcPr>
          <w:p w14:paraId="162C4B1D">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33</w:t>
            </w:r>
          </w:p>
        </w:tc>
        <w:tc>
          <w:tcPr>
            <w:tcW w:w="8190" w:type="dxa"/>
            <w:gridSpan w:val="2"/>
            <w:vAlign w:val="center"/>
          </w:tcPr>
          <w:p w14:paraId="6F89FD7B">
            <w:pPr>
              <w:spacing w:line="360" w:lineRule="auto"/>
              <w:rPr>
                <w:rFonts w:ascii="仿宋" w:hAnsi="仿宋" w:eastAsia="仿宋" w:cs="仿宋"/>
                <w:sz w:val="24"/>
                <w:szCs w:val="24"/>
                <w:highlight w:val="none"/>
              </w:rPr>
            </w:pPr>
            <w:r>
              <w:rPr>
                <w:rFonts w:hint="eastAsia" w:ascii="仿宋" w:hAnsi="仿宋" w:eastAsia="仿宋" w:cs="仿宋"/>
                <w:b/>
                <w:bCs/>
                <w:sz w:val="24"/>
                <w:szCs w:val="24"/>
                <w:highlight w:val="none"/>
              </w:rPr>
              <w:t>33.1履约保证金金额：</w:t>
            </w:r>
            <w:r>
              <w:rPr>
                <w:rFonts w:hint="eastAsia" w:ascii="仿宋" w:hAnsi="仿宋" w:eastAsia="仿宋" w:cs="仿宋"/>
                <w:bCs/>
                <w:sz w:val="24"/>
                <w:szCs w:val="24"/>
                <w:highlight w:val="none"/>
              </w:rPr>
              <w:t>合同金额的10%，在签订合同前将履约保证金一次性转入招标人指定账户，供货安装完成并验收合格后，中标人进行申请，7个工作日后一次性无息返还履约保证金。</w:t>
            </w:r>
          </w:p>
        </w:tc>
      </w:tr>
      <w:tr w14:paraId="2462A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875" w:type="dxa"/>
            <w:vMerge w:val="restart"/>
            <w:vAlign w:val="center"/>
          </w:tcPr>
          <w:p w14:paraId="43ABFCC9">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13</w:t>
            </w:r>
          </w:p>
        </w:tc>
        <w:tc>
          <w:tcPr>
            <w:tcW w:w="1076" w:type="dxa"/>
            <w:vMerge w:val="restart"/>
            <w:vAlign w:val="center"/>
          </w:tcPr>
          <w:p w14:paraId="4D8480FD">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37</w:t>
            </w:r>
          </w:p>
        </w:tc>
        <w:tc>
          <w:tcPr>
            <w:tcW w:w="8190" w:type="dxa"/>
            <w:gridSpan w:val="2"/>
            <w:vAlign w:val="center"/>
          </w:tcPr>
          <w:p w14:paraId="37DCB577">
            <w:pPr>
              <w:spacing w:line="360" w:lineRule="auto"/>
              <w:ind w:left="1"/>
              <w:rPr>
                <w:rFonts w:ascii="仿宋" w:hAnsi="仿宋" w:eastAsia="仿宋" w:cs="仿宋"/>
                <w:b/>
                <w:sz w:val="24"/>
                <w:szCs w:val="24"/>
                <w:highlight w:val="none"/>
              </w:rPr>
            </w:pPr>
            <w:r>
              <w:rPr>
                <w:rFonts w:hint="eastAsia" w:ascii="仿宋" w:hAnsi="仿宋" w:eastAsia="仿宋" w:cs="仿宋"/>
                <w:sz w:val="24"/>
                <w:szCs w:val="24"/>
                <w:highlight w:val="none"/>
              </w:rPr>
              <w:t>采购代理服务费：</w:t>
            </w:r>
            <w:r>
              <w:rPr>
                <w:rFonts w:hint="eastAsia" w:ascii="仿宋" w:hAnsi="仿宋" w:eastAsia="仿宋" w:cs="仿宋"/>
                <w:b/>
                <w:sz w:val="24"/>
                <w:szCs w:val="24"/>
                <w:highlight w:val="none"/>
              </w:rPr>
              <w:t>向中标人收取代理服务费。采购代理服务费按差额定率累进法计算收取，收费标准如下表所列：</w:t>
            </w:r>
          </w:p>
          <w:p w14:paraId="213197F7">
            <w:pPr>
              <w:spacing w:line="360" w:lineRule="auto"/>
              <w:rPr>
                <w:rFonts w:ascii="仿宋" w:hAnsi="仿宋" w:eastAsia="仿宋" w:cs="仿宋"/>
                <w:sz w:val="24"/>
                <w:szCs w:val="24"/>
                <w:highlight w:val="none"/>
              </w:rPr>
            </w:pPr>
            <w:r>
              <w:rPr>
                <w:rFonts w:hint="eastAsia" w:ascii="仿宋" w:hAnsi="仿宋" w:eastAsia="仿宋" w:cs="仿宋"/>
                <w:b/>
                <w:sz w:val="24"/>
                <w:szCs w:val="24"/>
                <w:highlight w:val="none"/>
              </w:rPr>
              <w:t>收费标准＝(中标金额×收费费率)</w:t>
            </w:r>
          </w:p>
        </w:tc>
      </w:tr>
      <w:tr w14:paraId="5BDA5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875" w:type="dxa"/>
            <w:vMerge w:val="continue"/>
            <w:vAlign w:val="center"/>
          </w:tcPr>
          <w:p w14:paraId="4DB12337">
            <w:pPr>
              <w:spacing w:line="360" w:lineRule="auto"/>
              <w:rPr>
                <w:rFonts w:ascii="仿宋" w:hAnsi="仿宋" w:eastAsia="仿宋"/>
                <w:highlight w:val="none"/>
              </w:rPr>
            </w:pPr>
          </w:p>
        </w:tc>
        <w:tc>
          <w:tcPr>
            <w:tcW w:w="1076" w:type="dxa"/>
            <w:vMerge w:val="continue"/>
            <w:vAlign w:val="center"/>
          </w:tcPr>
          <w:p w14:paraId="4AE0F0C1">
            <w:pPr>
              <w:spacing w:line="360" w:lineRule="auto"/>
              <w:rPr>
                <w:rFonts w:ascii="仿宋" w:hAnsi="仿宋" w:eastAsia="仿宋"/>
                <w:highlight w:val="none"/>
              </w:rPr>
            </w:pPr>
          </w:p>
        </w:tc>
        <w:tc>
          <w:tcPr>
            <w:tcW w:w="4211" w:type="dxa"/>
            <w:vAlign w:val="center"/>
          </w:tcPr>
          <w:p w14:paraId="45EE1117">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中标金额（万元）</w:t>
            </w:r>
          </w:p>
        </w:tc>
        <w:tc>
          <w:tcPr>
            <w:tcW w:w="3979" w:type="dxa"/>
            <w:vAlign w:val="center"/>
          </w:tcPr>
          <w:p w14:paraId="51FCCA86">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货物招标收费费率</w:t>
            </w:r>
          </w:p>
        </w:tc>
      </w:tr>
      <w:tr w14:paraId="3D2CC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875" w:type="dxa"/>
            <w:vMerge w:val="continue"/>
            <w:vAlign w:val="center"/>
          </w:tcPr>
          <w:p w14:paraId="0A562370">
            <w:pPr>
              <w:spacing w:line="360" w:lineRule="auto"/>
              <w:rPr>
                <w:rFonts w:ascii="仿宋" w:hAnsi="仿宋" w:eastAsia="仿宋"/>
                <w:highlight w:val="none"/>
              </w:rPr>
            </w:pPr>
          </w:p>
        </w:tc>
        <w:tc>
          <w:tcPr>
            <w:tcW w:w="1076" w:type="dxa"/>
            <w:vMerge w:val="continue"/>
            <w:vAlign w:val="center"/>
          </w:tcPr>
          <w:p w14:paraId="3A9D34B3">
            <w:pPr>
              <w:spacing w:line="360" w:lineRule="auto"/>
              <w:rPr>
                <w:rFonts w:ascii="仿宋" w:hAnsi="仿宋" w:eastAsia="仿宋"/>
                <w:highlight w:val="none"/>
              </w:rPr>
            </w:pPr>
          </w:p>
        </w:tc>
        <w:tc>
          <w:tcPr>
            <w:tcW w:w="4211" w:type="dxa"/>
            <w:vAlign w:val="center"/>
          </w:tcPr>
          <w:p w14:paraId="00D50C1D">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100以下</w:t>
            </w:r>
          </w:p>
        </w:tc>
        <w:tc>
          <w:tcPr>
            <w:tcW w:w="3979" w:type="dxa"/>
            <w:vAlign w:val="center"/>
          </w:tcPr>
          <w:p w14:paraId="6BA19C42">
            <w:pPr>
              <w:spacing w:line="360" w:lineRule="auto"/>
              <w:jc w:val="center"/>
              <w:rPr>
                <w:rFonts w:ascii="仿宋" w:hAnsi="仿宋" w:eastAsia="仿宋" w:cs="仿宋"/>
                <w:sz w:val="24"/>
                <w:szCs w:val="24"/>
                <w:highlight w:val="none"/>
              </w:rPr>
            </w:pPr>
            <w:r>
              <w:rPr>
                <w:rFonts w:hint="eastAsia" w:ascii="仿宋" w:hAnsi="仿宋" w:eastAsia="仿宋" w:cs="仿宋"/>
                <w:sz w:val="24"/>
                <w:szCs w:val="24"/>
                <w:highlight w:val="none"/>
              </w:rPr>
              <w:t>1.5%</w:t>
            </w:r>
          </w:p>
        </w:tc>
      </w:tr>
      <w:tr w14:paraId="7A614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6" w:hRule="atLeast"/>
        </w:trPr>
        <w:tc>
          <w:tcPr>
            <w:tcW w:w="1951" w:type="dxa"/>
            <w:gridSpan w:val="2"/>
            <w:vAlign w:val="center"/>
          </w:tcPr>
          <w:p w14:paraId="5CDE5453">
            <w:pPr>
              <w:spacing w:line="360" w:lineRule="auto"/>
              <w:jc w:val="center"/>
              <w:rPr>
                <w:rFonts w:hint="default" w:ascii="仿宋" w:hAnsi="仿宋" w:eastAsia="仿宋"/>
                <w:highlight w:val="none"/>
                <w:lang w:val="en-US" w:eastAsia="zh-CN"/>
              </w:rPr>
            </w:pPr>
            <w:r>
              <w:rPr>
                <w:rFonts w:hint="eastAsia" w:ascii="仿宋" w:hAnsi="仿宋" w:eastAsia="仿宋"/>
                <w:highlight w:val="none"/>
                <w:lang w:val="en-US" w:eastAsia="zh-CN"/>
              </w:rPr>
              <w:t>14</w:t>
            </w:r>
          </w:p>
        </w:tc>
        <w:tc>
          <w:tcPr>
            <w:tcW w:w="8190" w:type="dxa"/>
            <w:gridSpan w:val="2"/>
            <w:vAlign w:val="center"/>
          </w:tcPr>
          <w:p w14:paraId="69BF99D6">
            <w:pPr>
              <w:spacing w:line="360" w:lineRule="auto"/>
              <w:jc w:val="both"/>
              <w:rPr>
                <w:rFonts w:hint="eastAsia" w:ascii="仿宋" w:hAnsi="仿宋" w:eastAsia="仿宋" w:cs="仿宋"/>
                <w:b/>
                <w:bCs/>
                <w:sz w:val="24"/>
                <w:szCs w:val="24"/>
                <w:highlight w:val="none"/>
                <w:lang w:val="en-US" w:eastAsia="zh-CN"/>
              </w:rPr>
            </w:pPr>
            <w:r>
              <w:rPr>
                <w:rFonts w:hint="eastAsia" w:ascii="仿宋" w:hAnsi="仿宋" w:eastAsia="仿宋" w:cs="仿宋"/>
                <w:b/>
                <w:bCs/>
                <w:sz w:val="24"/>
                <w:szCs w:val="24"/>
                <w:highlight w:val="none"/>
                <w:lang w:val="en-US" w:eastAsia="zh-CN"/>
              </w:rPr>
              <w:t>其它说明：本项目采用下浮率的报价方式，无需对本文件采购需求中的工程量清单进行报价，所附清单供投标人报价参考。</w:t>
            </w:r>
          </w:p>
          <w:p w14:paraId="4B486582">
            <w:pPr>
              <w:spacing w:line="360" w:lineRule="auto"/>
              <w:jc w:val="both"/>
              <w:rPr>
                <w:rFonts w:hint="default" w:ascii="仿宋" w:hAnsi="仿宋" w:eastAsia="仿宋" w:cs="仿宋"/>
                <w:b/>
                <w:bCs/>
                <w:sz w:val="24"/>
                <w:szCs w:val="24"/>
                <w:highlight w:val="none"/>
                <w:lang w:val="en-US" w:eastAsia="zh-CN"/>
              </w:rPr>
            </w:pPr>
            <w:r>
              <w:rPr>
                <w:rFonts w:hint="eastAsia" w:ascii="仿宋" w:hAnsi="仿宋" w:eastAsia="仿宋" w:cs="仿宋"/>
                <w:b/>
                <w:bCs/>
                <w:sz w:val="24"/>
                <w:szCs w:val="24"/>
                <w:highlight w:val="none"/>
                <w:lang w:val="en-US" w:eastAsia="zh-CN"/>
              </w:rPr>
              <w:t>有效报价：下浮率（10%</w:t>
            </w:r>
            <w:r>
              <w:rPr>
                <w:rFonts w:hint="eastAsia" w:ascii="微软雅黑" w:hAnsi="微软雅黑" w:eastAsia="微软雅黑" w:cs="微软雅黑"/>
                <w:b/>
                <w:bCs/>
                <w:sz w:val="24"/>
                <w:szCs w:val="24"/>
                <w:highlight w:val="none"/>
                <w:lang w:val="en-US" w:eastAsia="zh-CN"/>
              </w:rPr>
              <w:t>~</w:t>
            </w:r>
            <w:r>
              <w:rPr>
                <w:rFonts w:hint="eastAsia" w:ascii="仿宋" w:hAnsi="仿宋" w:eastAsia="仿宋" w:cs="仿宋"/>
                <w:b/>
                <w:bCs/>
                <w:sz w:val="24"/>
                <w:szCs w:val="24"/>
                <w:highlight w:val="none"/>
                <w:lang w:val="en-US" w:eastAsia="zh-CN"/>
              </w:rPr>
              <w:t>100%）为有效报价，即以预算金额为基数，最低让利不得低于预算金额的10%（即不得高于预算金额的90%），实际结算价以中标单位投标下浮率*最终财审价。</w:t>
            </w:r>
          </w:p>
        </w:tc>
      </w:tr>
    </w:tbl>
    <w:p w14:paraId="56A6B4AC">
      <w:pPr>
        <w:widowControl/>
        <w:jc w:val="left"/>
        <w:rPr>
          <w:rFonts w:ascii="仿宋" w:hAnsi="仿宋" w:eastAsia="仿宋" w:cs="仿宋"/>
          <w:b/>
          <w:bCs/>
          <w:sz w:val="24"/>
          <w:szCs w:val="32"/>
          <w:highlight w:val="none"/>
        </w:rPr>
      </w:pPr>
    </w:p>
    <w:p w14:paraId="298B850F">
      <w:pPr>
        <w:pStyle w:val="42"/>
        <w:spacing w:before="240"/>
        <w:rPr>
          <w:highlight w:val="none"/>
        </w:rPr>
      </w:pPr>
    </w:p>
    <w:p w14:paraId="1D47959E">
      <w:pPr>
        <w:rPr>
          <w:highlight w:val="none"/>
        </w:rPr>
      </w:pPr>
      <w:r>
        <w:rPr>
          <w:highlight w:val="none"/>
        </w:rPr>
        <w:br w:type="page"/>
      </w:r>
    </w:p>
    <w:p w14:paraId="5E7340E9">
      <w:pPr>
        <w:pStyle w:val="42"/>
        <w:spacing w:before="240"/>
        <w:rPr>
          <w:rFonts w:hint="default"/>
          <w:highlight w:val="none"/>
        </w:rPr>
      </w:pPr>
      <w:bookmarkStart w:id="33" w:name="_Toc11301"/>
      <w:r>
        <w:rPr>
          <w:highlight w:val="none"/>
        </w:rPr>
        <w:t>二、说明</w:t>
      </w:r>
      <w:bookmarkEnd w:id="33"/>
    </w:p>
    <w:p w14:paraId="6B0E1C4C">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1. 适用范围</w:t>
      </w:r>
    </w:p>
    <w:p w14:paraId="4C2C0A8A">
      <w:pPr>
        <w:pStyle w:val="45"/>
        <w:rPr>
          <w:rFonts w:hint="default"/>
          <w:highlight w:val="none"/>
        </w:rPr>
      </w:pPr>
      <w:r>
        <w:rPr>
          <w:highlight w:val="none"/>
        </w:rPr>
        <w:t>本谈判文件仅适用于本“谈判邀请”中所述货物和有关服务的采购。</w:t>
      </w:r>
    </w:p>
    <w:p w14:paraId="0C004940">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2. 定义</w:t>
      </w:r>
    </w:p>
    <w:p w14:paraId="479A9C11">
      <w:pPr>
        <w:pStyle w:val="45"/>
        <w:rPr>
          <w:rFonts w:hint="default"/>
          <w:highlight w:val="none"/>
        </w:rPr>
      </w:pPr>
      <w:r>
        <w:rPr>
          <w:highlight w:val="none"/>
        </w:rPr>
        <w:t>2.1采购人：详见“供应商须知前附表”</w:t>
      </w:r>
    </w:p>
    <w:p w14:paraId="7D4E9F5E">
      <w:pPr>
        <w:pStyle w:val="45"/>
        <w:rPr>
          <w:rFonts w:hint="eastAsia" w:eastAsia="仿宋"/>
          <w:highlight w:val="none"/>
          <w:lang w:eastAsia="zh-CN"/>
        </w:rPr>
      </w:pPr>
      <w:r>
        <w:rPr>
          <w:highlight w:val="none"/>
        </w:rPr>
        <w:t>2.2采购代理机构：</w:t>
      </w:r>
      <w:r>
        <w:rPr>
          <w:rFonts w:hint="eastAsia"/>
          <w:highlight w:val="none"/>
          <w:lang w:eastAsia="zh-CN"/>
        </w:rPr>
        <w:t>江西中铖工程管理有限公司</w:t>
      </w:r>
    </w:p>
    <w:p w14:paraId="41A21F16">
      <w:pPr>
        <w:pStyle w:val="45"/>
        <w:rPr>
          <w:rFonts w:hint="default"/>
          <w:highlight w:val="none"/>
        </w:rPr>
      </w:pPr>
      <w:r>
        <w:rPr>
          <w:highlight w:val="none"/>
        </w:rPr>
        <w:t>2.3供应商：是指向采购人提供“谈判邀请”中采购内容的法人、其它组织或者自然人。</w:t>
      </w:r>
    </w:p>
    <w:p w14:paraId="07B4A23C">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3. 合格供应商</w:t>
      </w:r>
    </w:p>
    <w:p w14:paraId="5E4A4244">
      <w:pPr>
        <w:pStyle w:val="45"/>
        <w:rPr>
          <w:rFonts w:hint="default"/>
          <w:highlight w:val="none"/>
        </w:rPr>
      </w:pPr>
      <w:r>
        <w:rPr>
          <w:highlight w:val="none"/>
        </w:rPr>
        <w:t>3.1供应商的资格条件：详见“谈判邀请”</w:t>
      </w:r>
    </w:p>
    <w:p w14:paraId="485A1084">
      <w:pPr>
        <w:pStyle w:val="45"/>
        <w:rPr>
          <w:rFonts w:hint="default"/>
          <w:highlight w:val="none"/>
        </w:rPr>
      </w:pPr>
      <w:r>
        <w:rPr>
          <w:highlight w:val="none"/>
        </w:rPr>
        <w:t>3.2 联合体参加谈判</w:t>
      </w:r>
    </w:p>
    <w:p w14:paraId="15B56808">
      <w:pPr>
        <w:pStyle w:val="45"/>
        <w:rPr>
          <w:rFonts w:hint="default"/>
          <w:highlight w:val="none"/>
        </w:rPr>
      </w:pPr>
      <w:r>
        <w:rPr>
          <w:highlight w:val="none"/>
        </w:rPr>
        <w:t>3.2.1是否接受联合体参加谈判：详见“谈判邀请”</w:t>
      </w:r>
    </w:p>
    <w:p w14:paraId="65C48FBD">
      <w:pPr>
        <w:pStyle w:val="45"/>
        <w:rPr>
          <w:rFonts w:hint="default"/>
          <w:highlight w:val="none"/>
        </w:rPr>
      </w:pPr>
      <w:r>
        <w:rPr>
          <w:highlight w:val="none"/>
        </w:rPr>
        <w:t>3.2.3联合体各方均应当满足相应的资格条件，项目中有特定资质要求的，联合体当中承担此项工作的供应商必须具备相应的资质。</w:t>
      </w:r>
    </w:p>
    <w:p w14:paraId="2EF2509E">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4. 谈判费用</w:t>
      </w:r>
    </w:p>
    <w:p w14:paraId="316F056B">
      <w:pPr>
        <w:pStyle w:val="45"/>
        <w:rPr>
          <w:rFonts w:hint="default"/>
          <w:highlight w:val="none"/>
        </w:rPr>
      </w:pPr>
      <w:r>
        <w:rPr>
          <w:highlight w:val="none"/>
        </w:rPr>
        <w:t>不论谈判的结果如何，供应商应自行承担所有与准备和参加谈判有关的全部费用。采购代理机构在任何情况下均无义务和责任承担这些费用。</w:t>
      </w:r>
    </w:p>
    <w:p w14:paraId="7817DA18">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5. 供应商代表</w:t>
      </w:r>
    </w:p>
    <w:p w14:paraId="7F7F43EF">
      <w:pPr>
        <w:pStyle w:val="45"/>
        <w:rPr>
          <w:rFonts w:hint="default"/>
          <w:highlight w:val="none"/>
        </w:rPr>
      </w:pPr>
      <w:r>
        <w:rPr>
          <w:highlight w:val="none"/>
        </w:rPr>
        <w:t>指全权代表供应商参加谈判活动并签署响应文件的人。如果供应商代表不是法定代表人，须持有《法定代表人授权书》（格式详见“第四章响应文件格式”）。</w:t>
      </w:r>
    </w:p>
    <w:p w14:paraId="50AECC1B">
      <w:pPr>
        <w:pStyle w:val="42"/>
        <w:spacing w:before="240"/>
        <w:rPr>
          <w:rFonts w:hint="default"/>
          <w:highlight w:val="none"/>
        </w:rPr>
      </w:pPr>
      <w:bookmarkStart w:id="34" w:name="_Toc3648"/>
      <w:r>
        <w:rPr>
          <w:highlight w:val="none"/>
        </w:rPr>
        <w:t>三、谈判文件</w:t>
      </w:r>
      <w:bookmarkEnd w:id="34"/>
    </w:p>
    <w:p w14:paraId="2BAF45C7">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6. 谈判文件构成</w:t>
      </w:r>
    </w:p>
    <w:p w14:paraId="5194803D">
      <w:pPr>
        <w:pStyle w:val="45"/>
        <w:rPr>
          <w:rFonts w:hint="default"/>
          <w:highlight w:val="none"/>
        </w:rPr>
      </w:pPr>
      <w:r>
        <w:rPr>
          <w:highlight w:val="none"/>
        </w:rPr>
        <w:t>6.1 要求提供的工程和有关服务、谈判过程和合同条款在谈判文件中均有说明。谈判文件共五章，各章的内容如下：</w:t>
      </w:r>
    </w:p>
    <w:p w14:paraId="72F88B7E">
      <w:pPr>
        <w:pStyle w:val="45"/>
        <w:rPr>
          <w:rFonts w:hint="default"/>
          <w:highlight w:val="none"/>
        </w:rPr>
      </w:pPr>
      <w:r>
        <w:rPr>
          <w:highlight w:val="none"/>
        </w:rPr>
        <w:t>第一章 谈判邀请</w:t>
      </w:r>
    </w:p>
    <w:p w14:paraId="6F301332">
      <w:pPr>
        <w:pStyle w:val="45"/>
        <w:rPr>
          <w:rFonts w:hint="default"/>
          <w:highlight w:val="none"/>
        </w:rPr>
      </w:pPr>
      <w:r>
        <w:rPr>
          <w:highlight w:val="none"/>
        </w:rPr>
        <w:t>第二章 供应商须知</w:t>
      </w:r>
    </w:p>
    <w:p w14:paraId="32295924">
      <w:pPr>
        <w:pStyle w:val="45"/>
        <w:rPr>
          <w:rFonts w:hint="default"/>
          <w:highlight w:val="none"/>
        </w:rPr>
      </w:pPr>
      <w:r>
        <w:rPr>
          <w:highlight w:val="none"/>
        </w:rPr>
        <w:t>第三章 拟签订的合同文本</w:t>
      </w:r>
    </w:p>
    <w:p w14:paraId="62965843">
      <w:pPr>
        <w:pStyle w:val="45"/>
        <w:rPr>
          <w:rFonts w:hint="default"/>
          <w:highlight w:val="none"/>
        </w:rPr>
      </w:pPr>
      <w:r>
        <w:rPr>
          <w:highlight w:val="none"/>
        </w:rPr>
        <w:t>第四章 响应文件格式</w:t>
      </w:r>
    </w:p>
    <w:p w14:paraId="000BCFAA">
      <w:pPr>
        <w:pStyle w:val="45"/>
        <w:rPr>
          <w:rFonts w:hint="default"/>
          <w:highlight w:val="none"/>
        </w:rPr>
      </w:pPr>
      <w:r>
        <w:rPr>
          <w:highlight w:val="none"/>
        </w:rPr>
        <w:t>第五章 采购需求一览表及采购要求</w:t>
      </w:r>
    </w:p>
    <w:p w14:paraId="15709502">
      <w:pPr>
        <w:pStyle w:val="45"/>
        <w:rPr>
          <w:rFonts w:hint="default"/>
          <w:highlight w:val="none"/>
        </w:rPr>
      </w:pPr>
      <w:r>
        <w:rPr>
          <w:highlight w:val="none"/>
        </w:rPr>
        <w:t>6.2 除非有特殊要求，谈判文件不单独提供谈判项目的自然环境、气候条件、公用设施等情况，供应商被视为熟悉上述与履行合同有关的一切情况。</w:t>
      </w:r>
    </w:p>
    <w:p w14:paraId="3E1240DF">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7. 谈判文件的澄清和修改</w:t>
      </w:r>
    </w:p>
    <w:p w14:paraId="36A829BF">
      <w:pPr>
        <w:pStyle w:val="45"/>
        <w:rPr>
          <w:rFonts w:hint="default"/>
          <w:highlight w:val="none"/>
        </w:rPr>
      </w:pPr>
      <w:r>
        <w:rPr>
          <w:highlight w:val="none"/>
        </w:rPr>
        <w:t>7.1 提交首次响应文件截止时间前的任何时候，采购代理机构可以对已发出的谈判文件进行必要的澄清或者修改，澄清或者修改的内容作为谈判文件的组成部分。</w:t>
      </w:r>
    </w:p>
    <w:p w14:paraId="6E861E8D">
      <w:pPr>
        <w:pStyle w:val="45"/>
        <w:rPr>
          <w:rFonts w:hint="default"/>
          <w:highlight w:val="none"/>
        </w:rPr>
      </w:pPr>
      <w:r>
        <w:rPr>
          <w:highlight w:val="none"/>
        </w:rPr>
        <w:t>7.2澄清或者修改的内容可能影响响应文件编制的，采购代理机构应当在提交首次响应文件截止之日3个工作日前，在东乡区人民政府网（公共资源交易）</w:t>
      </w:r>
      <w:r>
        <w:rPr>
          <w:rFonts w:hint="eastAsia"/>
          <w:highlight w:val="none"/>
          <w:lang w:eastAsia="zh-CN"/>
        </w:rPr>
        <w:t>、</w:t>
      </w:r>
      <w:r>
        <w:rPr>
          <w:rFonts w:hint="eastAsia" w:ascii="仿宋" w:hAnsi="仿宋" w:eastAsia="仿宋" w:cs="仿宋"/>
          <w:sz w:val="24"/>
          <w:szCs w:val="24"/>
          <w:highlight w:val="none"/>
          <w:lang w:val="en-US" w:eastAsia="zh-CN"/>
        </w:rPr>
        <w:t>东乡区公共资源交易中心、</w:t>
      </w:r>
      <w:r>
        <w:rPr>
          <w:rFonts w:hint="eastAsia" w:ascii="仿宋" w:hAnsi="仿宋" w:eastAsia="仿宋" w:cs="仿宋"/>
          <w:sz w:val="24"/>
          <w:szCs w:val="24"/>
          <w:highlight w:val="none"/>
          <w:lang w:eastAsia="zh-CN"/>
        </w:rPr>
        <w:t>抚州市东乡区工业与科技创新投资集团有限公司</w:t>
      </w:r>
      <w:r>
        <w:rPr>
          <w:rFonts w:hint="eastAsia" w:ascii="仿宋" w:hAnsi="仿宋" w:eastAsia="仿宋" w:cs="仿宋"/>
          <w:sz w:val="24"/>
          <w:szCs w:val="24"/>
          <w:highlight w:val="none"/>
        </w:rPr>
        <w:t>官网</w:t>
      </w:r>
      <w:r>
        <w:rPr>
          <w:highlight w:val="none"/>
        </w:rPr>
        <w:t>发布更正公告，上传答疑澄清文件。不足3个工作日的，应当顺延提交首次响应文件截止之日。</w:t>
      </w:r>
    </w:p>
    <w:p w14:paraId="04824BD1">
      <w:pPr>
        <w:pStyle w:val="45"/>
        <w:rPr>
          <w:rFonts w:hint="default"/>
          <w:highlight w:val="none"/>
        </w:rPr>
      </w:pPr>
      <w:r>
        <w:rPr>
          <w:highlight w:val="none"/>
        </w:rPr>
        <w:t>7.3已下载谈判文件的供应商必须在东乡区人民政府网（公共资源交易）</w:t>
      </w:r>
      <w:r>
        <w:rPr>
          <w:rFonts w:hint="eastAsia"/>
          <w:highlight w:val="none"/>
          <w:lang w:eastAsia="zh-CN"/>
        </w:rPr>
        <w:t>、</w:t>
      </w:r>
      <w:r>
        <w:rPr>
          <w:rFonts w:hint="eastAsia" w:ascii="仿宋" w:hAnsi="仿宋" w:eastAsia="仿宋" w:cs="仿宋"/>
          <w:sz w:val="24"/>
          <w:szCs w:val="24"/>
          <w:highlight w:val="none"/>
          <w:lang w:val="en-US" w:eastAsia="zh-CN"/>
        </w:rPr>
        <w:t>东乡区公共资源交易中心、</w:t>
      </w:r>
      <w:r>
        <w:rPr>
          <w:rFonts w:hint="eastAsia" w:ascii="仿宋" w:hAnsi="仿宋" w:eastAsia="仿宋" w:cs="仿宋"/>
          <w:sz w:val="24"/>
          <w:szCs w:val="24"/>
          <w:highlight w:val="none"/>
          <w:lang w:eastAsia="zh-CN"/>
        </w:rPr>
        <w:t>抚州市东乡区工业与科技创新投资集团有限公司</w:t>
      </w:r>
      <w:r>
        <w:rPr>
          <w:rFonts w:hint="eastAsia" w:ascii="仿宋" w:hAnsi="仿宋" w:eastAsia="仿宋" w:cs="仿宋"/>
          <w:sz w:val="24"/>
          <w:szCs w:val="24"/>
          <w:highlight w:val="none"/>
        </w:rPr>
        <w:t>官网</w:t>
      </w:r>
      <w:r>
        <w:rPr>
          <w:highlight w:val="none"/>
        </w:rPr>
        <w:t>下载答疑澄清文件。供应商因未下载答疑澄清文件、由此可能引起的响应文件递交失败、解密失败、内容缺失等相关后果由供应商自行承担。</w:t>
      </w:r>
    </w:p>
    <w:p w14:paraId="7C5B97ED">
      <w:pPr>
        <w:spacing w:line="360" w:lineRule="auto"/>
        <w:rPr>
          <w:rFonts w:ascii="仿宋" w:hAnsi="仿宋" w:eastAsia="仿宋" w:cs="仿宋"/>
          <w:b/>
          <w:sz w:val="24"/>
          <w:szCs w:val="24"/>
          <w:highlight w:val="none"/>
        </w:rPr>
      </w:pPr>
      <w:bookmarkStart w:id="35" w:name="_Toc499477410"/>
      <w:bookmarkStart w:id="36" w:name="_Toc495487710"/>
      <w:bookmarkStart w:id="37" w:name="_Toc501101639"/>
      <w:r>
        <w:rPr>
          <w:rFonts w:hint="eastAsia" w:ascii="仿宋" w:hAnsi="仿宋" w:eastAsia="仿宋" w:cs="仿宋"/>
          <w:b/>
          <w:sz w:val="24"/>
          <w:szCs w:val="24"/>
          <w:highlight w:val="none"/>
        </w:rPr>
        <w:t>8.供应商应当提交的资格、资信证明文件</w:t>
      </w:r>
      <w:bookmarkEnd w:id="35"/>
      <w:bookmarkEnd w:id="36"/>
      <w:bookmarkEnd w:id="37"/>
    </w:p>
    <w:p w14:paraId="0022A260">
      <w:pPr>
        <w:pStyle w:val="45"/>
        <w:rPr>
          <w:highlight w:val="none"/>
        </w:rPr>
      </w:pPr>
      <w:r>
        <w:rPr>
          <w:highlight w:val="none"/>
        </w:rPr>
        <w:t>8.1</w:t>
      </w:r>
      <w:r>
        <w:rPr>
          <w:rFonts w:hint="eastAsia"/>
          <w:highlight w:val="none"/>
        </w:rPr>
        <w:t>江西省政府采购供应商资格信用承诺函</w:t>
      </w:r>
    </w:p>
    <w:p w14:paraId="5BF5B3A1">
      <w:pPr>
        <w:pStyle w:val="45"/>
        <w:rPr>
          <w:rFonts w:hint="default"/>
          <w:highlight w:val="none"/>
        </w:rPr>
      </w:pPr>
      <w:r>
        <w:rPr>
          <w:highlight w:val="none"/>
        </w:rPr>
        <w:t>8.2具有独立承担民事责任的能力的资格证明文件</w:t>
      </w:r>
    </w:p>
    <w:p w14:paraId="68843640">
      <w:pPr>
        <w:pStyle w:val="45"/>
        <w:rPr>
          <w:rFonts w:hint="default"/>
          <w:highlight w:val="none"/>
        </w:rPr>
      </w:pPr>
      <w:r>
        <w:rPr>
          <w:highlight w:val="none"/>
        </w:rPr>
        <w:t>8.</w:t>
      </w:r>
      <w:r>
        <w:rPr>
          <w:rFonts w:hint="eastAsia"/>
          <w:highlight w:val="none"/>
          <w:lang w:val="en-US" w:eastAsia="zh-CN"/>
        </w:rPr>
        <w:t>3</w:t>
      </w:r>
      <w:r>
        <w:rPr>
          <w:highlight w:val="none"/>
        </w:rPr>
        <w:t>具有良好的商业信誉和健全的财务会计制度的证明文件</w:t>
      </w:r>
    </w:p>
    <w:p w14:paraId="677CE9B7">
      <w:pPr>
        <w:pStyle w:val="45"/>
        <w:rPr>
          <w:rFonts w:hint="default"/>
          <w:highlight w:val="none"/>
        </w:rPr>
      </w:pPr>
      <w:r>
        <w:rPr>
          <w:highlight w:val="none"/>
        </w:rPr>
        <w:t>8.</w:t>
      </w:r>
      <w:r>
        <w:rPr>
          <w:rFonts w:hint="eastAsia"/>
          <w:highlight w:val="none"/>
          <w:lang w:val="en-US" w:eastAsia="zh-CN"/>
        </w:rPr>
        <w:t>4</w:t>
      </w:r>
      <w:r>
        <w:rPr>
          <w:highlight w:val="none"/>
        </w:rPr>
        <w:t xml:space="preserve"> 具有履行合同所必须的设备和专业技术能力的证明文件</w:t>
      </w:r>
    </w:p>
    <w:p w14:paraId="68873F40">
      <w:pPr>
        <w:pStyle w:val="45"/>
        <w:rPr>
          <w:rFonts w:hint="default"/>
          <w:highlight w:val="none"/>
        </w:rPr>
      </w:pPr>
      <w:r>
        <w:rPr>
          <w:highlight w:val="none"/>
        </w:rPr>
        <w:t>8.</w:t>
      </w:r>
      <w:r>
        <w:rPr>
          <w:rFonts w:hint="eastAsia"/>
          <w:highlight w:val="none"/>
          <w:lang w:val="en-US" w:eastAsia="zh-CN"/>
        </w:rPr>
        <w:t>5</w:t>
      </w:r>
      <w:r>
        <w:rPr>
          <w:highlight w:val="none"/>
        </w:rPr>
        <w:t xml:space="preserve"> 有依法缴纳税收和社会保障资金的良好记录的证明文件</w:t>
      </w:r>
    </w:p>
    <w:p w14:paraId="681352D1">
      <w:pPr>
        <w:pStyle w:val="45"/>
        <w:rPr>
          <w:rFonts w:hint="default"/>
          <w:highlight w:val="none"/>
        </w:rPr>
      </w:pPr>
      <w:r>
        <w:rPr>
          <w:highlight w:val="none"/>
        </w:rPr>
        <w:t>8.</w:t>
      </w:r>
      <w:r>
        <w:rPr>
          <w:rFonts w:hint="eastAsia"/>
          <w:highlight w:val="none"/>
          <w:lang w:val="en-US" w:eastAsia="zh-CN"/>
        </w:rPr>
        <w:t>6</w:t>
      </w:r>
      <w:r>
        <w:rPr>
          <w:highlight w:val="none"/>
        </w:rPr>
        <w:t>参加采购前三年内,在经营活动中没有重大违法记录的证明文件</w:t>
      </w:r>
    </w:p>
    <w:p w14:paraId="192B00DA">
      <w:pPr>
        <w:pStyle w:val="45"/>
        <w:rPr>
          <w:rFonts w:hint="default"/>
          <w:highlight w:val="none"/>
        </w:rPr>
      </w:pPr>
      <w:r>
        <w:rPr>
          <w:highlight w:val="none"/>
        </w:rPr>
        <w:t>8.</w:t>
      </w:r>
      <w:r>
        <w:rPr>
          <w:rFonts w:hint="eastAsia"/>
          <w:highlight w:val="none"/>
          <w:lang w:val="en-US" w:eastAsia="zh-CN"/>
        </w:rPr>
        <w:t>7</w:t>
      </w:r>
      <w:r>
        <w:rPr>
          <w:rFonts w:hint="eastAsia"/>
          <w:highlight w:val="none"/>
        </w:rPr>
        <w:t>其他资格证明材料</w:t>
      </w:r>
    </w:p>
    <w:p w14:paraId="2A96DA12">
      <w:pPr>
        <w:pStyle w:val="45"/>
        <w:rPr>
          <w:highlight w:val="none"/>
        </w:rPr>
      </w:pPr>
      <w:r>
        <w:rPr>
          <w:highlight w:val="none"/>
        </w:rPr>
        <w:t>8.</w:t>
      </w:r>
      <w:r>
        <w:rPr>
          <w:rFonts w:hint="eastAsia"/>
          <w:highlight w:val="none"/>
          <w:lang w:val="en-US" w:eastAsia="zh-CN"/>
        </w:rPr>
        <w:t>8</w:t>
      </w:r>
      <w:r>
        <w:rPr>
          <w:highlight w:val="none"/>
        </w:rPr>
        <w:t>法定代表人授权书</w:t>
      </w:r>
    </w:p>
    <w:p w14:paraId="0E239932">
      <w:pPr>
        <w:pStyle w:val="45"/>
        <w:rPr>
          <w:rFonts w:hint="eastAsia"/>
          <w:highlight w:val="none"/>
        </w:rPr>
      </w:pPr>
      <w:r>
        <w:rPr>
          <w:rFonts w:hint="eastAsia"/>
          <w:highlight w:val="none"/>
        </w:rPr>
        <w:t>8.</w:t>
      </w:r>
      <w:r>
        <w:rPr>
          <w:rFonts w:hint="eastAsia"/>
          <w:highlight w:val="none"/>
          <w:lang w:val="en-US" w:eastAsia="zh-CN"/>
        </w:rPr>
        <w:t>9</w:t>
      </w:r>
      <w:r>
        <w:rPr>
          <w:rFonts w:hint="eastAsia"/>
          <w:highlight w:val="none"/>
        </w:rPr>
        <w:t>供应商的资格声明</w:t>
      </w:r>
    </w:p>
    <w:p w14:paraId="477E202A">
      <w:pPr>
        <w:pStyle w:val="45"/>
        <w:rPr>
          <w:rFonts w:hint="eastAsia"/>
          <w:highlight w:val="none"/>
        </w:rPr>
      </w:pPr>
      <w:r>
        <w:rPr>
          <w:rFonts w:hint="eastAsia"/>
          <w:highlight w:val="none"/>
        </w:rPr>
        <w:t>8-</w:t>
      </w:r>
      <w:r>
        <w:rPr>
          <w:rFonts w:hint="eastAsia"/>
          <w:highlight w:val="none"/>
          <w:lang w:val="en-US" w:eastAsia="zh-CN"/>
        </w:rPr>
        <w:t>10</w:t>
      </w:r>
      <w:r>
        <w:rPr>
          <w:rFonts w:hint="eastAsia"/>
          <w:highlight w:val="none"/>
        </w:rPr>
        <w:t>.谈判文件第一章“谈判邀请”中要求的证明材料</w:t>
      </w:r>
    </w:p>
    <w:p w14:paraId="3A5E4258">
      <w:pPr>
        <w:spacing w:line="360" w:lineRule="auto"/>
        <w:rPr>
          <w:rFonts w:hint="eastAsia" w:ascii="仿宋" w:hAnsi="仿宋" w:eastAsia="仿宋" w:cs="仿宋"/>
          <w:b/>
          <w:sz w:val="24"/>
          <w:szCs w:val="24"/>
          <w:highlight w:val="none"/>
        </w:rPr>
      </w:pPr>
      <w:r>
        <w:rPr>
          <w:rFonts w:hint="eastAsia" w:ascii="仿宋" w:hAnsi="仿宋" w:eastAsia="仿宋" w:cs="仿宋"/>
          <w:b/>
          <w:sz w:val="24"/>
          <w:szCs w:val="24"/>
          <w:highlight w:val="none"/>
        </w:rPr>
        <w:t>9.</w:t>
      </w:r>
      <w:bookmarkStart w:id="38" w:name="_Toc494292886"/>
      <w:bookmarkStart w:id="39" w:name="_Toc157775585"/>
      <w:bookmarkStart w:id="40" w:name="_Toc494138597"/>
      <w:r>
        <w:rPr>
          <w:rFonts w:hint="eastAsia" w:ascii="仿宋" w:hAnsi="仿宋" w:eastAsia="仿宋" w:cs="仿宋"/>
          <w:b/>
          <w:sz w:val="24"/>
          <w:szCs w:val="24"/>
          <w:highlight w:val="none"/>
        </w:rPr>
        <w:t>为落实政府采购政策，采购标的需满足的要求，以及投标人须提供的证明材料</w:t>
      </w:r>
      <w:bookmarkEnd w:id="38"/>
      <w:bookmarkEnd w:id="39"/>
      <w:bookmarkEnd w:id="40"/>
    </w:p>
    <w:p w14:paraId="5C3926C1">
      <w:pPr>
        <w:spacing w:line="360" w:lineRule="auto"/>
        <w:rPr>
          <w:rFonts w:hint="eastAsia" w:ascii="仿宋" w:hAnsi="仿宋" w:eastAsia="仿宋" w:cs="仿宋"/>
          <w:b/>
          <w:sz w:val="24"/>
          <w:szCs w:val="24"/>
          <w:highlight w:val="none"/>
        </w:rPr>
      </w:pPr>
      <w:r>
        <w:rPr>
          <w:rFonts w:hint="eastAsia" w:ascii="仿宋" w:hAnsi="仿宋" w:eastAsia="仿宋" w:cs="仿宋"/>
          <w:b/>
          <w:sz w:val="24"/>
          <w:szCs w:val="24"/>
          <w:highlight w:val="none"/>
          <w:lang w:val="en-US" w:eastAsia="zh-CN"/>
        </w:rPr>
        <w:t>9</w:t>
      </w:r>
      <w:r>
        <w:rPr>
          <w:rFonts w:hint="eastAsia" w:ascii="仿宋" w:hAnsi="仿宋" w:eastAsia="仿宋" w:cs="仿宋"/>
          <w:b/>
          <w:sz w:val="24"/>
          <w:szCs w:val="24"/>
          <w:highlight w:val="none"/>
        </w:rPr>
        <w:t>.1中小企业（含中型、小型、微型企业，下同）参加投标</w:t>
      </w:r>
    </w:p>
    <w:p w14:paraId="2E4589FD">
      <w:pPr>
        <w:pStyle w:val="45"/>
        <w:rPr>
          <w:rFonts w:hint="eastAsia"/>
          <w:highlight w:val="none"/>
        </w:rPr>
      </w:pPr>
      <w:r>
        <w:rPr>
          <w:rFonts w:hint="eastAsia"/>
          <w:highlight w:val="none"/>
        </w:rPr>
        <w:t>（1）符合国务院批准的中小企业划分标准（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w:t>
      </w:r>
    </w:p>
    <w:p w14:paraId="583EF42D">
      <w:pPr>
        <w:pStyle w:val="45"/>
        <w:rPr>
          <w:rFonts w:hint="eastAsia"/>
          <w:highlight w:val="none"/>
        </w:rPr>
      </w:pPr>
      <w:r>
        <w:rPr>
          <w:rFonts w:hint="eastAsia"/>
          <w:highlight w:val="none"/>
        </w:rPr>
        <w:t>（2）货物由中小企业制造，即货物由中小企业生产且使用该中小企业商号或者注册商标；本项所称货物不包括使用大型企业注册商标的货物；</w:t>
      </w:r>
    </w:p>
    <w:p w14:paraId="53F2629E">
      <w:pPr>
        <w:pStyle w:val="45"/>
        <w:rPr>
          <w:rFonts w:hint="eastAsia"/>
          <w:highlight w:val="none"/>
        </w:rPr>
      </w:pPr>
      <w:r>
        <w:rPr>
          <w:rFonts w:hint="eastAsia"/>
          <w:highlight w:val="none"/>
        </w:rPr>
        <w:t>（3）小型、微型企业提供中型企业制造的货物的，视同为中型企业。</w:t>
      </w:r>
    </w:p>
    <w:p w14:paraId="4BCF7981">
      <w:pPr>
        <w:pStyle w:val="45"/>
        <w:rPr>
          <w:rFonts w:hint="eastAsia"/>
          <w:highlight w:val="none"/>
        </w:rPr>
      </w:pPr>
      <w:r>
        <w:rPr>
          <w:rFonts w:hint="eastAsia"/>
          <w:highlight w:val="none"/>
        </w:rPr>
        <w:t>（4）在货物采购项目中，供应商提供的货物既有中小企业制造货物，也有大型企业制造货物的，不享受中小企业扶持政策。</w:t>
      </w:r>
    </w:p>
    <w:p w14:paraId="3CB4A22F">
      <w:pPr>
        <w:pStyle w:val="45"/>
        <w:rPr>
          <w:rFonts w:hint="eastAsia"/>
          <w:highlight w:val="none"/>
        </w:rPr>
      </w:pPr>
      <w:r>
        <w:rPr>
          <w:rFonts w:hint="eastAsia"/>
          <w:highlight w:val="none"/>
        </w:rPr>
        <w:t>（5）在工程采购项目中，工程由中小企业承建，即工程施工单位为中小企业；</w:t>
      </w:r>
    </w:p>
    <w:p w14:paraId="06F7DB54">
      <w:pPr>
        <w:pStyle w:val="45"/>
        <w:rPr>
          <w:rFonts w:hint="eastAsia"/>
          <w:highlight w:val="none"/>
        </w:rPr>
      </w:pPr>
      <w:r>
        <w:rPr>
          <w:rFonts w:hint="eastAsia"/>
          <w:highlight w:val="none"/>
        </w:rPr>
        <w:t>（6）在服务采购项目中，服务由中小企业承接，即提供服务的人员为中小企业依照《中华人民共和国劳动合同法》订立劳动合同的从业人员。</w:t>
      </w:r>
    </w:p>
    <w:p w14:paraId="1382119B">
      <w:pPr>
        <w:pStyle w:val="45"/>
        <w:rPr>
          <w:rFonts w:hint="eastAsia"/>
          <w:highlight w:val="none"/>
        </w:rPr>
      </w:pPr>
      <w:r>
        <w:rPr>
          <w:rFonts w:hint="eastAsia"/>
          <w:highlight w:val="none"/>
        </w:rPr>
        <w:t>（7）以联合体形式参加政府采购活动，联合体各方均为中小企业的，联合体视同中小企业。其中，联合体各方均为小微企业的，联合体视同小微企业。（适用于联合体投标）</w:t>
      </w:r>
    </w:p>
    <w:p w14:paraId="4503F101">
      <w:pPr>
        <w:pStyle w:val="45"/>
        <w:rPr>
          <w:rFonts w:hint="eastAsia"/>
          <w:highlight w:val="none"/>
        </w:rPr>
      </w:pPr>
      <w:r>
        <w:rPr>
          <w:rFonts w:hint="eastAsia"/>
          <w:highlight w:val="none"/>
        </w:rPr>
        <w:t>（8）组成联合体或者接受分包合同的中小企业与联合体内其他企业、分包企业之间不得存在直接控股、管理关系。(适用于涉及中小企业的联合体投标或者允许合同分包的采购项目)</w:t>
      </w:r>
    </w:p>
    <w:p w14:paraId="402E7FF2">
      <w:pPr>
        <w:pStyle w:val="45"/>
        <w:rPr>
          <w:rFonts w:hint="eastAsia"/>
          <w:highlight w:val="none"/>
        </w:rPr>
      </w:pPr>
      <w:r>
        <w:rPr>
          <w:rFonts w:hint="eastAsia"/>
          <w:highlight w:val="none"/>
        </w:rPr>
        <w:t>8.1.2供应商提供的货物为中小企业制造的, 投标时必须提供制造商的《中小企业声明函》。（格式详见“第四章响应文件格式</w:t>
      </w:r>
      <w:r>
        <w:rPr>
          <w:rFonts w:hint="eastAsia"/>
          <w:highlight w:val="none"/>
          <w:lang w:val="en-US" w:eastAsia="zh-CN"/>
        </w:rPr>
        <w:t>9</w:t>
      </w:r>
      <w:r>
        <w:rPr>
          <w:rFonts w:hint="eastAsia"/>
          <w:highlight w:val="none"/>
        </w:rPr>
        <w:t>-1”）</w:t>
      </w:r>
    </w:p>
    <w:p w14:paraId="28B00101">
      <w:pPr>
        <w:spacing w:line="360" w:lineRule="auto"/>
        <w:rPr>
          <w:rFonts w:hint="eastAsia" w:ascii="仿宋" w:hAnsi="仿宋" w:eastAsia="仿宋" w:cs="仿宋"/>
          <w:b/>
          <w:sz w:val="24"/>
          <w:szCs w:val="24"/>
          <w:highlight w:val="none"/>
        </w:rPr>
      </w:pPr>
      <w:r>
        <w:rPr>
          <w:rFonts w:hint="eastAsia" w:ascii="仿宋" w:hAnsi="仿宋" w:eastAsia="仿宋" w:cs="仿宋"/>
          <w:b/>
          <w:sz w:val="24"/>
          <w:szCs w:val="24"/>
          <w:highlight w:val="none"/>
          <w:lang w:val="en-US" w:eastAsia="zh-CN"/>
        </w:rPr>
        <w:t>9</w:t>
      </w:r>
      <w:r>
        <w:rPr>
          <w:rFonts w:hint="eastAsia" w:ascii="仿宋" w:hAnsi="仿宋" w:eastAsia="仿宋" w:cs="仿宋"/>
          <w:b/>
          <w:sz w:val="24"/>
          <w:szCs w:val="24"/>
          <w:highlight w:val="none"/>
        </w:rPr>
        <w:t>.2监狱企业参加投标</w:t>
      </w:r>
    </w:p>
    <w:p w14:paraId="38265739">
      <w:pPr>
        <w:pStyle w:val="45"/>
        <w:rPr>
          <w:rFonts w:hint="eastAsia"/>
          <w:highlight w:val="none"/>
        </w:rPr>
      </w:pPr>
      <w:r>
        <w:rPr>
          <w:rFonts w:hint="eastAsia"/>
          <w:highlight w:val="none"/>
          <w:lang w:val="en-US" w:eastAsia="zh-CN"/>
        </w:rPr>
        <w:t>9</w:t>
      </w:r>
      <w:r>
        <w:rPr>
          <w:rFonts w:hint="eastAsia"/>
          <w:highlight w:val="none"/>
        </w:rPr>
        <w:t>.2.1监狱企业应当符合以下条件：</w:t>
      </w:r>
    </w:p>
    <w:p w14:paraId="24081555">
      <w:pPr>
        <w:pStyle w:val="45"/>
        <w:rPr>
          <w:rFonts w:hint="eastAsia"/>
          <w:highlight w:val="none"/>
        </w:rPr>
      </w:pPr>
      <w:r>
        <w:rPr>
          <w:rFonts w:hint="eastAsia"/>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2B63F5A2">
      <w:pPr>
        <w:pStyle w:val="45"/>
        <w:rPr>
          <w:rFonts w:hint="eastAsia"/>
          <w:highlight w:val="none"/>
        </w:rPr>
      </w:pPr>
      <w:r>
        <w:rPr>
          <w:rFonts w:hint="eastAsia"/>
          <w:highlight w:val="none"/>
          <w:lang w:val="en-US" w:eastAsia="zh-CN"/>
        </w:rPr>
        <w:t>9</w:t>
      </w:r>
      <w:r>
        <w:rPr>
          <w:rFonts w:hint="eastAsia"/>
          <w:highlight w:val="none"/>
        </w:rPr>
        <w:t>.2.2监狱企业参加投标须提供的证明材料：</w:t>
      </w:r>
    </w:p>
    <w:p w14:paraId="1984C0E5">
      <w:pPr>
        <w:pStyle w:val="45"/>
        <w:rPr>
          <w:rFonts w:hint="eastAsia" w:ascii="宋体" w:hAnsi="宋体" w:cs="宋体"/>
          <w:b/>
          <w:sz w:val="24"/>
          <w:szCs w:val="24"/>
          <w:highlight w:val="none"/>
        </w:rPr>
      </w:pPr>
      <w:r>
        <w:rPr>
          <w:rFonts w:hint="eastAsia"/>
          <w:highlight w:val="none"/>
        </w:rPr>
        <w:t>监狱企业参加政府采购活动时，应当提供由省级以上监狱管理局、戒毒管理局（含新疆生产建设兵团）出具的属于监狱企业的证明文件。（格式详见“第四章投标文件格式8-2”）</w:t>
      </w:r>
      <w:r>
        <w:rPr>
          <w:rFonts w:hint="eastAsia"/>
          <w:highlight w:val="none"/>
        </w:rPr>
        <w:br w:type="textWrapping"/>
      </w:r>
      <w:r>
        <w:rPr>
          <w:rFonts w:hint="eastAsia" w:ascii="宋体" w:hAnsi="宋体" w:cs="宋体"/>
          <w:b/>
          <w:sz w:val="24"/>
          <w:szCs w:val="24"/>
          <w:highlight w:val="none"/>
          <w:lang w:val="en-US" w:eastAsia="zh-CN"/>
        </w:rPr>
        <w:t>9</w:t>
      </w:r>
      <w:r>
        <w:rPr>
          <w:rFonts w:hint="eastAsia" w:ascii="宋体" w:hAnsi="宋体" w:cs="宋体"/>
          <w:b/>
          <w:sz w:val="24"/>
          <w:szCs w:val="24"/>
          <w:highlight w:val="none"/>
        </w:rPr>
        <w:t>.3残疾人福利性单位参加投标</w:t>
      </w:r>
    </w:p>
    <w:p w14:paraId="75FF481A">
      <w:pPr>
        <w:pStyle w:val="45"/>
        <w:rPr>
          <w:rFonts w:hint="eastAsia"/>
          <w:highlight w:val="none"/>
          <w:lang w:val="en-US" w:eastAsia="zh-CN"/>
        </w:rPr>
      </w:pPr>
      <w:r>
        <w:rPr>
          <w:rFonts w:hint="eastAsia"/>
          <w:highlight w:val="none"/>
          <w:lang w:val="en-US" w:eastAsia="zh-CN"/>
        </w:rPr>
        <w:t>9.3.1享受政府采购支持政策的残疾人福利性单位应当同时满足以下条件：</w:t>
      </w:r>
    </w:p>
    <w:p w14:paraId="0232CCE5">
      <w:pPr>
        <w:pStyle w:val="45"/>
        <w:rPr>
          <w:rFonts w:hint="eastAsia"/>
          <w:highlight w:val="none"/>
          <w:lang w:val="en-US" w:eastAsia="zh-CN"/>
        </w:rPr>
      </w:pPr>
      <w:r>
        <w:rPr>
          <w:rFonts w:hint="eastAsia"/>
          <w:highlight w:val="none"/>
          <w:lang w:val="en-US" w:eastAsia="zh-CN"/>
        </w:rPr>
        <w:t>（1）安置的残疾人占本单位在职职工人数的比例不低于25%（含25%），并且安置的残疾人人数不少于10人（含10人）；</w:t>
      </w:r>
    </w:p>
    <w:p w14:paraId="67F88013">
      <w:pPr>
        <w:pStyle w:val="45"/>
        <w:rPr>
          <w:rFonts w:hint="eastAsia"/>
          <w:highlight w:val="none"/>
          <w:lang w:val="en-US" w:eastAsia="zh-CN"/>
        </w:rPr>
      </w:pPr>
      <w:r>
        <w:rPr>
          <w:rFonts w:hint="eastAsia"/>
          <w:highlight w:val="none"/>
          <w:lang w:val="en-US" w:eastAsia="zh-CN"/>
        </w:rPr>
        <w:t>（2）依法与安置的每位残疾人签订了一年以上（含一年）的劳动合同或服务协议；</w:t>
      </w:r>
    </w:p>
    <w:p w14:paraId="0C1A14A0">
      <w:pPr>
        <w:pStyle w:val="45"/>
        <w:rPr>
          <w:rFonts w:hint="eastAsia"/>
          <w:highlight w:val="none"/>
          <w:lang w:val="en-US" w:eastAsia="zh-CN"/>
        </w:rPr>
      </w:pPr>
      <w:r>
        <w:rPr>
          <w:rFonts w:hint="eastAsia"/>
          <w:highlight w:val="none"/>
          <w:lang w:val="en-US" w:eastAsia="zh-CN"/>
        </w:rPr>
        <w:t>（3）为安置的每位残疾人按月足额缴纳了基本养老保险、基本医疗保险、失业保险、工伤保险和生育保险等社会保险费；</w:t>
      </w:r>
    </w:p>
    <w:p w14:paraId="475F38A5">
      <w:pPr>
        <w:pStyle w:val="45"/>
        <w:rPr>
          <w:rFonts w:hint="eastAsia"/>
          <w:highlight w:val="none"/>
          <w:lang w:val="en-US" w:eastAsia="zh-CN"/>
        </w:rPr>
      </w:pPr>
      <w:r>
        <w:rPr>
          <w:rFonts w:hint="eastAsia"/>
          <w:highlight w:val="none"/>
          <w:lang w:val="en-US" w:eastAsia="zh-CN"/>
        </w:rPr>
        <w:t>（4）通过银行等金融机构向安置的每位残疾人，按月支付了不低于单位所在区县适用的经省级人民政府批准的月最低工资标准的工资；</w:t>
      </w:r>
    </w:p>
    <w:p w14:paraId="5B0FA164">
      <w:pPr>
        <w:pStyle w:val="45"/>
        <w:rPr>
          <w:rFonts w:hint="eastAsia"/>
          <w:highlight w:val="none"/>
          <w:lang w:val="en-US" w:eastAsia="zh-CN"/>
        </w:rPr>
      </w:pPr>
      <w:r>
        <w:rPr>
          <w:rFonts w:hint="eastAsia"/>
          <w:highlight w:val="none"/>
          <w:lang w:val="en-US" w:eastAsia="zh-CN"/>
        </w:rPr>
        <w:t>（5）提供本单位制造的货物、承担的工程或者服务（以下简称产品），或者提供其他残疾人福利性单位制造的货物（不包括使用非残疾人福利性单位注册商标的货物）。</w:t>
      </w:r>
    </w:p>
    <w:p w14:paraId="0332E136">
      <w:pPr>
        <w:pStyle w:val="45"/>
        <w:rPr>
          <w:rFonts w:hint="eastAsia"/>
          <w:highlight w:val="none"/>
          <w:lang w:val="en-US" w:eastAsia="zh-CN"/>
        </w:rPr>
      </w:pPr>
      <w:r>
        <w:rPr>
          <w:rFonts w:hint="eastAsia"/>
          <w:highlight w:val="none"/>
          <w:lang w:val="en-US" w:eastAsia="zh-CN"/>
        </w:rPr>
        <w:t>前款所称残疾人是指法定劳动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w:t>
      </w:r>
    </w:p>
    <w:p w14:paraId="7778F77F">
      <w:pPr>
        <w:pStyle w:val="45"/>
        <w:rPr>
          <w:rFonts w:hint="eastAsia"/>
          <w:highlight w:val="none"/>
          <w:lang w:val="en-US" w:eastAsia="zh-CN"/>
        </w:rPr>
      </w:pPr>
      <w:r>
        <w:rPr>
          <w:rFonts w:hint="eastAsia"/>
          <w:highlight w:val="none"/>
          <w:lang w:val="en-US" w:eastAsia="zh-CN"/>
        </w:rPr>
        <w:t>9.3.2残疾人福利性单位参加投标须提供的证明材料：</w:t>
      </w:r>
    </w:p>
    <w:p w14:paraId="06BFBCC1">
      <w:pPr>
        <w:pStyle w:val="45"/>
        <w:rPr>
          <w:rFonts w:hint="eastAsia"/>
          <w:highlight w:val="none"/>
          <w:lang w:val="en-US" w:eastAsia="zh-CN"/>
        </w:rPr>
      </w:pPr>
      <w:r>
        <w:rPr>
          <w:rFonts w:hint="eastAsia"/>
          <w:highlight w:val="none"/>
          <w:lang w:val="en-US" w:eastAsia="zh-CN"/>
        </w:rPr>
        <w:t>（1）符合条件的残疾人福利性单位在参加政府采购活动时，应当提供《残疾人福利性单位声明函》（格式详见“第四章投标文件格式8-3”），并对声明的真实性负责。</w:t>
      </w:r>
    </w:p>
    <w:p w14:paraId="6F07EA9B">
      <w:pPr>
        <w:pStyle w:val="45"/>
        <w:rPr>
          <w:rFonts w:hint="eastAsia"/>
          <w:highlight w:val="none"/>
          <w:lang w:val="en-US" w:eastAsia="zh-CN"/>
        </w:rPr>
      </w:pPr>
      <w:r>
        <w:rPr>
          <w:rFonts w:hint="eastAsia"/>
          <w:highlight w:val="none"/>
          <w:lang w:val="en-US" w:eastAsia="zh-CN"/>
        </w:rPr>
        <w:t>（2）投标人提供的《残疾人福利性单位声明函》与事实不符的，依照《政府采购法》第七十七条第一款的规定追究法律责任。</w:t>
      </w:r>
    </w:p>
    <w:p w14:paraId="178DCE46">
      <w:pPr>
        <w:spacing w:line="360" w:lineRule="auto"/>
        <w:rPr>
          <w:rFonts w:ascii="仿宋" w:hAnsi="仿宋" w:eastAsia="仿宋" w:cs="仿宋"/>
          <w:sz w:val="24"/>
          <w:szCs w:val="24"/>
          <w:highlight w:val="none"/>
        </w:rPr>
      </w:pPr>
    </w:p>
    <w:p w14:paraId="527E18A6">
      <w:pPr>
        <w:pStyle w:val="42"/>
        <w:spacing w:before="240"/>
        <w:rPr>
          <w:rFonts w:hint="default"/>
          <w:highlight w:val="none"/>
        </w:rPr>
      </w:pPr>
      <w:bookmarkStart w:id="41" w:name="_Toc16985"/>
      <w:r>
        <w:rPr>
          <w:highlight w:val="none"/>
        </w:rPr>
        <w:t>四、响应文件的编制</w:t>
      </w:r>
      <w:bookmarkEnd w:id="41"/>
    </w:p>
    <w:p w14:paraId="6E64D264">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10. 提示</w:t>
      </w:r>
    </w:p>
    <w:p w14:paraId="12815F89">
      <w:pPr>
        <w:pStyle w:val="45"/>
        <w:rPr>
          <w:rFonts w:hint="default"/>
          <w:highlight w:val="none"/>
        </w:rPr>
      </w:pPr>
      <w:r>
        <w:rPr>
          <w:highlight w:val="none"/>
        </w:rPr>
        <w:t>10.1 供应商应认真阅读谈判文件的全部内容，按照谈判文件要求提供响应文件和资料。</w:t>
      </w:r>
    </w:p>
    <w:p w14:paraId="3E2FABFE">
      <w:pPr>
        <w:pStyle w:val="45"/>
        <w:rPr>
          <w:rFonts w:hint="default"/>
          <w:highlight w:val="none"/>
        </w:rPr>
      </w:pPr>
      <w:r>
        <w:rPr>
          <w:highlight w:val="none"/>
        </w:rPr>
        <w:t>10.2供应商提交的响应文件以及供应商与采购代理结机构所有来往书面文件均须使用中文。响应文件中如附有外文资料，必须逐一对应翻译成中文。</w:t>
      </w:r>
    </w:p>
    <w:p w14:paraId="426F2ECB">
      <w:pPr>
        <w:pStyle w:val="45"/>
        <w:rPr>
          <w:rFonts w:hint="default"/>
          <w:highlight w:val="none"/>
        </w:rPr>
      </w:pPr>
      <w:r>
        <w:rPr>
          <w:highlight w:val="none"/>
        </w:rPr>
        <w:t>10.3翻译的中文资料与外文资料如果出现差异和矛盾时，以中文为准。</w:t>
      </w:r>
    </w:p>
    <w:p w14:paraId="6A3DA6E0">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11. 响应文件计量单位</w:t>
      </w:r>
      <w:r>
        <w:rPr>
          <w:rFonts w:hint="eastAsia" w:ascii="仿宋" w:hAnsi="仿宋" w:eastAsia="仿宋" w:cs="仿宋"/>
          <w:b/>
          <w:sz w:val="24"/>
          <w:szCs w:val="24"/>
          <w:highlight w:val="none"/>
        </w:rPr>
        <w:tab/>
      </w:r>
    </w:p>
    <w:p w14:paraId="0AE52DA8">
      <w:pPr>
        <w:pStyle w:val="45"/>
        <w:rPr>
          <w:rFonts w:hint="default"/>
          <w:highlight w:val="none"/>
        </w:rPr>
      </w:pPr>
      <w:r>
        <w:rPr>
          <w:highlight w:val="none"/>
        </w:rPr>
        <w:t>响应文件中所使用的计量单位, 除谈判文件中有特殊要求外，应采用国家法定计量单位。</w:t>
      </w:r>
    </w:p>
    <w:p w14:paraId="22186901">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12.响应文件的构成</w:t>
      </w:r>
    </w:p>
    <w:p w14:paraId="153DD236">
      <w:pPr>
        <w:pStyle w:val="45"/>
        <w:rPr>
          <w:rFonts w:hint="default"/>
          <w:highlight w:val="none"/>
        </w:rPr>
      </w:pPr>
      <w:r>
        <w:rPr>
          <w:highlight w:val="none"/>
        </w:rPr>
        <w:t>12.1响应文件应由下列部分构成：</w:t>
      </w:r>
    </w:p>
    <w:p w14:paraId="2D02A01B">
      <w:pPr>
        <w:pStyle w:val="45"/>
        <w:rPr>
          <w:rFonts w:hint="default"/>
          <w:highlight w:val="none"/>
        </w:rPr>
      </w:pPr>
      <w:r>
        <w:rPr>
          <w:highlight w:val="none"/>
        </w:rPr>
        <w:t>(1) 谈判响应书</w:t>
      </w:r>
    </w:p>
    <w:p w14:paraId="01CF36F2">
      <w:pPr>
        <w:pStyle w:val="45"/>
        <w:rPr>
          <w:rFonts w:hint="default"/>
          <w:highlight w:val="none"/>
        </w:rPr>
      </w:pPr>
      <w:r>
        <w:rPr>
          <w:highlight w:val="none"/>
        </w:rPr>
        <w:t>(2) 报价表</w:t>
      </w:r>
    </w:p>
    <w:p w14:paraId="3F7E5297">
      <w:pPr>
        <w:pStyle w:val="45"/>
        <w:rPr>
          <w:rFonts w:hint="default"/>
          <w:highlight w:val="none"/>
        </w:rPr>
      </w:pPr>
      <w:r>
        <w:rPr>
          <w:highlight w:val="none"/>
        </w:rPr>
        <w:t>(</w:t>
      </w:r>
      <w:r>
        <w:rPr>
          <w:rFonts w:hint="eastAsia"/>
          <w:highlight w:val="none"/>
          <w:lang w:val="en-US" w:eastAsia="zh-CN"/>
        </w:rPr>
        <w:t>3</w:t>
      </w:r>
      <w:r>
        <w:rPr>
          <w:highlight w:val="none"/>
        </w:rPr>
        <w:t>) 技术规格响应</w:t>
      </w:r>
      <w:r>
        <w:rPr>
          <w:highlight w:val="none"/>
          <w:lang w:val="en-GB"/>
        </w:rPr>
        <w:t>/偏离</w:t>
      </w:r>
      <w:r>
        <w:rPr>
          <w:highlight w:val="none"/>
        </w:rPr>
        <w:t>表</w:t>
      </w:r>
    </w:p>
    <w:p w14:paraId="24D2B179">
      <w:pPr>
        <w:pStyle w:val="45"/>
        <w:rPr>
          <w:rFonts w:hint="default"/>
          <w:highlight w:val="none"/>
        </w:rPr>
      </w:pPr>
      <w:r>
        <w:rPr>
          <w:highlight w:val="none"/>
        </w:rPr>
        <w:t>(</w:t>
      </w:r>
      <w:r>
        <w:rPr>
          <w:rFonts w:hint="eastAsia"/>
          <w:highlight w:val="none"/>
          <w:lang w:val="en-US" w:eastAsia="zh-CN"/>
        </w:rPr>
        <w:t>4</w:t>
      </w:r>
      <w:r>
        <w:rPr>
          <w:highlight w:val="none"/>
        </w:rPr>
        <w:t>) 商务条款响应/偏离表</w:t>
      </w:r>
    </w:p>
    <w:p w14:paraId="34772D21">
      <w:pPr>
        <w:pStyle w:val="45"/>
        <w:rPr>
          <w:rFonts w:hint="default"/>
          <w:highlight w:val="none"/>
        </w:rPr>
      </w:pPr>
      <w:r>
        <w:rPr>
          <w:highlight w:val="none"/>
        </w:rPr>
        <w:t>(</w:t>
      </w:r>
      <w:r>
        <w:rPr>
          <w:rFonts w:hint="eastAsia"/>
          <w:highlight w:val="none"/>
          <w:lang w:val="en-US" w:eastAsia="zh-CN"/>
        </w:rPr>
        <w:t>5</w:t>
      </w:r>
      <w:r>
        <w:rPr>
          <w:highlight w:val="none"/>
        </w:rPr>
        <w:t>) 供应商情况一览表</w:t>
      </w:r>
    </w:p>
    <w:p w14:paraId="5F772BF8">
      <w:pPr>
        <w:pStyle w:val="45"/>
        <w:rPr>
          <w:rFonts w:hint="default"/>
          <w:highlight w:val="none"/>
        </w:rPr>
      </w:pPr>
      <w:r>
        <w:rPr>
          <w:highlight w:val="none"/>
        </w:rPr>
        <w:t>(</w:t>
      </w:r>
      <w:r>
        <w:rPr>
          <w:rFonts w:hint="eastAsia"/>
          <w:highlight w:val="none"/>
          <w:lang w:val="en-US" w:eastAsia="zh-CN"/>
        </w:rPr>
        <w:t>6</w:t>
      </w:r>
      <w:r>
        <w:rPr>
          <w:highlight w:val="none"/>
        </w:rPr>
        <w:t>) 技术文件</w:t>
      </w:r>
    </w:p>
    <w:p w14:paraId="6B07B397">
      <w:pPr>
        <w:pStyle w:val="45"/>
        <w:rPr>
          <w:rFonts w:hint="default"/>
          <w:highlight w:val="none"/>
        </w:rPr>
      </w:pPr>
      <w:r>
        <w:rPr>
          <w:highlight w:val="none"/>
        </w:rPr>
        <w:t>(</w:t>
      </w:r>
      <w:r>
        <w:rPr>
          <w:rFonts w:hint="eastAsia"/>
          <w:highlight w:val="none"/>
          <w:lang w:val="en-US" w:eastAsia="zh-CN"/>
        </w:rPr>
        <w:t>7</w:t>
      </w:r>
      <w:r>
        <w:rPr>
          <w:highlight w:val="none"/>
        </w:rPr>
        <w:t>) 资格证明文件</w:t>
      </w:r>
    </w:p>
    <w:p w14:paraId="57353462">
      <w:pPr>
        <w:pStyle w:val="45"/>
        <w:ind w:firstLine="482"/>
        <w:rPr>
          <w:rFonts w:hint="default"/>
          <w:b/>
          <w:bCs/>
          <w:highlight w:val="none"/>
        </w:rPr>
      </w:pPr>
      <w:r>
        <w:rPr>
          <w:b/>
          <w:bCs/>
          <w:highlight w:val="none"/>
        </w:rPr>
        <w:t>12.2供应商应将响应文件编写目录及页码。</w:t>
      </w:r>
    </w:p>
    <w:p w14:paraId="0D81A057">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13.证明符合谈判文件规定的文件</w:t>
      </w:r>
    </w:p>
    <w:p w14:paraId="5F6BB5BE">
      <w:pPr>
        <w:pStyle w:val="45"/>
        <w:rPr>
          <w:rFonts w:hint="default"/>
          <w:highlight w:val="none"/>
        </w:rPr>
      </w:pPr>
      <w:r>
        <w:rPr>
          <w:highlight w:val="none"/>
        </w:rPr>
        <w:t>13.1 供应商应提交其工程和有关服务符合谈判文件规定的证明，作为响应文件的一部分。</w:t>
      </w:r>
    </w:p>
    <w:p w14:paraId="20FADE0D">
      <w:pPr>
        <w:pStyle w:val="45"/>
        <w:rPr>
          <w:rFonts w:hint="default"/>
          <w:highlight w:val="none"/>
        </w:rPr>
      </w:pPr>
      <w:r>
        <w:rPr>
          <w:highlight w:val="none"/>
        </w:rPr>
        <w:t>13.2 工程和有关服务与谈判文件的要求相一致的证明，可以是文字资料、图纸和数据，包括：</w:t>
      </w:r>
    </w:p>
    <w:p w14:paraId="0A939380">
      <w:pPr>
        <w:pStyle w:val="45"/>
        <w:rPr>
          <w:rFonts w:hint="default"/>
          <w:highlight w:val="none"/>
        </w:rPr>
      </w:pPr>
      <w:r>
        <w:rPr>
          <w:highlight w:val="none"/>
        </w:rPr>
        <w:t>1)对满足采购需求的详细说明。</w:t>
      </w:r>
    </w:p>
    <w:p w14:paraId="7459FA7D">
      <w:pPr>
        <w:pStyle w:val="45"/>
        <w:rPr>
          <w:rFonts w:hint="default"/>
          <w:highlight w:val="none"/>
        </w:rPr>
      </w:pPr>
      <w:r>
        <w:rPr>
          <w:highlight w:val="none"/>
        </w:rPr>
        <w:t>2)对照谈判文件技术规格（工程需求），逐条说明所提供工程和有关服务已对谈判文件的技术规格（工程需求）做出了实质性响应，或申明与技术规格（工程需求）的偏差和例外。特别对于有具体要求的指标，供应商必须提供所投工程的具体指标。</w:t>
      </w:r>
    </w:p>
    <w:p w14:paraId="067CA8FB">
      <w:pPr>
        <w:pStyle w:val="45"/>
        <w:rPr>
          <w:rFonts w:hint="default"/>
          <w:highlight w:val="none"/>
        </w:rPr>
      </w:pPr>
      <w:r>
        <w:rPr>
          <w:highlight w:val="none"/>
        </w:rPr>
        <w:t>3)技术规格（工程需求）条款的偏差和例外。</w:t>
      </w:r>
    </w:p>
    <w:p w14:paraId="6AF6B55F">
      <w:pPr>
        <w:pStyle w:val="45"/>
        <w:rPr>
          <w:rFonts w:hint="default"/>
          <w:highlight w:val="none"/>
        </w:rPr>
      </w:pPr>
      <w:r>
        <w:rPr>
          <w:highlight w:val="none"/>
        </w:rPr>
        <w:t>4)商务条款的偏差和例外。</w:t>
      </w:r>
    </w:p>
    <w:p w14:paraId="77E7DF76">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14. 谈判报价</w:t>
      </w:r>
    </w:p>
    <w:p w14:paraId="1288F770">
      <w:pPr>
        <w:pStyle w:val="45"/>
        <w:rPr>
          <w:rFonts w:hint="default"/>
          <w:highlight w:val="none"/>
        </w:rPr>
      </w:pPr>
      <w:r>
        <w:rPr>
          <w:highlight w:val="none"/>
        </w:rPr>
        <w:t>14.1谈判报价均以人民币报价，报价内容包含本文件规定的货物、货物安装及附属售后服务；备品备件及专用工具；运至最终目的地的运费和保险费、装卸费、代理服务费等完成本项目所需相关费用的最终含税报价。供应商漏报或不报，采购人将视为有关费用已包括在本项目的其它单价及合价中而不予支付。</w:t>
      </w:r>
    </w:p>
    <w:p w14:paraId="71678F47">
      <w:pPr>
        <w:spacing w:line="460" w:lineRule="exact"/>
        <w:rPr>
          <w:rFonts w:ascii="仿宋" w:hAnsi="仿宋" w:eastAsia="仿宋" w:cs="仿宋"/>
          <w:b/>
          <w:sz w:val="24"/>
          <w:szCs w:val="24"/>
          <w:highlight w:val="none"/>
        </w:rPr>
      </w:pPr>
      <w:r>
        <w:rPr>
          <w:rFonts w:hint="eastAsia" w:ascii="仿宋" w:hAnsi="仿宋" w:eastAsia="仿宋" w:cs="仿宋"/>
          <w:b/>
          <w:sz w:val="24"/>
          <w:szCs w:val="24"/>
          <w:highlight w:val="none"/>
        </w:rPr>
        <w:t>15. 谈判保证金</w:t>
      </w:r>
    </w:p>
    <w:p w14:paraId="16D3219F">
      <w:pPr>
        <w:spacing w:line="460" w:lineRule="exact"/>
        <w:rPr>
          <w:rFonts w:ascii="仿宋" w:hAnsi="仿宋" w:eastAsia="仿宋" w:cs="仿宋"/>
          <w:sz w:val="24"/>
          <w:szCs w:val="24"/>
          <w:highlight w:val="none"/>
        </w:rPr>
      </w:pPr>
      <w:r>
        <w:rPr>
          <w:rFonts w:hint="eastAsia" w:ascii="仿宋" w:hAnsi="仿宋" w:eastAsia="仿宋" w:cs="仿宋"/>
          <w:sz w:val="24"/>
          <w:szCs w:val="24"/>
          <w:highlight w:val="none"/>
        </w:rPr>
        <w:t>15.1 投标人应提供本须知前附表所述金额的谈判保证金，保证金是响应文件的一个组成部分。</w:t>
      </w:r>
    </w:p>
    <w:p w14:paraId="172B8A41">
      <w:pPr>
        <w:spacing w:line="460" w:lineRule="exact"/>
        <w:rPr>
          <w:rFonts w:ascii="仿宋" w:hAnsi="仿宋" w:eastAsia="仿宋" w:cs="仿宋"/>
          <w:sz w:val="24"/>
          <w:szCs w:val="24"/>
          <w:highlight w:val="none"/>
        </w:rPr>
      </w:pPr>
      <w:r>
        <w:rPr>
          <w:rFonts w:ascii="仿宋" w:hAnsi="仿宋" w:eastAsia="仿宋" w:cs="仿宋"/>
          <w:sz w:val="24"/>
          <w:szCs w:val="24"/>
          <w:highlight w:val="none"/>
        </w:rPr>
        <w:t>1</w:t>
      </w:r>
      <w:r>
        <w:rPr>
          <w:rFonts w:hint="eastAsia" w:ascii="仿宋" w:hAnsi="仿宋" w:eastAsia="仿宋" w:cs="仿宋"/>
          <w:sz w:val="24"/>
          <w:szCs w:val="24"/>
          <w:highlight w:val="none"/>
        </w:rPr>
        <w:t>5</w:t>
      </w:r>
      <w:r>
        <w:rPr>
          <w:rFonts w:ascii="仿宋" w:hAnsi="仿宋" w:eastAsia="仿宋" w:cs="仿宋"/>
          <w:sz w:val="24"/>
          <w:szCs w:val="24"/>
          <w:highlight w:val="none"/>
        </w:rPr>
        <w:t xml:space="preserve">.2 </w:t>
      </w:r>
      <w:r>
        <w:rPr>
          <w:rFonts w:hint="eastAsia" w:ascii="仿宋" w:hAnsi="仿宋" w:eastAsia="仿宋" w:cs="仿宋"/>
          <w:sz w:val="24"/>
          <w:szCs w:val="24"/>
          <w:highlight w:val="none"/>
        </w:rPr>
        <w:t>谈判保证金要求详见投标须知前附表。</w:t>
      </w:r>
    </w:p>
    <w:p w14:paraId="070BBEFE">
      <w:pPr>
        <w:spacing w:line="460" w:lineRule="exact"/>
        <w:rPr>
          <w:rFonts w:ascii="仿宋" w:hAnsi="仿宋" w:eastAsia="仿宋" w:cs="仿宋"/>
          <w:sz w:val="24"/>
          <w:szCs w:val="24"/>
          <w:highlight w:val="none"/>
        </w:rPr>
      </w:pPr>
      <w:r>
        <w:rPr>
          <w:rFonts w:ascii="仿宋" w:hAnsi="仿宋" w:eastAsia="仿宋" w:cs="仿宋"/>
          <w:sz w:val="24"/>
          <w:szCs w:val="24"/>
          <w:highlight w:val="none"/>
        </w:rPr>
        <w:t>1</w:t>
      </w:r>
      <w:r>
        <w:rPr>
          <w:rFonts w:hint="eastAsia" w:ascii="仿宋" w:hAnsi="仿宋" w:eastAsia="仿宋" w:cs="仿宋"/>
          <w:sz w:val="24"/>
          <w:szCs w:val="24"/>
          <w:highlight w:val="none"/>
        </w:rPr>
        <w:t>5</w:t>
      </w:r>
      <w:r>
        <w:rPr>
          <w:rFonts w:ascii="仿宋" w:hAnsi="仿宋" w:eastAsia="仿宋" w:cs="仿宋"/>
          <w:sz w:val="24"/>
          <w:szCs w:val="24"/>
          <w:highlight w:val="none"/>
        </w:rPr>
        <w:t xml:space="preserve">.3 </w:t>
      </w:r>
      <w:r>
        <w:rPr>
          <w:rFonts w:hint="eastAsia" w:ascii="仿宋" w:hAnsi="仿宋" w:eastAsia="仿宋" w:cs="仿宋"/>
          <w:sz w:val="24"/>
          <w:szCs w:val="24"/>
          <w:highlight w:val="none"/>
        </w:rPr>
        <w:t>招标代理机构将拒绝未能按要求提交谈判保证金的响应文件。投标人在获取谈判文件并按规定提交了谈判保证金后方可参加投标。</w:t>
      </w:r>
    </w:p>
    <w:p w14:paraId="2A32DD8C">
      <w:pPr>
        <w:spacing w:line="460" w:lineRule="exact"/>
        <w:rPr>
          <w:rFonts w:ascii="仿宋" w:hAnsi="仿宋" w:eastAsia="仿宋" w:cs="仿宋"/>
          <w:sz w:val="24"/>
          <w:szCs w:val="24"/>
          <w:highlight w:val="none"/>
        </w:rPr>
      </w:pPr>
      <w:r>
        <w:rPr>
          <w:rFonts w:ascii="仿宋" w:hAnsi="仿宋" w:eastAsia="仿宋" w:cs="仿宋"/>
          <w:sz w:val="24"/>
          <w:szCs w:val="24"/>
          <w:highlight w:val="none"/>
        </w:rPr>
        <w:t>1</w:t>
      </w:r>
      <w:r>
        <w:rPr>
          <w:rFonts w:hint="eastAsia" w:ascii="仿宋" w:hAnsi="仿宋" w:eastAsia="仿宋" w:cs="仿宋"/>
          <w:sz w:val="24"/>
          <w:szCs w:val="24"/>
          <w:highlight w:val="none"/>
        </w:rPr>
        <w:t>5</w:t>
      </w:r>
      <w:r>
        <w:rPr>
          <w:rFonts w:ascii="仿宋" w:hAnsi="仿宋" w:eastAsia="仿宋" w:cs="仿宋"/>
          <w:sz w:val="24"/>
          <w:szCs w:val="24"/>
          <w:highlight w:val="none"/>
        </w:rPr>
        <w:t xml:space="preserve">.4 </w:t>
      </w:r>
      <w:r>
        <w:rPr>
          <w:rFonts w:hint="eastAsia" w:ascii="仿宋" w:hAnsi="仿宋" w:eastAsia="仿宋" w:cs="仿宋"/>
          <w:sz w:val="24"/>
          <w:szCs w:val="24"/>
          <w:highlight w:val="none"/>
        </w:rPr>
        <w:t>投标人的谈判保证金将在中标人与采购人签订合同后</w:t>
      </w:r>
      <w:r>
        <w:rPr>
          <w:rFonts w:ascii="仿宋" w:hAnsi="仿宋" w:eastAsia="仿宋" w:cs="仿宋"/>
          <w:sz w:val="24"/>
          <w:szCs w:val="24"/>
          <w:highlight w:val="none"/>
        </w:rPr>
        <w:t>5</w:t>
      </w:r>
      <w:r>
        <w:rPr>
          <w:rFonts w:hint="eastAsia" w:ascii="仿宋" w:hAnsi="仿宋" w:eastAsia="仿宋" w:cs="仿宋"/>
          <w:sz w:val="24"/>
          <w:szCs w:val="24"/>
          <w:highlight w:val="none"/>
        </w:rPr>
        <w:t>日内予以退还。</w:t>
      </w:r>
    </w:p>
    <w:p w14:paraId="37E6C580">
      <w:pPr>
        <w:spacing w:line="460" w:lineRule="exact"/>
        <w:rPr>
          <w:rFonts w:ascii="仿宋" w:hAnsi="仿宋" w:eastAsia="仿宋" w:cs="仿宋"/>
          <w:sz w:val="24"/>
          <w:szCs w:val="24"/>
          <w:highlight w:val="none"/>
        </w:rPr>
      </w:pPr>
      <w:r>
        <w:rPr>
          <w:rFonts w:ascii="仿宋" w:hAnsi="仿宋" w:eastAsia="仿宋" w:cs="仿宋"/>
          <w:sz w:val="24"/>
          <w:szCs w:val="24"/>
          <w:highlight w:val="none"/>
        </w:rPr>
        <w:t>1</w:t>
      </w:r>
      <w:r>
        <w:rPr>
          <w:rFonts w:hint="eastAsia" w:ascii="仿宋" w:hAnsi="仿宋" w:eastAsia="仿宋" w:cs="仿宋"/>
          <w:sz w:val="24"/>
          <w:szCs w:val="24"/>
          <w:highlight w:val="none"/>
        </w:rPr>
        <w:t>5</w:t>
      </w:r>
      <w:r>
        <w:rPr>
          <w:rFonts w:ascii="仿宋" w:hAnsi="仿宋" w:eastAsia="仿宋" w:cs="仿宋"/>
          <w:sz w:val="24"/>
          <w:szCs w:val="24"/>
          <w:highlight w:val="none"/>
        </w:rPr>
        <w:t xml:space="preserve">.5 </w:t>
      </w:r>
      <w:r>
        <w:rPr>
          <w:rFonts w:hint="eastAsia" w:ascii="仿宋" w:hAnsi="仿宋" w:eastAsia="仿宋" w:cs="仿宋"/>
          <w:sz w:val="24"/>
          <w:szCs w:val="24"/>
          <w:highlight w:val="none"/>
        </w:rPr>
        <w:t>如有下列情况，投标人谈判保证金将不予退还：</w:t>
      </w:r>
    </w:p>
    <w:p w14:paraId="51301EDF">
      <w:pPr>
        <w:spacing w:line="460" w:lineRule="exact"/>
        <w:rPr>
          <w:rFonts w:ascii="仿宋" w:hAnsi="仿宋" w:eastAsia="仿宋" w:cs="仿宋"/>
          <w:sz w:val="24"/>
          <w:szCs w:val="24"/>
          <w:highlight w:val="none"/>
        </w:rPr>
      </w:pPr>
      <w:r>
        <w:rPr>
          <w:rFonts w:hint="eastAsia" w:ascii="仿宋" w:hAnsi="仿宋" w:eastAsia="仿宋" w:cs="仿宋"/>
          <w:sz w:val="24"/>
          <w:szCs w:val="24"/>
          <w:highlight w:val="none"/>
        </w:rPr>
        <w:t>（</w:t>
      </w:r>
      <w:r>
        <w:rPr>
          <w:rFonts w:ascii="仿宋" w:hAnsi="仿宋" w:eastAsia="仿宋" w:cs="仿宋"/>
          <w:sz w:val="24"/>
          <w:szCs w:val="24"/>
          <w:highlight w:val="none"/>
        </w:rPr>
        <w:t>1</w:t>
      </w:r>
      <w:r>
        <w:rPr>
          <w:rFonts w:hint="eastAsia" w:ascii="仿宋" w:hAnsi="仿宋" w:eastAsia="仿宋" w:cs="仿宋"/>
          <w:sz w:val="24"/>
          <w:szCs w:val="24"/>
          <w:highlight w:val="none"/>
        </w:rPr>
        <w:t>）投标人在响应文件规定的投标有效期内撤回其投标；</w:t>
      </w:r>
    </w:p>
    <w:p w14:paraId="643150DC">
      <w:pPr>
        <w:spacing w:line="460" w:lineRule="exact"/>
        <w:rPr>
          <w:rFonts w:ascii="仿宋" w:hAnsi="仿宋" w:eastAsia="仿宋" w:cs="仿宋"/>
          <w:sz w:val="24"/>
          <w:szCs w:val="24"/>
          <w:highlight w:val="none"/>
        </w:rPr>
      </w:pPr>
      <w:r>
        <w:rPr>
          <w:rFonts w:hint="eastAsia" w:ascii="仿宋" w:hAnsi="仿宋" w:eastAsia="仿宋" w:cs="仿宋"/>
          <w:sz w:val="24"/>
          <w:szCs w:val="24"/>
          <w:highlight w:val="none"/>
        </w:rPr>
        <w:t>（</w:t>
      </w:r>
      <w:r>
        <w:rPr>
          <w:rFonts w:ascii="仿宋" w:hAnsi="仿宋" w:eastAsia="仿宋" w:cs="仿宋"/>
          <w:sz w:val="24"/>
          <w:szCs w:val="24"/>
          <w:highlight w:val="none"/>
        </w:rPr>
        <w:t>2</w:t>
      </w:r>
      <w:r>
        <w:rPr>
          <w:rFonts w:hint="eastAsia" w:ascii="仿宋" w:hAnsi="仿宋" w:eastAsia="仿宋" w:cs="仿宋"/>
          <w:sz w:val="24"/>
          <w:szCs w:val="24"/>
          <w:highlight w:val="none"/>
        </w:rPr>
        <w:t>）中标人未按规定签订合同；</w:t>
      </w:r>
    </w:p>
    <w:p w14:paraId="6015D783">
      <w:pPr>
        <w:spacing w:line="460" w:lineRule="exact"/>
        <w:rPr>
          <w:rFonts w:ascii="仿宋" w:hAnsi="仿宋" w:eastAsia="仿宋" w:cs="仿宋"/>
          <w:sz w:val="24"/>
          <w:szCs w:val="24"/>
          <w:highlight w:val="none"/>
        </w:rPr>
      </w:pPr>
      <w:r>
        <w:rPr>
          <w:rFonts w:hint="eastAsia" w:ascii="仿宋" w:hAnsi="仿宋" w:eastAsia="仿宋" w:cs="仿宋"/>
          <w:sz w:val="24"/>
          <w:szCs w:val="24"/>
          <w:highlight w:val="none"/>
        </w:rPr>
        <w:t>（</w:t>
      </w:r>
      <w:r>
        <w:rPr>
          <w:rFonts w:ascii="仿宋" w:hAnsi="仿宋" w:eastAsia="仿宋" w:cs="仿宋"/>
          <w:sz w:val="24"/>
          <w:szCs w:val="24"/>
          <w:highlight w:val="none"/>
        </w:rPr>
        <w:t>3</w:t>
      </w:r>
      <w:r>
        <w:rPr>
          <w:rFonts w:hint="eastAsia" w:ascii="仿宋" w:hAnsi="仿宋" w:eastAsia="仿宋" w:cs="仿宋"/>
          <w:sz w:val="24"/>
          <w:szCs w:val="24"/>
          <w:highlight w:val="none"/>
        </w:rPr>
        <w:t>）中标人提供虚假材料和文件意图骗取中标；</w:t>
      </w:r>
    </w:p>
    <w:p w14:paraId="39AE73F3">
      <w:pPr>
        <w:spacing w:line="460" w:lineRule="exact"/>
        <w:rPr>
          <w:rFonts w:ascii="仿宋" w:hAnsi="仿宋" w:eastAsia="仿宋" w:cs="仿宋"/>
          <w:sz w:val="24"/>
          <w:szCs w:val="24"/>
          <w:highlight w:val="none"/>
        </w:rPr>
      </w:pPr>
      <w:r>
        <w:rPr>
          <w:rFonts w:hint="eastAsia" w:ascii="仿宋" w:hAnsi="仿宋" w:eastAsia="仿宋" w:cs="仿宋"/>
          <w:sz w:val="24"/>
          <w:szCs w:val="24"/>
          <w:highlight w:val="none"/>
        </w:rPr>
        <w:t>（</w:t>
      </w:r>
      <w:r>
        <w:rPr>
          <w:rFonts w:ascii="仿宋" w:hAnsi="仿宋" w:eastAsia="仿宋" w:cs="仿宋"/>
          <w:sz w:val="24"/>
          <w:szCs w:val="24"/>
          <w:highlight w:val="none"/>
        </w:rPr>
        <w:t>4</w:t>
      </w:r>
      <w:r>
        <w:rPr>
          <w:rFonts w:hint="eastAsia" w:ascii="仿宋" w:hAnsi="仿宋" w:eastAsia="仿宋" w:cs="仿宋"/>
          <w:sz w:val="24"/>
          <w:szCs w:val="24"/>
          <w:highlight w:val="none"/>
        </w:rPr>
        <w:t>）中标人未按规定提交履约保证金；</w:t>
      </w:r>
    </w:p>
    <w:p w14:paraId="43B62012">
      <w:pPr>
        <w:spacing w:line="460" w:lineRule="exact"/>
        <w:rPr>
          <w:rFonts w:ascii="仿宋" w:hAnsi="仿宋" w:eastAsia="仿宋" w:cs="仿宋"/>
          <w:sz w:val="24"/>
          <w:szCs w:val="24"/>
          <w:highlight w:val="none"/>
        </w:rPr>
      </w:pPr>
      <w:r>
        <w:rPr>
          <w:rFonts w:hint="eastAsia" w:ascii="仿宋" w:hAnsi="仿宋" w:eastAsia="仿宋" w:cs="仿宋"/>
          <w:sz w:val="24"/>
          <w:szCs w:val="24"/>
          <w:highlight w:val="none"/>
        </w:rPr>
        <w:t>（</w:t>
      </w:r>
      <w:r>
        <w:rPr>
          <w:rFonts w:ascii="仿宋" w:hAnsi="仿宋" w:eastAsia="仿宋" w:cs="仿宋"/>
          <w:sz w:val="24"/>
          <w:szCs w:val="24"/>
          <w:highlight w:val="none"/>
        </w:rPr>
        <w:t>5</w:t>
      </w:r>
      <w:r>
        <w:rPr>
          <w:rFonts w:hint="eastAsia" w:ascii="仿宋" w:hAnsi="仿宋" w:eastAsia="仿宋" w:cs="仿宋"/>
          <w:sz w:val="24"/>
          <w:szCs w:val="24"/>
          <w:highlight w:val="none"/>
        </w:rPr>
        <w:t>）法律法规规定的其他不予退还的情形。</w:t>
      </w:r>
    </w:p>
    <w:p w14:paraId="0BDC3E51">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16. 谈判有效期</w:t>
      </w:r>
    </w:p>
    <w:p w14:paraId="4A92EFA0">
      <w:pPr>
        <w:pStyle w:val="45"/>
        <w:rPr>
          <w:rFonts w:hint="default"/>
          <w:highlight w:val="none"/>
        </w:rPr>
      </w:pPr>
      <w:r>
        <w:rPr>
          <w:highlight w:val="none"/>
        </w:rPr>
        <w:t>谈判有效期为自谈判之日起不少于“供应商须知前附表”规定的时间保持有效。谈判有效期不足的响应文件</w:t>
      </w:r>
      <w:r>
        <w:rPr>
          <w:b/>
          <w:highlight w:val="none"/>
        </w:rPr>
        <w:t>被视为无效。</w:t>
      </w:r>
    </w:p>
    <w:p w14:paraId="3B9D3271">
      <w:pPr>
        <w:spacing w:line="360" w:lineRule="auto"/>
        <w:rPr>
          <w:rFonts w:ascii="仿宋" w:hAnsi="仿宋" w:eastAsia="仿宋" w:cs="仿宋"/>
          <w:sz w:val="24"/>
          <w:szCs w:val="24"/>
          <w:highlight w:val="none"/>
        </w:rPr>
      </w:pPr>
      <w:r>
        <w:rPr>
          <w:rFonts w:hint="eastAsia" w:ascii="仿宋" w:hAnsi="仿宋" w:eastAsia="仿宋" w:cs="仿宋"/>
          <w:b/>
          <w:sz w:val="24"/>
          <w:szCs w:val="24"/>
          <w:highlight w:val="none"/>
        </w:rPr>
        <w:t>17. 响应文件的签署及规定</w:t>
      </w:r>
    </w:p>
    <w:p w14:paraId="31E339EA">
      <w:pPr>
        <w:pStyle w:val="45"/>
        <w:rPr>
          <w:rFonts w:hint="default"/>
          <w:highlight w:val="none"/>
        </w:rPr>
      </w:pPr>
      <w:r>
        <w:rPr>
          <w:highlight w:val="none"/>
        </w:rPr>
        <w:t>17.1 响应文件不得涂改和增删，如有修改，必须由授权代表人（或法定代表人）签字或盖章。</w:t>
      </w:r>
    </w:p>
    <w:p w14:paraId="43A0307D">
      <w:pPr>
        <w:pStyle w:val="45"/>
        <w:rPr>
          <w:rFonts w:hint="default"/>
          <w:highlight w:val="none"/>
        </w:rPr>
      </w:pPr>
      <w:r>
        <w:rPr>
          <w:highlight w:val="none"/>
        </w:rPr>
        <w:t>17.2 响应文件因字迹潦草或表达不清所引起的后果由供应商负责。</w:t>
      </w:r>
    </w:p>
    <w:p w14:paraId="0B1A2FEA">
      <w:pPr>
        <w:spacing w:line="360" w:lineRule="auto"/>
        <w:rPr>
          <w:rFonts w:ascii="仿宋" w:hAnsi="仿宋" w:eastAsia="仿宋"/>
          <w:highlight w:val="none"/>
        </w:rPr>
      </w:pPr>
    </w:p>
    <w:p w14:paraId="43CA1B17">
      <w:pPr>
        <w:pStyle w:val="42"/>
        <w:spacing w:before="240"/>
        <w:rPr>
          <w:rFonts w:hint="default"/>
          <w:highlight w:val="none"/>
        </w:rPr>
      </w:pPr>
      <w:bookmarkStart w:id="42" w:name="_Toc26754"/>
      <w:r>
        <w:rPr>
          <w:highlight w:val="none"/>
        </w:rPr>
        <w:t>五、响应文件的递交</w:t>
      </w:r>
      <w:bookmarkEnd w:id="42"/>
    </w:p>
    <w:p w14:paraId="3D4230F0">
      <w:pPr>
        <w:spacing w:line="460" w:lineRule="exact"/>
        <w:rPr>
          <w:rFonts w:ascii="仿宋" w:hAnsi="仿宋" w:eastAsia="仿宋"/>
          <w:b/>
          <w:sz w:val="24"/>
          <w:szCs w:val="24"/>
          <w:highlight w:val="none"/>
        </w:rPr>
      </w:pPr>
      <w:r>
        <w:rPr>
          <w:rFonts w:hint="eastAsia" w:ascii="仿宋" w:hAnsi="仿宋" w:eastAsia="仿宋"/>
          <w:b/>
          <w:sz w:val="24"/>
          <w:szCs w:val="24"/>
          <w:highlight w:val="none"/>
        </w:rPr>
        <w:t>18. 响应文件的密封及标记</w:t>
      </w:r>
    </w:p>
    <w:p w14:paraId="428114A6">
      <w:pPr>
        <w:spacing w:line="460" w:lineRule="exact"/>
        <w:ind w:left="567" w:hanging="567"/>
        <w:rPr>
          <w:rFonts w:ascii="仿宋" w:hAnsi="仿宋" w:eastAsia="仿宋"/>
          <w:sz w:val="24"/>
          <w:szCs w:val="24"/>
          <w:highlight w:val="none"/>
        </w:rPr>
      </w:pPr>
      <w:r>
        <w:rPr>
          <w:rFonts w:hint="eastAsia" w:ascii="仿宋" w:hAnsi="仿宋" w:eastAsia="仿宋"/>
          <w:sz w:val="24"/>
          <w:szCs w:val="24"/>
          <w:highlight w:val="none"/>
        </w:rPr>
        <w:t>18</w:t>
      </w:r>
      <w:r>
        <w:rPr>
          <w:rFonts w:ascii="仿宋" w:hAnsi="仿宋" w:eastAsia="仿宋"/>
          <w:sz w:val="24"/>
          <w:szCs w:val="24"/>
          <w:highlight w:val="none"/>
        </w:rPr>
        <w:t>.1</w:t>
      </w:r>
      <w:r>
        <w:rPr>
          <w:rFonts w:hint="eastAsia" w:ascii="仿宋" w:hAnsi="仿宋" w:eastAsia="仿宋"/>
          <w:sz w:val="24"/>
          <w:szCs w:val="24"/>
          <w:highlight w:val="none"/>
        </w:rPr>
        <w:t xml:space="preserve"> 供应商应将响应文件正本一份和“供应商须知前附表”规定的副本分开密封装在单独的信封中，且在信封上标明“正本”“副本”字样。</w:t>
      </w:r>
    </w:p>
    <w:p w14:paraId="2889D0F9">
      <w:pPr>
        <w:spacing w:line="460" w:lineRule="exact"/>
        <w:ind w:left="567" w:hanging="567"/>
        <w:rPr>
          <w:rFonts w:ascii="仿宋" w:hAnsi="仿宋" w:eastAsia="仿宋"/>
          <w:sz w:val="24"/>
          <w:szCs w:val="24"/>
          <w:highlight w:val="none"/>
        </w:rPr>
      </w:pPr>
      <w:r>
        <w:rPr>
          <w:rFonts w:hint="eastAsia" w:ascii="仿宋" w:hAnsi="仿宋" w:eastAsia="仿宋"/>
          <w:sz w:val="24"/>
          <w:szCs w:val="24"/>
          <w:highlight w:val="none"/>
        </w:rPr>
        <w:t>18</w:t>
      </w:r>
      <w:r>
        <w:rPr>
          <w:rFonts w:ascii="仿宋" w:hAnsi="仿宋" w:eastAsia="仿宋"/>
          <w:sz w:val="24"/>
          <w:szCs w:val="24"/>
          <w:highlight w:val="none"/>
        </w:rPr>
        <w:t>.</w:t>
      </w:r>
      <w:r>
        <w:rPr>
          <w:rFonts w:hint="eastAsia" w:ascii="仿宋" w:hAnsi="仿宋" w:eastAsia="仿宋"/>
          <w:sz w:val="24"/>
          <w:szCs w:val="24"/>
          <w:highlight w:val="none"/>
        </w:rPr>
        <w:t>2 为方便谈判，供应商应将报价表单独密封，并在信封上标明“报价表”字样。谈判保证金凭据复印件须装订在响应文件中。</w:t>
      </w:r>
    </w:p>
    <w:p w14:paraId="4819C67C">
      <w:pPr>
        <w:spacing w:line="460" w:lineRule="exact"/>
        <w:ind w:left="567" w:hanging="567"/>
        <w:rPr>
          <w:rFonts w:ascii="仿宋" w:hAnsi="仿宋" w:eastAsia="仿宋"/>
          <w:sz w:val="24"/>
          <w:szCs w:val="24"/>
          <w:highlight w:val="none"/>
        </w:rPr>
      </w:pPr>
      <w:r>
        <w:rPr>
          <w:rFonts w:hint="eastAsia" w:ascii="仿宋" w:hAnsi="仿宋" w:eastAsia="仿宋"/>
          <w:sz w:val="24"/>
          <w:szCs w:val="24"/>
          <w:highlight w:val="none"/>
        </w:rPr>
        <w:t>18</w:t>
      </w:r>
      <w:r>
        <w:rPr>
          <w:rFonts w:ascii="仿宋" w:hAnsi="仿宋" w:eastAsia="仿宋"/>
          <w:sz w:val="24"/>
          <w:szCs w:val="24"/>
          <w:highlight w:val="none"/>
        </w:rPr>
        <w:t>.</w:t>
      </w:r>
      <w:r>
        <w:rPr>
          <w:rFonts w:hint="eastAsia" w:ascii="仿宋" w:hAnsi="仿宋" w:eastAsia="仿宋"/>
          <w:sz w:val="24"/>
          <w:szCs w:val="24"/>
          <w:highlight w:val="none"/>
        </w:rPr>
        <w:t>3</w:t>
      </w:r>
      <w:r>
        <w:rPr>
          <w:rFonts w:ascii="仿宋" w:hAnsi="仿宋" w:eastAsia="仿宋"/>
          <w:sz w:val="24"/>
          <w:szCs w:val="24"/>
          <w:highlight w:val="none"/>
        </w:rPr>
        <w:t xml:space="preserve"> </w:t>
      </w:r>
      <w:r>
        <w:rPr>
          <w:rFonts w:hint="eastAsia" w:ascii="仿宋" w:hAnsi="仿宋" w:eastAsia="仿宋"/>
          <w:sz w:val="24"/>
          <w:szCs w:val="24"/>
          <w:highlight w:val="none"/>
        </w:rPr>
        <w:t>封口处有谈判全权代表的签字或单位公章。封皮上注明谈判项目名称、项目编号、供应商名称、地址、邮政编码、电话、联系人，并注明“谈判时启封”字样。</w:t>
      </w:r>
    </w:p>
    <w:p w14:paraId="32A745BA">
      <w:pPr>
        <w:spacing w:line="460" w:lineRule="exact"/>
        <w:ind w:left="567" w:hanging="567"/>
        <w:rPr>
          <w:rFonts w:ascii="仿宋" w:hAnsi="仿宋" w:eastAsia="仿宋"/>
          <w:sz w:val="24"/>
          <w:szCs w:val="24"/>
          <w:highlight w:val="none"/>
        </w:rPr>
      </w:pPr>
      <w:r>
        <w:rPr>
          <w:rFonts w:hint="eastAsia" w:ascii="仿宋" w:hAnsi="仿宋" w:eastAsia="仿宋"/>
          <w:sz w:val="24"/>
          <w:szCs w:val="24"/>
          <w:highlight w:val="none"/>
        </w:rPr>
        <w:t>18</w:t>
      </w:r>
      <w:r>
        <w:rPr>
          <w:rFonts w:ascii="仿宋" w:hAnsi="仿宋" w:eastAsia="仿宋"/>
          <w:sz w:val="24"/>
          <w:szCs w:val="24"/>
          <w:highlight w:val="none"/>
        </w:rPr>
        <w:t>.</w:t>
      </w:r>
      <w:r>
        <w:rPr>
          <w:rFonts w:hint="eastAsia" w:ascii="仿宋" w:hAnsi="仿宋" w:eastAsia="仿宋"/>
          <w:sz w:val="24"/>
          <w:szCs w:val="24"/>
          <w:highlight w:val="none"/>
        </w:rPr>
        <w:t>4</w:t>
      </w:r>
      <w:r>
        <w:rPr>
          <w:rFonts w:ascii="仿宋" w:hAnsi="仿宋" w:eastAsia="仿宋"/>
          <w:sz w:val="24"/>
          <w:szCs w:val="24"/>
          <w:highlight w:val="none"/>
        </w:rPr>
        <w:t xml:space="preserve"> </w:t>
      </w:r>
      <w:r>
        <w:rPr>
          <w:rFonts w:hint="eastAsia" w:ascii="仿宋" w:hAnsi="仿宋" w:eastAsia="仿宋"/>
          <w:sz w:val="24"/>
          <w:szCs w:val="24"/>
          <w:highlight w:val="none"/>
        </w:rPr>
        <w:t>如果供应商未按上述要求密封及加写标记，采购代理机构对响应文件的误投和提前启封概不负责。</w:t>
      </w:r>
    </w:p>
    <w:p w14:paraId="0E2051FF">
      <w:pPr>
        <w:spacing w:line="460" w:lineRule="exact"/>
        <w:rPr>
          <w:rFonts w:ascii="仿宋" w:hAnsi="仿宋" w:eastAsia="仿宋"/>
          <w:b/>
          <w:sz w:val="24"/>
          <w:szCs w:val="24"/>
          <w:highlight w:val="none"/>
        </w:rPr>
      </w:pPr>
      <w:r>
        <w:rPr>
          <w:rFonts w:hint="eastAsia" w:ascii="仿宋" w:hAnsi="仿宋" w:eastAsia="仿宋"/>
          <w:b/>
          <w:sz w:val="24"/>
          <w:szCs w:val="24"/>
          <w:highlight w:val="none"/>
        </w:rPr>
        <w:t>19. 谈判截止时间</w:t>
      </w:r>
    </w:p>
    <w:p w14:paraId="7AC9E510">
      <w:pPr>
        <w:spacing w:line="460" w:lineRule="exact"/>
        <w:ind w:left="563" w:leftChars="228" w:hanging="84" w:hangingChars="35"/>
        <w:rPr>
          <w:rFonts w:ascii="仿宋" w:hAnsi="仿宋" w:eastAsia="仿宋"/>
          <w:sz w:val="24"/>
          <w:szCs w:val="24"/>
          <w:highlight w:val="none"/>
        </w:rPr>
      </w:pPr>
      <w:r>
        <w:rPr>
          <w:rFonts w:ascii="仿宋" w:hAnsi="仿宋" w:eastAsia="仿宋"/>
          <w:sz w:val="24"/>
          <w:szCs w:val="24"/>
          <w:highlight w:val="none"/>
        </w:rPr>
        <w:t xml:space="preserve"> </w:t>
      </w:r>
      <w:r>
        <w:rPr>
          <w:rFonts w:hint="eastAsia" w:ascii="仿宋" w:hAnsi="仿宋" w:eastAsia="仿宋"/>
          <w:sz w:val="24"/>
          <w:szCs w:val="24"/>
          <w:highlight w:val="none"/>
        </w:rPr>
        <w:t>供应商必须在“第一章 谈判邀请”规定的截止时间前，将响应文件密封送达指定地点。</w:t>
      </w:r>
      <w:r>
        <w:rPr>
          <w:rFonts w:hint="eastAsia" w:ascii="仿宋" w:hAnsi="仿宋" w:eastAsia="仿宋"/>
          <w:sz w:val="24"/>
          <w:highlight w:val="none"/>
        </w:rPr>
        <w:t>已获取谈判文件的供应商，在提交响应文件的截止时间一日前，未书面通知代理机构放弃谈判的，不得再参加该项目的采购活动。</w:t>
      </w:r>
    </w:p>
    <w:p w14:paraId="174AB4BA">
      <w:pPr>
        <w:spacing w:line="460" w:lineRule="exact"/>
        <w:rPr>
          <w:rFonts w:ascii="仿宋" w:hAnsi="仿宋" w:eastAsia="仿宋"/>
          <w:b/>
          <w:sz w:val="24"/>
          <w:szCs w:val="24"/>
          <w:highlight w:val="none"/>
        </w:rPr>
      </w:pPr>
      <w:r>
        <w:rPr>
          <w:rFonts w:hint="eastAsia" w:ascii="仿宋" w:hAnsi="仿宋" w:eastAsia="仿宋"/>
          <w:b/>
          <w:sz w:val="24"/>
          <w:szCs w:val="24"/>
          <w:highlight w:val="none"/>
        </w:rPr>
        <w:t>20. 迟交的响应文件</w:t>
      </w:r>
    </w:p>
    <w:p w14:paraId="62C669A7">
      <w:pPr>
        <w:spacing w:line="460" w:lineRule="exact"/>
        <w:ind w:left="599" w:leftChars="228" w:hanging="120" w:hangingChars="50"/>
        <w:rPr>
          <w:rFonts w:ascii="仿宋" w:hAnsi="仿宋" w:eastAsia="仿宋"/>
          <w:sz w:val="24"/>
          <w:szCs w:val="24"/>
          <w:highlight w:val="none"/>
        </w:rPr>
      </w:pPr>
      <w:r>
        <w:rPr>
          <w:rFonts w:ascii="仿宋" w:hAnsi="仿宋" w:eastAsia="仿宋"/>
          <w:sz w:val="24"/>
          <w:szCs w:val="24"/>
          <w:highlight w:val="none"/>
        </w:rPr>
        <w:t xml:space="preserve"> </w:t>
      </w:r>
      <w:r>
        <w:rPr>
          <w:rFonts w:hint="eastAsia" w:ascii="仿宋" w:hAnsi="仿宋" w:eastAsia="仿宋"/>
          <w:sz w:val="24"/>
          <w:szCs w:val="24"/>
          <w:highlight w:val="none"/>
        </w:rPr>
        <w:t>在响应文件递交截止时间以后送达的响应文件</w:t>
      </w:r>
      <w:r>
        <w:rPr>
          <w:rFonts w:ascii="仿宋" w:hAnsi="仿宋" w:eastAsia="仿宋"/>
          <w:sz w:val="24"/>
          <w:szCs w:val="24"/>
          <w:highlight w:val="none"/>
        </w:rPr>
        <w:t>为无效</w:t>
      </w:r>
      <w:r>
        <w:rPr>
          <w:rFonts w:hint="eastAsia" w:ascii="仿宋" w:hAnsi="仿宋" w:eastAsia="仿宋"/>
          <w:sz w:val="24"/>
          <w:szCs w:val="24"/>
          <w:highlight w:val="none"/>
        </w:rPr>
        <w:t>响应</w:t>
      </w:r>
      <w:r>
        <w:rPr>
          <w:rFonts w:ascii="仿宋" w:hAnsi="仿宋" w:eastAsia="仿宋"/>
          <w:sz w:val="24"/>
          <w:szCs w:val="24"/>
          <w:highlight w:val="none"/>
        </w:rPr>
        <w:t>文件</w:t>
      </w:r>
      <w:r>
        <w:rPr>
          <w:rFonts w:hint="eastAsia" w:ascii="仿宋" w:hAnsi="仿宋" w:eastAsia="仿宋"/>
          <w:sz w:val="24"/>
          <w:szCs w:val="24"/>
          <w:highlight w:val="none"/>
        </w:rPr>
        <w:t xml:space="preserve">，采购代理机构将拒收。 </w:t>
      </w:r>
    </w:p>
    <w:p w14:paraId="3A159DDA">
      <w:pPr>
        <w:spacing w:line="460" w:lineRule="exact"/>
        <w:rPr>
          <w:rFonts w:ascii="仿宋" w:hAnsi="仿宋" w:eastAsia="仿宋"/>
          <w:b/>
          <w:sz w:val="24"/>
          <w:szCs w:val="24"/>
          <w:highlight w:val="none"/>
        </w:rPr>
      </w:pPr>
      <w:r>
        <w:rPr>
          <w:rFonts w:hint="eastAsia" w:ascii="仿宋" w:hAnsi="仿宋" w:eastAsia="仿宋"/>
          <w:b/>
          <w:sz w:val="24"/>
          <w:szCs w:val="24"/>
          <w:highlight w:val="none"/>
        </w:rPr>
        <w:t>21. 响应文件的补充、修改或撤回</w:t>
      </w:r>
    </w:p>
    <w:p w14:paraId="787F34A5">
      <w:pPr>
        <w:spacing w:line="460" w:lineRule="exact"/>
        <w:ind w:left="600" w:hanging="600" w:hangingChars="250"/>
        <w:rPr>
          <w:rFonts w:ascii="仿宋" w:hAnsi="仿宋" w:eastAsia="仿宋"/>
          <w:sz w:val="24"/>
          <w:szCs w:val="24"/>
          <w:highlight w:val="none"/>
        </w:rPr>
      </w:pPr>
      <w:r>
        <w:rPr>
          <w:rFonts w:hint="eastAsia" w:ascii="仿宋" w:hAnsi="仿宋" w:eastAsia="仿宋"/>
          <w:sz w:val="24"/>
          <w:szCs w:val="24"/>
          <w:highlight w:val="none"/>
        </w:rPr>
        <w:t>21.1</w:t>
      </w:r>
      <w:r>
        <w:rPr>
          <w:rFonts w:ascii="仿宋" w:hAnsi="仿宋" w:eastAsia="仿宋"/>
          <w:sz w:val="24"/>
          <w:szCs w:val="24"/>
          <w:highlight w:val="none"/>
        </w:rPr>
        <w:t xml:space="preserve"> </w:t>
      </w:r>
      <w:r>
        <w:rPr>
          <w:rFonts w:hint="eastAsia" w:ascii="仿宋" w:hAnsi="仿宋" w:eastAsia="仿宋"/>
          <w:sz w:val="24"/>
          <w:szCs w:val="24"/>
          <w:highlight w:val="none"/>
        </w:rPr>
        <w:t>供应商在提交响应文件截止时间前，可以对所提交的响应文件进行补充、修改或者撤回，并书面通知采购代理机构。补充、修改的内容作为响应文件的组成部分。补充、修改的内容与响应文件不一致的，以补充、修改的内容为准。</w:t>
      </w:r>
    </w:p>
    <w:p w14:paraId="00092561">
      <w:pPr>
        <w:spacing w:line="460" w:lineRule="exact"/>
        <w:ind w:left="600" w:hanging="600" w:hangingChars="250"/>
        <w:rPr>
          <w:rFonts w:ascii="仿宋" w:hAnsi="仿宋" w:eastAsia="仿宋"/>
          <w:sz w:val="24"/>
          <w:szCs w:val="24"/>
          <w:highlight w:val="none"/>
        </w:rPr>
      </w:pPr>
      <w:r>
        <w:rPr>
          <w:rFonts w:hint="eastAsia" w:ascii="仿宋" w:hAnsi="仿宋" w:eastAsia="仿宋"/>
          <w:sz w:val="24"/>
          <w:szCs w:val="24"/>
          <w:highlight w:val="none"/>
        </w:rPr>
        <w:t>21.2 从响应文件递交截止期至谈判有效期期满这段时间内，供应商不得撤回其响应文件，否则不予退还其交纳的谈判保证金。</w:t>
      </w:r>
    </w:p>
    <w:p w14:paraId="145581F8">
      <w:pPr>
        <w:pStyle w:val="42"/>
        <w:spacing w:before="240"/>
        <w:rPr>
          <w:rFonts w:hint="default"/>
          <w:highlight w:val="none"/>
        </w:rPr>
      </w:pPr>
      <w:bookmarkStart w:id="43" w:name="_Toc31126"/>
      <w:r>
        <w:rPr>
          <w:highlight w:val="none"/>
        </w:rPr>
        <w:t>六、谈判</w:t>
      </w:r>
      <w:bookmarkEnd w:id="43"/>
    </w:p>
    <w:p w14:paraId="1D6C6685">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22. 谈判组织</w:t>
      </w:r>
    </w:p>
    <w:p w14:paraId="5B821324">
      <w:pPr>
        <w:pStyle w:val="45"/>
        <w:rPr>
          <w:rFonts w:hint="default"/>
          <w:highlight w:val="none"/>
        </w:rPr>
      </w:pPr>
      <w:r>
        <w:rPr>
          <w:highlight w:val="none"/>
        </w:rPr>
        <w:t>采购代理机构在“谈判邀请”中规定的时间、地点组织谈判活动。</w:t>
      </w:r>
    </w:p>
    <w:p w14:paraId="1A01358E">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23. 谈判小组</w:t>
      </w:r>
    </w:p>
    <w:p w14:paraId="6AB66E0B">
      <w:pPr>
        <w:pStyle w:val="45"/>
        <w:rPr>
          <w:rFonts w:hint="default"/>
          <w:highlight w:val="none"/>
          <w:lang w:val="en-GB"/>
        </w:rPr>
      </w:pPr>
      <w:r>
        <w:rPr>
          <w:highlight w:val="none"/>
          <w:lang w:val="en-GB"/>
        </w:rPr>
        <w:t>在相关的采购评审专家库中随机抽取评审专家，依法成立谈判小组。评审工作由谈判小组负责。</w:t>
      </w:r>
    </w:p>
    <w:p w14:paraId="6E0C8502">
      <w:pPr>
        <w:pStyle w:val="45"/>
        <w:ind w:firstLine="0" w:firstLineChars="0"/>
        <w:rPr>
          <w:rFonts w:hint="default"/>
          <w:highlight w:val="none"/>
        </w:rPr>
      </w:pPr>
      <w:r>
        <w:rPr>
          <w:b/>
          <w:highlight w:val="none"/>
        </w:rPr>
        <w:t>24.</w:t>
      </w:r>
      <w:r>
        <w:rPr>
          <w:highlight w:val="none"/>
        </w:rPr>
        <w:t>采购代理机构将在谈判期间查询供应商的信用记录并告知谈判小组，经谈判小组评审确定投供应商存在不良信用记录的，其</w:t>
      </w:r>
      <w:r>
        <w:rPr>
          <w:b/>
          <w:highlight w:val="none"/>
        </w:rPr>
        <w:t>响应无效</w:t>
      </w:r>
      <w:r>
        <w:rPr>
          <w:highlight w:val="none"/>
        </w:rPr>
        <w:t>；查询到的不良信用记录随采购文件存档。</w:t>
      </w:r>
    </w:p>
    <w:p w14:paraId="3EDBB93B">
      <w:pPr>
        <w:pStyle w:val="45"/>
        <w:rPr>
          <w:rFonts w:hint="default"/>
          <w:highlight w:val="none"/>
        </w:rPr>
      </w:pPr>
      <w:r>
        <w:rPr>
          <w:highlight w:val="none"/>
        </w:rPr>
        <w:t>（1）通过“信用中国”网站和中国政府采购网查询相关主体信用记录，被列入失信被执行人、重大税收违法失信主体、政府采购严重违法失信行为记录名单的供应商（处罚期限尚未届满的）。</w:t>
      </w:r>
    </w:p>
    <w:p w14:paraId="275D4432">
      <w:pPr>
        <w:pStyle w:val="45"/>
        <w:rPr>
          <w:rFonts w:hint="default"/>
          <w:highlight w:val="none"/>
        </w:rPr>
      </w:pPr>
      <w:r>
        <w:rPr>
          <w:highlight w:val="none"/>
        </w:rPr>
        <w:t>（2）联合体参加竞争性谈判的，联合体成员存在以上不良信用记录的，视同联合体存在不良信用记录（本项目是否允许联合体参加竞争性谈判，详见“供应商须知前附表”）。</w:t>
      </w:r>
    </w:p>
    <w:p w14:paraId="19CC0313">
      <w:pPr>
        <w:pStyle w:val="45"/>
        <w:rPr>
          <w:rFonts w:hint="default"/>
          <w:highlight w:val="none"/>
          <w:lang w:val="en-GB"/>
        </w:rPr>
      </w:pPr>
      <w:r>
        <w:rPr>
          <w:highlight w:val="none"/>
        </w:rPr>
        <w:t>（3）供应商不良信用记录以采购代理机构查询结果为准，采购代理机构查询之后，网站信息发生的任何变更均不再作为评审依据，供应商自行提供的与网站信息不一致的其他证明材料亦不作为评审依据。</w:t>
      </w:r>
    </w:p>
    <w:p w14:paraId="136FAF15">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25. 谈判程序</w:t>
      </w:r>
    </w:p>
    <w:p w14:paraId="64E1090E">
      <w:pPr>
        <w:pStyle w:val="45"/>
        <w:rPr>
          <w:rFonts w:hint="default"/>
          <w:highlight w:val="none"/>
        </w:rPr>
      </w:pPr>
      <w:r>
        <w:rPr>
          <w:highlight w:val="none"/>
          <w:lang w:val="en-GB"/>
        </w:rPr>
        <w:t>2</w:t>
      </w:r>
      <w:r>
        <w:rPr>
          <w:highlight w:val="none"/>
        </w:rPr>
        <w:t>5</w:t>
      </w:r>
      <w:r>
        <w:rPr>
          <w:highlight w:val="none"/>
          <w:lang w:val="en-GB"/>
        </w:rPr>
        <w:t>.1</w:t>
      </w:r>
      <w:r>
        <w:rPr>
          <w:highlight w:val="none"/>
        </w:rPr>
        <w:t>采购代理机构在“第一章 谈判邀请”中规定的时间和地点组织谈判。</w:t>
      </w:r>
    </w:p>
    <w:p w14:paraId="1CBDC825">
      <w:pPr>
        <w:pStyle w:val="45"/>
        <w:rPr>
          <w:rFonts w:hint="default"/>
          <w:highlight w:val="none"/>
          <w:lang w:val="en-GB"/>
        </w:rPr>
      </w:pPr>
      <w:r>
        <w:rPr>
          <w:highlight w:val="none"/>
          <w:lang w:val="en-GB"/>
        </w:rPr>
        <w:t>2</w:t>
      </w:r>
      <w:r>
        <w:rPr>
          <w:highlight w:val="none"/>
        </w:rPr>
        <w:t>5</w:t>
      </w:r>
      <w:r>
        <w:rPr>
          <w:highlight w:val="none"/>
          <w:lang w:val="en-GB"/>
        </w:rPr>
        <w:t>.2</w:t>
      </w:r>
      <w:r>
        <w:rPr>
          <w:highlight w:val="none"/>
        </w:rPr>
        <w:t>谈判</w:t>
      </w:r>
      <w:r>
        <w:rPr>
          <w:highlight w:val="none"/>
          <w:lang w:val="en-GB"/>
        </w:rPr>
        <w:t>由采购人或者采购代理机构主持，邀请供应商参加。</w:t>
      </w:r>
    </w:p>
    <w:p w14:paraId="70EE8A7E">
      <w:pPr>
        <w:pStyle w:val="45"/>
        <w:rPr>
          <w:rFonts w:hint="default"/>
          <w:highlight w:val="none"/>
          <w:lang w:val="en-GB"/>
        </w:rPr>
      </w:pPr>
      <w:r>
        <w:rPr>
          <w:highlight w:val="none"/>
          <w:lang w:val="en-GB"/>
        </w:rPr>
        <w:t>2</w:t>
      </w:r>
      <w:r>
        <w:rPr>
          <w:highlight w:val="none"/>
        </w:rPr>
        <w:t>5</w:t>
      </w:r>
      <w:r>
        <w:rPr>
          <w:highlight w:val="none"/>
          <w:lang w:val="en-GB"/>
        </w:rPr>
        <w:t>.3</w:t>
      </w:r>
      <w:r>
        <w:rPr>
          <w:highlight w:val="none"/>
        </w:rPr>
        <w:t>谈判</w:t>
      </w:r>
      <w:r>
        <w:rPr>
          <w:highlight w:val="none"/>
          <w:lang w:val="en-GB"/>
        </w:rPr>
        <w:t>截止时间前供应商未递交</w:t>
      </w:r>
      <w:r>
        <w:rPr>
          <w:highlight w:val="none"/>
        </w:rPr>
        <w:t>响应</w:t>
      </w:r>
      <w:r>
        <w:rPr>
          <w:highlight w:val="none"/>
          <w:lang w:val="en-GB"/>
        </w:rPr>
        <w:t>文件的，视为无效响应</w:t>
      </w:r>
      <w:r>
        <w:rPr>
          <w:bCs/>
          <w:highlight w:val="none"/>
          <w:lang w:val="en-GB"/>
        </w:rPr>
        <w:t>。</w:t>
      </w:r>
    </w:p>
    <w:p w14:paraId="353A8424">
      <w:pPr>
        <w:pStyle w:val="45"/>
        <w:rPr>
          <w:rFonts w:hint="default"/>
          <w:highlight w:val="none"/>
        </w:rPr>
      </w:pPr>
      <w:r>
        <w:rPr>
          <w:highlight w:val="none"/>
          <w:lang w:val="en-GB"/>
        </w:rPr>
        <w:t>25.</w:t>
      </w:r>
      <w:r>
        <w:rPr>
          <w:highlight w:val="none"/>
        </w:rPr>
        <w:t>4</w:t>
      </w:r>
      <w:r>
        <w:rPr>
          <w:b/>
          <w:highlight w:val="none"/>
          <w:lang w:val="en-GB"/>
        </w:rPr>
        <w:t>谈判小组对各供应商的谈判响应文件进行初审，并确定谈判内容。</w:t>
      </w:r>
      <w:r>
        <w:rPr>
          <w:highlight w:val="none"/>
        </w:rPr>
        <w:t>谈判响应文件的初审分为：</w:t>
      </w:r>
    </w:p>
    <w:p w14:paraId="41FE0736">
      <w:pPr>
        <w:pStyle w:val="45"/>
        <w:rPr>
          <w:rFonts w:hint="default"/>
          <w:highlight w:val="none"/>
          <w:lang w:val="en-GB"/>
        </w:rPr>
      </w:pPr>
      <w:r>
        <w:rPr>
          <w:highlight w:val="none"/>
          <w:lang w:val="en-GB"/>
        </w:rPr>
        <w:t>（1）资格性检查。依据法律法规和竞争性谈判</w:t>
      </w:r>
      <w:r>
        <w:rPr>
          <w:highlight w:val="none"/>
        </w:rPr>
        <w:t>文件“第四章响应文件格式”的规定，对响应文件中的资格证明文件进行审查，以确定供应商是否具备参加谈判资格。</w:t>
      </w:r>
    </w:p>
    <w:p w14:paraId="7F1570BA">
      <w:pPr>
        <w:pStyle w:val="45"/>
        <w:rPr>
          <w:rFonts w:hint="default"/>
          <w:highlight w:val="none"/>
          <w:lang w:val="en-GB"/>
        </w:rPr>
      </w:pPr>
      <w:r>
        <w:rPr>
          <w:highlight w:val="none"/>
          <w:lang w:val="en-GB"/>
        </w:rPr>
        <w:t>（2）符合性检查。依据谈判文件的规定，从响应文件的有效性、完整性和对谈判文件的响应程度进行审查，以确定是否对谈判文件的实质性要求做出响应。</w:t>
      </w:r>
    </w:p>
    <w:p w14:paraId="2C45A6CD">
      <w:pPr>
        <w:pStyle w:val="45"/>
        <w:ind w:firstLine="482"/>
        <w:rPr>
          <w:rFonts w:hint="default"/>
          <w:b/>
          <w:highlight w:val="none"/>
          <w:lang w:val="en-GB"/>
        </w:rPr>
      </w:pPr>
      <w:r>
        <w:rPr>
          <w:b/>
          <w:highlight w:val="none"/>
          <w:lang w:val="en-GB"/>
        </w:rPr>
        <w:t>25.</w:t>
      </w:r>
      <w:r>
        <w:rPr>
          <w:b/>
          <w:highlight w:val="none"/>
        </w:rPr>
        <w:t>5</w:t>
      </w:r>
      <w:r>
        <w:rPr>
          <w:b/>
          <w:highlight w:val="none"/>
          <w:lang w:val="en-GB"/>
        </w:rPr>
        <w:t>初审出现下列情况者，响应文件被视为无效：</w:t>
      </w:r>
    </w:p>
    <w:p w14:paraId="26CCED3B">
      <w:pPr>
        <w:pStyle w:val="45"/>
        <w:rPr>
          <w:rFonts w:hint="default"/>
          <w:highlight w:val="none"/>
          <w:lang w:val="en-GB"/>
        </w:rPr>
      </w:pPr>
      <w:r>
        <w:rPr>
          <w:highlight w:val="none"/>
          <w:lang w:val="en-GB"/>
        </w:rPr>
        <w:t>未提交谈判响应书；</w:t>
      </w:r>
    </w:p>
    <w:p w14:paraId="121D2540">
      <w:pPr>
        <w:pStyle w:val="45"/>
        <w:rPr>
          <w:rFonts w:hint="default"/>
          <w:highlight w:val="none"/>
          <w:lang w:val="en-GB"/>
        </w:rPr>
      </w:pPr>
      <w:r>
        <w:rPr>
          <w:highlight w:val="none"/>
          <w:lang w:val="en-GB"/>
        </w:rPr>
        <w:t>未提交报价表；</w:t>
      </w:r>
    </w:p>
    <w:p w14:paraId="4491A258">
      <w:pPr>
        <w:pStyle w:val="45"/>
        <w:rPr>
          <w:rFonts w:hint="default"/>
          <w:highlight w:val="none"/>
          <w:lang w:val="en-GB"/>
        </w:rPr>
      </w:pPr>
      <w:r>
        <w:rPr>
          <w:highlight w:val="none"/>
          <w:lang w:val="en-GB"/>
        </w:rPr>
        <w:t>未按竞争性谈判文件“第四章响应文件格式9”的规定提供资格证明文件的；</w:t>
      </w:r>
    </w:p>
    <w:p w14:paraId="1A4BA702">
      <w:pPr>
        <w:pStyle w:val="45"/>
        <w:rPr>
          <w:rFonts w:hint="default"/>
          <w:highlight w:val="none"/>
          <w:lang w:val="en-GB"/>
        </w:rPr>
      </w:pPr>
      <w:r>
        <w:rPr>
          <w:highlight w:val="none"/>
          <w:lang w:val="en-GB"/>
        </w:rPr>
        <w:t>未按谈判文件要求签字、签章的，或签字（签章）人无法定代表人有效委托的；</w:t>
      </w:r>
    </w:p>
    <w:p w14:paraId="40A5EF05">
      <w:pPr>
        <w:pStyle w:val="45"/>
        <w:rPr>
          <w:rFonts w:hint="default"/>
          <w:highlight w:val="none"/>
          <w:lang w:val="en-GB"/>
        </w:rPr>
      </w:pPr>
      <w:r>
        <w:rPr>
          <w:highlight w:val="none"/>
          <w:lang w:val="en-GB"/>
        </w:rPr>
        <w:t>谈判有效期响应不足的；</w:t>
      </w:r>
    </w:p>
    <w:p w14:paraId="52DC7985">
      <w:pPr>
        <w:pStyle w:val="45"/>
        <w:rPr>
          <w:rFonts w:hint="default"/>
          <w:highlight w:val="none"/>
          <w:lang w:val="en-GB"/>
        </w:rPr>
      </w:pPr>
      <w:r>
        <w:rPr>
          <w:highlight w:val="none"/>
          <w:lang w:val="en-GB"/>
        </w:rPr>
        <w:t>技术文件技术规格中的响应与事实不符或虚假响应的；</w:t>
      </w:r>
    </w:p>
    <w:p w14:paraId="009D9F1A">
      <w:pPr>
        <w:pStyle w:val="45"/>
        <w:rPr>
          <w:rFonts w:hint="default"/>
          <w:highlight w:val="none"/>
          <w:lang w:val="en-GB"/>
        </w:rPr>
      </w:pPr>
      <w:r>
        <w:rPr>
          <w:highlight w:val="none"/>
          <w:lang w:val="en-GB"/>
        </w:rPr>
        <w:t>超过了采购项目预算或超过了最高限价的；</w:t>
      </w:r>
    </w:p>
    <w:p w14:paraId="241A7331">
      <w:pPr>
        <w:pStyle w:val="45"/>
        <w:rPr>
          <w:rFonts w:hint="default"/>
          <w:highlight w:val="none"/>
          <w:lang w:val="en-GB"/>
        </w:rPr>
      </w:pPr>
      <w:r>
        <w:rPr>
          <w:highlight w:val="none"/>
          <w:lang w:val="en-GB"/>
        </w:rPr>
        <w:t>谈判文件规定的其他响应无效条款。</w:t>
      </w:r>
    </w:p>
    <w:p w14:paraId="5B1520BD">
      <w:pPr>
        <w:pStyle w:val="45"/>
        <w:rPr>
          <w:rFonts w:hint="default"/>
          <w:highlight w:val="none"/>
        </w:rPr>
      </w:pPr>
      <w:r>
        <w:rPr>
          <w:highlight w:val="none"/>
        </w:rPr>
        <w:t>25.6谈判：</w:t>
      </w:r>
    </w:p>
    <w:p w14:paraId="2D70CA1B">
      <w:pPr>
        <w:pStyle w:val="45"/>
        <w:rPr>
          <w:rFonts w:hint="default"/>
          <w:highlight w:val="none"/>
          <w:lang w:val="en-GB"/>
        </w:rPr>
      </w:pPr>
      <w:r>
        <w:rPr>
          <w:highlight w:val="none"/>
          <w:lang w:val="en-GB"/>
        </w:rPr>
        <w:t>按照递交响应文件时间的顺序，谈判小组所有成员集中与单一供应商分别就符合采购需求、质量和服务等进行谈判，并了解其报价组成情况。谈判中，谈判的任何一方不得透露与谈判有关的其他供应商的技术资料、价格和其他信息。</w:t>
      </w:r>
    </w:p>
    <w:p w14:paraId="1EE1A09C">
      <w:pPr>
        <w:pStyle w:val="45"/>
        <w:rPr>
          <w:rFonts w:hint="default"/>
          <w:highlight w:val="none"/>
        </w:rPr>
      </w:pPr>
      <w:r>
        <w:rPr>
          <w:highlight w:val="none"/>
        </w:rPr>
        <w:t>25.7谈判文件修正</w:t>
      </w:r>
    </w:p>
    <w:p w14:paraId="73993416">
      <w:pPr>
        <w:pStyle w:val="45"/>
        <w:rPr>
          <w:rFonts w:hint="default"/>
          <w:highlight w:val="none"/>
        </w:rPr>
      </w:pPr>
      <w:r>
        <w:rPr>
          <w:highlight w:val="none"/>
        </w:rPr>
        <w:t>（1）在谈判过程中，谈判小组可以根据谈判文件和谈判情况实质性变动条款，但不得变动谈判文件中的其他内容。实质性变动的内容，须经采购人代表确认。</w:t>
      </w:r>
    </w:p>
    <w:p w14:paraId="2E152846">
      <w:pPr>
        <w:pStyle w:val="45"/>
        <w:rPr>
          <w:rFonts w:hint="default"/>
          <w:highlight w:val="none"/>
        </w:rPr>
      </w:pPr>
      <w:r>
        <w:rPr>
          <w:highlight w:val="none"/>
        </w:rPr>
        <w:t>（2）对谈判文件作出的实质性变动是谈判文件的有效组成部分，谈判小组应当及时以书面形式同时通知所有参加谈判的供应商。</w:t>
      </w:r>
    </w:p>
    <w:p w14:paraId="3627DA13">
      <w:pPr>
        <w:pStyle w:val="45"/>
        <w:rPr>
          <w:rFonts w:hint="default"/>
          <w:highlight w:val="none"/>
        </w:rPr>
      </w:pPr>
      <w:r>
        <w:rPr>
          <w:highlight w:val="none"/>
        </w:rPr>
        <w:t>（3）供应商按照谈判文件的变动情况和谈判小组的要求重新提交响应文件，并由其法定代表人或授权代表签字或者加盖公章。</w:t>
      </w:r>
    </w:p>
    <w:p w14:paraId="3485FFBA">
      <w:pPr>
        <w:pStyle w:val="45"/>
        <w:rPr>
          <w:rFonts w:hint="default"/>
          <w:highlight w:val="none"/>
        </w:rPr>
      </w:pPr>
      <w:r>
        <w:rPr>
          <w:highlight w:val="none"/>
        </w:rPr>
        <w:t>（4）谈判小组就修正后的响应文件与响应供应商分别进行谈判。代理机构对谈判过程和谈判内容作记录，谈判小组召集人和响应供应商在记录上签字确认。谈判小组可以根据情况进行三轮谈判。第三轮谈判为最终的谈判。</w:t>
      </w:r>
    </w:p>
    <w:p w14:paraId="026200D3">
      <w:pPr>
        <w:pStyle w:val="45"/>
        <w:rPr>
          <w:rFonts w:hint="default"/>
          <w:highlight w:val="none"/>
        </w:rPr>
      </w:pPr>
      <w:r>
        <w:rPr>
          <w:highlight w:val="none"/>
        </w:rPr>
        <w:t>25.8 最后报价</w:t>
      </w:r>
    </w:p>
    <w:p w14:paraId="7C314F9A">
      <w:pPr>
        <w:pStyle w:val="45"/>
        <w:rPr>
          <w:rFonts w:hint="default"/>
          <w:highlight w:val="none"/>
        </w:rPr>
      </w:pPr>
      <w:r>
        <w:rPr>
          <w:highlight w:val="none"/>
        </w:rPr>
        <w:t>（1）谈判结束后，谈判小组要求所有继续参加谈判的供应商在规定时间内提交最后</w:t>
      </w:r>
      <w:r>
        <w:rPr>
          <w:rFonts w:hint="eastAsia"/>
          <w:highlight w:val="none"/>
          <w:lang w:val="en-US" w:eastAsia="zh-CN"/>
        </w:rPr>
        <w:t>下浮率</w:t>
      </w:r>
      <w:r>
        <w:rPr>
          <w:highlight w:val="none"/>
        </w:rPr>
        <w:t>报价，提交最后</w:t>
      </w:r>
      <w:r>
        <w:rPr>
          <w:rFonts w:hint="eastAsia"/>
          <w:highlight w:val="none"/>
          <w:lang w:val="en-US" w:eastAsia="zh-CN"/>
        </w:rPr>
        <w:t>下浮率</w:t>
      </w:r>
      <w:r>
        <w:rPr>
          <w:highlight w:val="none"/>
        </w:rPr>
        <w:t>报价的供应商不得少于3家。</w:t>
      </w:r>
    </w:p>
    <w:p w14:paraId="1162663C">
      <w:pPr>
        <w:pStyle w:val="45"/>
        <w:rPr>
          <w:rFonts w:hint="default"/>
          <w:highlight w:val="none"/>
        </w:rPr>
      </w:pPr>
      <w:r>
        <w:rPr>
          <w:highlight w:val="none"/>
        </w:rPr>
        <w:t>（2）最后</w:t>
      </w:r>
      <w:r>
        <w:rPr>
          <w:rFonts w:hint="eastAsia"/>
          <w:highlight w:val="none"/>
          <w:lang w:val="en-US" w:eastAsia="zh-CN"/>
        </w:rPr>
        <w:t>下浮率</w:t>
      </w:r>
      <w:r>
        <w:rPr>
          <w:highlight w:val="none"/>
        </w:rPr>
        <w:t>报价是供应商响应文件的有效组成部分。</w:t>
      </w:r>
    </w:p>
    <w:p w14:paraId="19634C02">
      <w:pPr>
        <w:pStyle w:val="45"/>
        <w:rPr>
          <w:rFonts w:hint="default"/>
          <w:highlight w:val="none"/>
          <w:lang w:val="en-GB"/>
        </w:rPr>
      </w:pPr>
      <w:r>
        <w:rPr>
          <w:highlight w:val="none"/>
          <w:lang w:val="en-GB"/>
        </w:rPr>
        <w:t>（</w:t>
      </w:r>
      <w:r>
        <w:rPr>
          <w:rFonts w:hint="eastAsia"/>
          <w:highlight w:val="none"/>
          <w:lang w:val="en-US" w:eastAsia="zh-CN"/>
        </w:rPr>
        <w:t>3</w:t>
      </w:r>
      <w:r>
        <w:rPr>
          <w:highlight w:val="none"/>
          <w:lang w:val="en-GB"/>
        </w:rPr>
        <w:t>）若没有对谈判文件技术需求、商务作实质性修改或对服务要求、商务作了实质性修改，但没有提高采购要求，最后</w:t>
      </w:r>
      <w:r>
        <w:rPr>
          <w:rFonts w:hint="eastAsia"/>
          <w:highlight w:val="none"/>
          <w:lang w:val="en-US" w:eastAsia="zh-CN"/>
        </w:rPr>
        <w:t>下浮率</w:t>
      </w:r>
      <w:r>
        <w:rPr>
          <w:highlight w:val="none"/>
          <w:lang w:val="en-GB"/>
        </w:rPr>
        <w:t>报价不得</w:t>
      </w:r>
      <w:r>
        <w:rPr>
          <w:rFonts w:hint="eastAsia"/>
          <w:highlight w:val="none"/>
          <w:lang w:val="en-US" w:eastAsia="zh-CN"/>
        </w:rPr>
        <w:t>低</w:t>
      </w:r>
      <w:r>
        <w:rPr>
          <w:highlight w:val="none"/>
          <w:lang w:val="en-GB"/>
        </w:rPr>
        <w:t>于上一轮</w:t>
      </w:r>
      <w:r>
        <w:rPr>
          <w:rFonts w:hint="eastAsia"/>
          <w:highlight w:val="none"/>
          <w:lang w:val="en-US" w:eastAsia="zh-CN"/>
        </w:rPr>
        <w:t>下浮率</w:t>
      </w:r>
      <w:r>
        <w:rPr>
          <w:highlight w:val="none"/>
          <w:lang w:val="en-GB"/>
        </w:rPr>
        <w:t>报价；否则，</w:t>
      </w:r>
      <w:r>
        <w:rPr>
          <w:b/>
          <w:highlight w:val="none"/>
          <w:lang w:val="en-GB"/>
        </w:rPr>
        <w:t>视为无效响应。</w:t>
      </w:r>
    </w:p>
    <w:p w14:paraId="45F7FEC7">
      <w:pPr>
        <w:pStyle w:val="45"/>
        <w:rPr>
          <w:rFonts w:hint="default"/>
          <w:highlight w:val="none"/>
        </w:rPr>
      </w:pPr>
      <w:r>
        <w:rPr>
          <w:highlight w:val="none"/>
        </w:rPr>
        <w:t>（5）未在规定时间内提交最后</w:t>
      </w:r>
      <w:r>
        <w:rPr>
          <w:rFonts w:hint="eastAsia"/>
          <w:highlight w:val="none"/>
          <w:lang w:val="en-US" w:eastAsia="zh-CN"/>
        </w:rPr>
        <w:t>下浮率</w:t>
      </w:r>
      <w:r>
        <w:rPr>
          <w:highlight w:val="none"/>
        </w:rPr>
        <w:t>报价或最后</w:t>
      </w:r>
      <w:r>
        <w:rPr>
          <w:rFonts w:hint="eastAsia"/>
          <w:highlight w:val="none"/>
          <w:lang w:val="en-US" w:eastAsia="zh-CN"/>
        </w:rPr>
        <w:t>下浮率</w:t>
      </w:r>
      <w:r>
        <w:rPr>
          <w:highlight w:val="none"/>
        </w:rPr>
        <w:t>报价不符合谈判文件要求的；</w:t>
      </w:r>
      <w:r>
        <w:rPr>
          <w:b/>
          <w:highlight w:val="none"/>
        </w:rPr>
        <w:t>视为无效响应</w:t>
      </w:r>
      <w:r>
        <w:rPr>
          <w:highlight w:val="none"/>
        </w:rPr>
        <w:t>。</w:t>
      </w:r>
    </w:p>
    <w:p w14:paraId="58D75A7F">
      <w:pPr>
        <w:pStyle w:val="45"/>
        <w:rPr>
          <w:rFonts w:hint="default"/>
          <w:highlight w:val="none"/>
        </w:rPr>
      </w:pPr>
      <w:r>
        <w:rPr>
          <w:highlight w:val="none"/>
        </w:rPr>
        <w:t>（6）已提交响应文件的供应商，在提交最后</w:t>
      </w:r>
      <w:r>
        <w:rPr>
          <w:rFonts w:hint="eastAsia"/>
          <w:highlight w:val="none"/>
          <w:lang w:val="en-US" w:eastAsia="zh-CN"/>
        </w:rPr>
        <w:t>下浮率</w:t>
      </w:r>
      <w:r>
        <w:rPr>
          <w:highlight w:val="none"/>
        </w:rPr>
        <w:t>报价之前，可以根据谈判情况退出谈判。采购人、采购代理机构应当退还退出谈判的供应商的保证金。</w:t>
      </w:r>
    </w:p>
    <w:p w14:paraId="15DA17AC">
      <w:pPr>
        <w:spacing w:line="360" w:lineRule="auto"/>
        <w:ind w:left="482" w:hanging="482" w:hangingChars="200"/>
        <w:rPr>
          <w:rFonts w:ascii="仿宋" w:hAnsi="仿宋" w:eastAsia="仿宋" w:cs="仿宋"/>
          <w:b/>
          <w:sz w:val="24"/>
          <w:szCs w:val="24"/>
          <w:highlight w:val="none"/>
        </w:rPr>
      </w:pPr>
      <w:r>
        <w:rPr>
          <w:rFonts w:hint="eastAsia" w:ascii="仿宋" w:hAnsi="仿宋" w:eastAsia="仿宋" w:cs="仿宋"/>
          <w:b/>
          <w:sz w:val="24"/>
          <w:szCs w:val="24"/>
          <w:highlight w:val="none"/>
        </w:rPr>
        <w:t>26. 成交标准　</w:t>
      </w:r>
    </w:p>
    <w:p w14:paraId="1D830CE6">
      <w:pPr>
        <w:pStyle w:val="45"/>
        <w:ind w:firstLine="482"/>
        <w:rPr>
          <w:rFonts w:hint="default"/>
          <w:b/>
          <w:bCs/>
          <w:highlight w:val="none"/>
        </w:rPr>
      </w:pPr>
      <w:r>
        <w:rPr>
          <w:b/>
          <w:bCs/>
          <w:highlight w:val="none"/>
        </w:rPr>
        <w:t>详见“供应商须知前附表”。</w:t>
      </w:r>
    </w:p>
    <w:p w14:paraId="41EDE842">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27. 与谈判小组的接触</w:t>
      </w:r>
    </w:p>
    <w:p w14:paraId="22047250">
      <w:pPr>
        <w:pStyle w:val="45"/>
        <w:rPr>
          <w:rFonts w:hint="default"/>
          <w:highlight w:val="none"/>
          <w:lang w:val="en-GB"/>
        </w:rPr>
      </w:pPr>
      <w:r>
        <w:rPr>
          <w:highlight w:val="none"/>
          <w:lang w:val="en-GB"/>
        </w:rPr>
        <w:t>27.1 除按本须知“第25条”规定外，从谈判之日起至授予合同期间，供应商不得就其谈判有关事项与谈判小组私下接触。</w:t>
      </w:r>
    </w:p>
    <w:p w14:paraId="6B848854">
      <w:pPr>
        <w:pStyle w:val="45"/>
        <w:rPr>
          <w:rFonts w:hint="default"/>
          <w:highlight w:val="none"/>
          <w:lang w:val="en-GB"/>
        </w:rPr>
      </w:pPr>
      <w:r>
        <w:rPr>
          <w:highlight w:val="none"/>
          <w:lang w:val="en-GB"/>
        </w:rPr>
        <w:t>27.2 供应商试图对谈判小组的评审施加任何影响，都可能导致其响应文件作无效处理。</w:t>
      </w:r>
    </w:p>
    <w:p w14:paraId="15733639">
      <w:pPr>
        <w:spacing w:line="360" w:lineRule="auto"/>
        <w:rPr>
          <w:rFonts w:ascii="仿宋" w:hAnsi="仿宋" w:eastAsia="仿宋" w:cs="仿宋"/>
          <w:b/>
          <w:sz w:val="24"/>
          <w:szCs w:val="24"/>
          <w:highlight w:val="none"/>
        </w:rPr>
      </w:pPr>
      <w:bookmarkStart w:id="44" w:name="_Toc376848253"/>
      <w:r>
        <w:rPr>
          <w:rFonts w:hint="eastAsia" w:ascii="仿宋" w:hAnsi="仿宋" w:eastAsia="仿宋" w:cs="仿宋"/>
          <w:b/>
          <w:sz w:val="24"/>
          <w:szCs w:val="24"/>
          <w:highlight w:val="none"/>
        </w:rPr>
        <w:t>28.终止竞争性谈判采购活动的情形</w:t>
      </w:r>
    </w:p>
    <w:p w14:paraId="29A98995">
      <w:pPr>
        <w:pStyle w:val="45"/>
        <w:rPr>
          <w:rFonts w:hint="default"/>
          <w:highlight w:val="none"/>
          <w:lang w:val="en-GB"/>
        </w:rPr>
      </w:pPr>
      <w:r>
        <w:rPr>
          <w:highlight w:val="none"/>
          <w:lang w:val="en-GB"/>
        </w:rPr>
        <w:t>出现下列情形之一的，终止竞争性谈判采购活动</w:t>
      </w:r>
      <w:r>
        <w:rPr>
          <w:b/>
          <w:highlight w:val="none"/>
          <w:lang w:val="en-GB"/>
        </w:rPr>
        <w:t>：</w:t>
      </w:r>
    </w:p>
    <w:p w14:paraId="6B214912">
      <w:pPr>
        <w:pStyle w:val="45"/>
        <w:rPr>
          <w:rFonts w:hint="default"/>
          <w:highlight w:val="none"/>
        </w:rPr>
      </w:pPr>
      <w:r>
        <w:rPr>
          <w:highlight w:val="none"/>
        </w:rPr>
        <w:t>（1）因情况变化，不再符合规定的竞争性谈判采购方式适用情形的；</w:t>
      </w:r>
    </w:p>
    <w:p w14:paraId="522FCD76">
      <w:pPr>
        <w:pStyle w:val="45"/>
        <w:rPr>
          <w:rFonts w:hint="default"/>
          <w:highlight w:val="none"/>
        </w:rPr>
      </w:pPr>
      <w:r>
        <w:rPr>
          <w:highlight w:val="none"/>
        </w:rPr>
        <w:t>（2）出现影响采购公正的违法、违规行为的。</w:t>
      </w:r>
    </w:p>
    <w:p w14:paraId="59E432AF">
      <w:pPr>
        <w:pStyle w:val="45"/>
        <w:rPr>
          <w:rFonts w:hint="default"/>
          <w:highlight w:val="none"/>
        </w:rPr>
      </w:pPr>
      <w:r>
        <w:rPr>
          <w:highlight w:val="none"/>
        </w:rPr>
        <w:t>（3）在采购过程中符合竞争要求的供应商或者报价未超过采购预算的供应商不足3家的。</w:t>
      </w:r>
    </w:p>
    <w:p w14:paraId="2BF4D290">
      <w:pPr>
        <w:pStyle w:val="42"/>
        <w:spacing w:before="240"/>
        <w:rPr>
          <w:rFonts w:hint="default"/>
          <w:highlight w:val="none"/>
        </w:rPr>
      </w:pPr>
      <w:bookmarkStart w:id="45" w:name="_Toc377297026"/>
      <w:bookmarkStart w:id="46" w:name="_Toc6879"/>
      <w:r>
        <w:rPr>
          <w:highlight w:val="none"/>
        </w:rPr>
        <w:t>七、推荐成交候选供应商、确定成交供应商</w:t>
      </w:r>
      <w:bookmarkEnd w:id="45"/>
      <w:bookmarkEnd w:id="46"/>
    </w:p>
    <w:p w14:paraId="45A0FB76">
      <w:pPr>
        <w:spacing w:line="360" w:lineRule="auto"/>
        <w:rPr>
          <w:rFonts w:ascii="仿宋" w:hAnsi="仿宋" w:eastAsia="仿宋" w:cs="仿宋"/>
          <w:b/>
          <w:bCs/>
          <w:sz w:val="24"/>
          <w:szCs w:val="24"/>
          <w:highlight w:val="none"/>
        </w:rPr>
      </w:pPr>
      <w:r>
        <w:rPr>
          <w:rFonts w:hint="eastAsia" w:ascii="仿宋" w:hAnsi="仿宋" w:eastAsia="仿宋" w:cs="仿宋"/>
          <w:b/>
          <w:bCs/>
          <w:sz w:val="24"/>
          <w:szCs w:val="24"/>
          <w:highlight w:val="none"/>
        </w:rPr>
        <w:t>29.推荐成交候选供应商方法</w:t>
      </w:r>
    </w:p>
    <w:p w14:paraId="20139B68">
      <w:pPr>
        <w:pStyle w:val="45"/>
        <w:rPr>
          <w:rFonts w:hint="default"/>
          <w:highlight w:val="none"/>
          <w:lang w:val="en-GB"/>
        </w:rPr>
      </w:pPr>
      <w:r>
        <w:rPr>
          <w:highlight w:val="none"/>
          <w:lang w:val="en-GB"/>
        </w:rPr>
        <w:t>29.1谈判小组从质量和服务均能满足采购文件实质性响应要求的供应商中，按照最后</w:t>
      </w:r>
      <w:r>
        <w:rPr>
          <w:rFonts w:hint="eastAsia"/>
          <w:highlight w:val="none"/>
          <w:lang w:val="en-US" w:eastAsia="zh-CN"/>
        </w:rPr>
        <w:t>投标下浮率</w:t>
      </w:r>
      <w:r>
        <w:rPr>
          <w:highlight w:val="none"/>
          <w:lang w:val="en-GB"/>
        </w:rPr>
        <w:t>由</w:t>
      </w:r>
      <w:r>
        <w:rPr>
          <w:rFonts w:hint="eastAsia"/>
          <w:highlight w:val="none"/>
          <w:lang w:val="en-US" w:eastAsia="zh-CN"/>
        </w:rPr>
        <w:t>高</w:t>
      </w:r>
      <w:r>
        <w:rPr>
          <w:highlight w:val="none"/>
          <w:lang w:val="en-GB"/>
        </w:rPr>
        <w:t>到</w:t>
      </w:r>
      <w:r>
        <w:rPr>
          <w:rFonts w:hint="eastAsia"/>
          <w:highlight w:val="none"/>
          <w:lang w:val="en-US" w:eastAsia="zh-CN"/>
        </w:rPr>
        <w:t>低</w:t>
      </w:r>
      <w:r>
        <w:rPr>
          <w:highlight w:val="none"/>
          <w:lang w:val="en-GB"/>
        </w:rPr>
        <w:t>的顺序提出3名以上成交候选人，并编写评审报告。</w:t>
      </w:r>
    </w:p>
    <w:p w14:paraId="0D5AFC38">
      <w:pPr>
        <w:pStyle w:val="45"/>
        <w:rPr>
          <w:rFonts w:hint="default"/>
          <w:highlight w:val="none"/>
          <w:lang w:val="en-GB"/>
        </w:rPr>
      </w:pPr>
      <w:r>
        <w:rPr>
          <w:highlight w:val="none"/>
          <w:lang w:val="en-GB"/>
        </w:rPr>
        <w:t>29.2最终</w:t>
      </w:r>
      <w:r>
        <w:rPr>
          <w:rFonts w:hint="eastAsia"/>
          <w:highlight w:val="none"/>
          <w:lang w:val="en-US" w:eastAsia="zh-CN"/>
        </w:rPr>
        <w:t>下浮率</w:t>
      </w:r>
      <w:r>
        <w:rPr>
          <w:highlight w:val="none"/>
          <w:lang w:val="en-GB"/>
        </w:rPr>
        <w:t>报价相同的，由</w:t>
      </w:r>
      <w:r>
        <w:rPr>
          <w:rFonts w:hint="eastAsia"/>
          <w:highlight w:val="none"/>
          <w:lang w:val="en-US" w:eastAsia="zh-CN"/>
        </w:rPr>
        <w:t>采购人现场</w:t>
      </w:r>
      <w:r>
        <w:rPr>
          <w:highlight w:val="none"/>
          <w:lang w:val="en-GB"/>
        </w:rPr>
        <w:t>随机抽取确定排序。</w:t>
      </w:r>
    </w:p>
    <w:p w14:paraId="1CBCF428">
      <w:pPr>
        <w:spacing w:line="360" w:lineRule="auto"/>
        <w:rPr>
          <w:rFonts w:ascii="仿宋" w:hAnsi="仿宋" w:eastAsia="仿宋" w:cs="仿宋"/>
          <w:b/>
          <w:bCs/>
          <w:sz w:val="24"/>
          <w:szCs w:val="24"/>
          <w:highlight w:val="none"/>
        </w:rPr>
      </w:pPr>
      <w:r>
        <w:rPr>
          <w:rFonts w:hint="eastAsia" w:ascii="仿宋" w:hAnsi="仿宋" w:eastAsia="仿宋" w:cs="仿宋"/>
          <w:b/>
          <w:bCs/>
          <w:sz w:val="24"/>
          <w:szCs w:val="24"/>
          <w:highlight w:val="none"/>
        </w:rPr>
        <w:t>30.确定成交供应商</w:t>
      </w:r>
    </w:p>
    <w:p w14:paraId="410981F7">
      <w:pPr>
        <w:pStyle w:val="45"/>
        <w:rPr>
          <w:rFonts w:hint="default"/>
          <w:highlight w:val="none"/>
        </w:rPr>
      </w:pPr>
      <w:r>
        <w:rPr>
          <w:highlight w:val="none"/>
        </w:rPr>
        <w:t>30.1采购代理机构在谈判结束后将评审报告送采购人。</w:t>
      </w:r>
    </w:p>
    <w:p w14:paraId="129EBD8E">
      <w:pPr>
        <w:pStyle w:val="45"/>
        <w:rPr>
          <w:rFonts w:hint="default"/>
          <w:bCs/>
          <w:highlight w:val="none"/>
        </w:rPr>
      </w:pPr>
      <w:r>
        <w:rPr>
          <w:highlight w:val="none"/>
        </w:rPr>
        <w:t>30.2采购人收到评审报告后，按照评审报告推荐的成交候选人顺序确定成交供应商。也可以事先授权谈判小组直接确定成交供应商。</w:t>
      </w:r>
    </w:p>
    <w:bookmarkEnd w:id="44"/>
    <w:p w14:paraId="463E6AF8">
      <w:pPr>
        <w:pStyle w:val="42"/>
        <w:spacing w:before="240"/>
        <w:rPr>
          <w:rFonts w:hint="default"/>
          <w:highlight w:val="none"/>
        </w:rPr>
      </w:pPr>
      <w:bookmarkStart w:id="47" w:name="_Toc376848254"/>
      <w:bookmarkStart w:id="48" w:name="_Toc23523"/>
      <w:bookmarkStart w:id="49" w:name="_Toc286758340"/>
      <w:r>
        <w:rPr>
          <w:highlight w:val="none"/>
        </w:rPr>
        <w:t>八、成交结果公告</w:t>
      </w:r>
      <w:bookmarkEnd w:id="47"/>
      <w:r>
        <w:rPr>
          <w:highlight w:val="none"/>
        </w:rPr>
        <w:t>、成交通知书</w:t>
      </w:r>
      <w:bookmarkEnd w:id="48"/>
    </w:p>
    <w:p w14:paraId="7CDD0ADF">
      <w:pPr>
        <w:spacing w:line="360" w:lineRule="auto"/>
        <w:rPr>
          <w:rFonts w:ascii="仿宋" w:hAnsi="仿宋" w:eastAsia="仿宋" w:cs="仿宋"/>
          <w:b/>
          <w:bCs/>
          <w:sz w:val="24"/>
          <w:szCs w:val="24"/>
          <w:highlight w:val="none"/>
        </w:rPr>
      </w:pPr>
      <w:r>
        <w:rPr>
          <w:rFonts w:hint="eastAsia" w:ascii="仿宋" w:hAnsi="仿宋" w:eastAsia="仿宋" w:cs="仿宋"/>
          <w:b/>
          <w:bCs/>
          <w:sz w:val="24"/>
          <w:szCs w:val="24"/>
          <w:highlight w:val="none"/>
        </w:rPr>
        <w:t xml:space="preserve">31. </w:t>
      </w:r>
      <w:bookmarkEnd w:id="49"/>
      <w:r>
        <w:rPr>
          <w:rFonts w:hint="eastAsia" w:ascii="仿宋" w:hAnsi="仿宋" w:eastAsia="仿宋" w:cs="仿宋"/>
          <w:b/>
          <w:bCs/>
          <w:sz w:val="24"/>
          <w:szCs w:val="24"/>
          <w:highlight w:val="none"/>
        </w:rPr>
        <w:t>成交结果公告</w:t>
      </w:r>
    </w:p>
    <w:p w14:paraId="4C1E0D44">
      <w:pPr>
        <w:pStyle w:val="45"/>
        <w:rPr>
          <w:rFonts w:hint="default"/>
          <w:highlight w:val="none"/>
        </w:rPr>
      </w:pPr>
      <w:r>
        <w:rPr>
          <w:highlight w:val="none"/>
        </w:rPr>
        <w:t>成交供应商确定后，采购代理机构在东乡区人民政府网（公共资源交易）网站</w:t>
      </w:r>
      <w:r>
        <w:rPr>
          <w:rFonts w:hint="eastAsia"/>
          <w:highlight w:val="none"/>
          <w:lang w:eastAsia="zh-CN"/>
        </w:rPr>
        <w:t>、</w:t>
      </w:r>
      <w:r>
        <w:rPr>
          <w:rFonts w:hint="eastAsia" w:ascii="仿宋" w:hAnsi="仿宋" w:eastAsia="仿宋" w:cs="仿宋"/>
          <w:sz w:val="24"/>
          <w:szCs w:val="24"/>
          <w:highlight w:val="none"/>
          <w:lang w:val="en-US" w:eastAsia="zh-CN"/>
        </w:rPr>
        <w:t>东乡区公共资源交易中心、</w:t>
      </w:r>
      <w:r>
        <w:rPr>
          <w:rFonts w:hint="eastAsia" w:ascii="仿宋" w:hAnsi="仿宋" w:eastAsia="仿宋" w:cs="仿宋"/>
          <w:sz w:val="24"/>
          <w:szCs w:val="24"/>
          <w:highlight w:val="none"/>
          <w:lang w:eastAsia="zh-CN"/>
        </w:rPr>
        <w:t>抚州市东乡区工业与科技创新投资集团有限公司</w:t>
      </w:r>
      <w:r>
        <w:rPr>
          <w:rFonts w:hint="eastAsia" w:ascii="仿宋" w:hAnsi="仿宋" w:eastAsia="仿宋" w:cs="仿宋"/>
          <w:sz w:val="24"/>
          <w:szCs w:val="24"/>
          <w:highlight w:val="none"/>
        </w:rPr>
        <w:t>官网</w:t>
      </w:r>
      <w:bookmarkStart w:id="97" w:name="_GoBack"/>
      <w:bookmarkEnd w:id="97"/>
      <w:r>
        <w:rPr>
          <w:highlight w:val="none"/>
        </w:rPr>
        <w:t>上公告成交结果，公告期限为1个工作日。</w:t>
      </w:r>
    </w:p>
    <w:p w14:paraId="6CB90129">
      <w:pPr>
        <w:spacing w:line="360" w:lineRule="auto"/>
        <w:rPr>
          <w:rFonts w:ascii="仿宋" w:hAnsi="仿宋" w:eastAsia="仿宋" w:cs="仿宋"/>
          <w:b/>
          <w:bCs/>
          <w:sz w:val="24"/>
          <w:szCs w:val="24"/>
          <w:highlight w:val="none"/>
        </w:rPr>
      </w:pPr>
      <w:r>
        <w:rPr>
          <w:rFonts w:hint="eastAsia" w:ascii="仿宋" w:hAnsi="仿宋" w:eastAsia="仿宋" w:cs="仿宋"/>
          <w:b/>
          <w:bCs/>
          <w:sz w:val="24"/>
          <w:szCs w:val="24"/>
          <w:highlight w:val="none"/>
        </w:rPr>
        <w:t>32.成交通知书</w:t>
      </w:r>
    </w:p>
    <w:p w14:paraId="2DAA2505">
      <w:pPr>
        <w:pStyle w:val="45"/>
        <w:rPr>
          <w:rFonts w:hint="default"/>
          <w:highlight w:val="none"/>
        </w:rPr>
      </w:pPr>
      <w:r>
        <w:rPr>
          <w:highlight w:val="none"/>
        </w:rPr>
        <w:t>32.1采购代理机构公告成交结果，向成交供应商发出成交通知书，并通知所有未成交的供应商。</w:t>
      </w:r>
    </w:p>
    <w:p w14:paraId="01B63C7E">
      <w:pPr>
        <w:pStyle w:val="45"/>
        <w:rPr>
          <w:rFonts w:hint="default"/>
          <w:highlight w:val="none"/>
        </w:rPr>
      </w:pPr>
      <w:r>
        <w:rPr>
          <w:highlight w:val="none"/>
        </w:rPr>
        <w:t>32.2成交通知书是合同的一个组成部分。</w:t>
      </w:r>
    </w:p>
    <w:p w14:paraId="405D93C4">
      <w:pPr>
        <w:pStyle w:val="42"/>
        <w:spacing w:before="240"/>
        <w:rPr>
          <w:rFonts w:hint="default"/>
          <w:highlight w:val="none"/>
        </w:rPr>
      </w:pPr>
      <w:bookmarkStart w:id="50" w:name="_Toc749"/>
      <w:r>
        <w:rPr>
          <w:highlight w:val="none"/>
        </w:rPr>
        <w:t>九、履约保证金、签订合同</w:t>
      </w:r>
      <w:bookmarkEnd w:id="50"/>
    </w:p>
    <w:p w14:paraId="6A61C86B">
      <w:pPr>
        <w:spacing w:line="360" w:lineRule="auto"/>
        <w:jc w:val="left"/>
        <w:rPr>
          <w:rFonts w:ascii="仿宋" w:hAnsi="仿宋" w:eastAsia="仿宋" w:cs="仿宋"/>
          <w:b/>
          <w:bCs/>
          <w:sz w:val="24"/>
          <w:szCs w:val="24"/>
          <w:highlight w:val="none"/>
        </w:rPr>
      </w:pPr>
      <w:r>
        <w:rPr>
          <w:rFonts w:hint="eastAsia" w:ascii="仿宋" w:hAnsi="仿宋" w:eastAsia="仿宋" w:cs="仿宋"/>
          <w:b/>
          <w:bCs/>
          <w:sz w:val="24"/>
          <w:szCs w:val="24"/>
          <w:highlight w:val="none"/>
        </w:rPr>
        <w:t>33. 履约保证金</w:t>
      </w:r>
    </w:p>
    <w:p w14:paraId="6544CDC3">
      <w:pPr>
        <w:pStyle w:val="45"/>
        <w:rPr>
          <w:rFonts w:hint="default"/>
          <w:highlight w:val="none"/>
        </w:rPr>
      </w:pPr>
      <w:r>
        <w:rPr>
          <w:highlight w:val="none"/>
        </w:rPr>
        <w:t>33.1中标人在与招标人签订采购合同之前，应向招标人提交“投标人须知前附表”规定的履约保证金。履约保证金按招标人的要求汇入招标人指定账户。</w:t>
      </w:r>
    </w:p>
    <w:p w14:paraId="619CAFE0">
      <w:pPr>
        <w:pStyle w:val="45"/>
        <w:rPr>
          <w:rFonts w:hint="default"/>
          <w:highlight w:val="none"/>
        </w:rPr>
      </w:pPr>
      <w:r>
        <w:rPr>
          <w:highlight w:val="none"/>
        </w:rPr>
        <w:t>33.2 履约保证金用于补偿因中标人不能完成其合同义务而使招标人蒙受的损失。</w:t>
      </w:r>
    </w:p>
    <w:p w14:paraId="4DD3314B">
      <w:pPr>
        <w:pStyle w:val="45"/>
        <w:rPr>
          <w:rFonts w:hint="default"/>
          <w:b/>
          <w:bCs/>
          <w:highlight w:val="none"/>
        </w:rPr>
      </w:pPr>
      <w:r>
        <w:rPr>
          <w:highlight w:val="none"/>
        </w:rPr>
        <w:t>33.3如果中标人没有按本须知“第33.1条”规定执行，招标人将有充分理由取消该中标决定，在此情况下可以与排位在中标人之后第一位的中标候选供应商签订采购合同，以此类推；或重新组织招标。</w:t>
      </w:r>
    </w:p>
    <w:p w14:paraId="5C9EF4E6">
      <w:pPr>
        <w:spacing w:line="360" w:lineRule="auto"/>
        <w:rPr>
          <w:rFonts w:ascii="仿宋" w:hAnsi="仿宋" w:eastAsia="仿宋" w:cs="仿宋"/>
          <w:b/>
          <w:bCs/>
          <w:sz w:val="24"/>
          <w:szCs w:val="24"/>
          <w:highlight w:val="none"/>
        </w:rPr>
      </w:pPr>
      <w:r>
        <w:rPr>
          <w:rFonts w:hint="eastAsia" w:ascii="仿宋" w:hAnsi="仿宋" w:eastAsia="仿宋" w:cs="仿宋"/>
          <w:b/>
          <w:bCs/>
          <w:sz w:val="24"/>
          <w:szCs w:val="24"/>
          <w:highlight w:val="none"/>
        </w:rPr>
        <w:t>34. 签订合同</w:t>
      </w:r>
    </w:p>
    <w:p w14:paraId="162C6914">
      <w:pPr>
        <w:pStyle w:val="45"/>
        <w:rPr>
          <w:rFonts w:hint="default"/>
          <w:highlight w:val="none"/>
        </w:rPr>
      </w:pPr>
      <w:r>
        <w:rPr>
          <w:highlight w:val="none"/>
        </w:rPr>
        <w:t>34.1 成交供应商应按成交通知书规定的时间、地点与采购人签订合同，否则按谈判文件“15.5”条处理。</w:t>
      </w:r>
    </w:p>
    <w:p w14:paraId="322E43D6">
      <w:pPr>
        <w:pStyle w:val="45"/>
        <w:rPr>
          <w:rFonts w:hint="default"/>
          <w:highlight w:val="none"/>
        </w:rPr>
      </w:pPr>
      <w:r>
        <w:rPr>
          <w:highlight w:val="none"/>
        </w:rPr>
        <w:t>34.2 谈判文件、成交供应商的响应文件及评审过程中有关澄清文件均为签订合同的依据。</w:t>
      </w:r>
    </w:p>
    <w:p w14:paraId="256B63EF">
      <w:pPr>
        <w:pStyle w:val="45"/>
        <w:rPr>
          <w:rFonts w:hint="default"/>
          <w:highlight w:val="none"/>
        </w:rPr>
      </w:pPr>
      <w:r>
        <w:rPr>
          <w:highlight w:val="none"/>
        </w:rPr>
        <w:t>34.3合同履行中，采购人需追加与合同标的相同的，在不改变合同其他条款的前提下，可以与供应商协商签订补充合同，但所有补充合同的采购金额不得超过原合同采购金额的百分之十。</w:t>
      </w:r>
    </w:p>
    <w:p w14:paraId="6220344F">
      <w:pPr>
        <w:pStyle w:val="45"/>
        <w:rPr>
          <w:rFonts w:hint="default"/>
          <w:highlight w:val="none"/>
        </w:rPr>
      </w:pPr>
      <w:r>
        <w:rPr>
          <w:highlight w:val="none"/>
        </w:rPr>
        <w:t>34.4成交供应商拒绝签订采购合同的，采购人可以按本须知“第30条”规定的原则确定下一个候选人为成交供应商，也可以重新开展采购活动。拒绝签订采购合同的成交供应商不得参加该项目重新开展的采购活动，并不予退还其交纳的谈判保证金，同时上报省财政监管部门依法处理。</w:t>
      </w:r>
    </w:p>
    <w:p w14:paraId="153E6443">
      <w:pPr>
        <w:pStyle w:val="42"/>
        <w:spacing w:before="240"/>
        <w:rPr>
          <w:rFonts w:hint="default"/>
          <w:highlight w:val="none"/>
        </w:rPr>
      </w:pPr>
      <w:bookmarkStart w:id="51" w:name="_Toc1409"/>
      <w:r>
        <w:rPr>
          <w:highlight w:val="none"/>
        </w:rPr>
        <w:t>十、询问和质疑</w:t>
      </w:r>
      <w:bookmarkEnd w:id="51"/>
    </w:p>
    <w:p w14:paraId="4BBAD39F">
      <w:pPr>
        <w:spacing w:line="360" w:lineRule="auto"/>
        <w:rPr>
          <w:rFonts w:ascii="仿宋" w:hAnsi="仿宋" w:eastAsia="仿宋" w:cs="仿宋"/>
          <w:b/>
          <w:bCs/>
          <w:sz w:val="24"/>
          <w:szCs w:val="24"/>
          <w:highlight w:val="none"/>
        </w:rPr>
      </w:pPr>
      <w:r>
        <w:rPr>
          <w:rFonts w:hint="eastAsia" w:ascii="仿宋" w:hAnsi="仿宋" w:eastAsia="仿宋" w:cs="仿宋"/>
          <w:b/>
          <w:sz w:val="24"/>
          <w:szCs w:val="24"/>
          <w:highlight w:val="none"/>
        </w:rPr>
        <w:t>35.</w:t>
      </w:r>
      <w:r>
        <w:rPr>
          <w:rFonts w:hint="eastAsia" w:ascii="仿宋" w:hAnsi="仿宋" w:eastAsia="仿宋" w:cs="仿宋"/>
          <w:b/>
          <w:bCs/>
          <w:sz w:val="24"/>
          <w:szCs w:val="24"/>
          <w:highlight w:val="none"/>
        </w:rPr>
        <w:t>询问</w:t>
      </w:r>
    </w:p>
    <w:p w14:paraId="6D88A739">
      <w:pPr>
        <w:pStyle w:val="45"/>
        <w:rPr>
          <w:rFonts w:hint="default"/>
          <w:highlight w:val="none"/>
        </w:rPr>
      </w:pPr>
      <w:r>
        <w:rPr>
          <w:highlight w:val="none"/>
        </w:rPr>
        <w:t>供应商对采购活动事项有疑问的，可以向采购人或者采购代理机构提出询问，采购代理机构应当在3个工作日内对供应商依法提出的询问作出答复。</w:t>
      </w:r>
    </w:p>
    <w:p w14:paraId="1C49380E">
      <w:pPr>
        <w:spacing w:line="360" w:lineRule="auto"/>
        <w:rPr>
          <w:rFonts w:ascii="仿宋" w:hAnsi="仿宋" w:eastAsia="仿宋" w:cs="仿宋"/>
          <w:b/>
          <w:bCs/>
          <w:sz w:val="24"/>
          <w:szCs w:val="24"/>
          <w:highlight w:val="none"/>
        </w:rPr>
      </w:pPr>
      <w:r>
        <w:rPr>
          <w:rFonts w:hint="eastAsia" w:ascii="仿宋" w:hAnsi="仿宋" w:eastAsia="仿宋" w:cs="仿宋"/>
          <w:b/>
          <w:bCs/>
          <w:sz w:val="24"/>
          <w:szCs w:val="24"/>
          <w:highlight w:val="none"/>
        </w:rPr>
        <w:t>36.质疑</w:t>
      </w:r>
    </w:p>
    <w:p w14:paraId="3D573B9B">
      <w:pPr>
        <w:pStyle w:val="45"/>
        <w:rPr>
          <w:rFonts w:hint="default"/>
          <w:highlight w:val="none"/>
        </w:rPr>
      </w:pPr>
      <w:r>
        <w:rPr>
          <w:highlight w:val="none"/>
        </w:rPr>
        <w:t>36.1 供应商认为谈判文件、谈判过程、成交结果使自己的权益受到损害的，可以在知道或者应知其权益受到损害之日起7个工作日内，以书面形式向采购人、采购代理机构提出质疑。</w:t>
      </w:r>
    </w:p>
    <w:p w14:paraId="34562E86">
      <w:pPr>
        <w:pStyle w:val="45"/>
        <w:rPr>
          <w:rFonts w:hint="default"/>
          <w:highlight w:val="none"/>
        </w:rPr>
      </w:pPr>
      <w:r>
        <w:rPr>
          <w:highlight w:val="none"/>
        </w:rPr>
        <w:t>1）对可以质疑的谈判文件提出质疑的，为收到谈判文件之日或者谈判文件公告期限届满之日起7个工作日内；</w:t>
      </w:r>
    </w:p>
    <w:p w14:paraId="09AB20AE">
      <w:pPr>
        <w:pStyle w:val="45"/>
        <w:rPr>
          <w:rFonts w:hint="default"/>
          <w:highlight w:val="none"/>
        </w:rPr>
      </w:pPr>
      <w:r>
        <w:rPr>
          <w:highlight w:val="none"/>
        </w:rPr>
        <w:t>2）对谈判过程提出质疑的，为各谈判程序环节结束之日起7个工作日内；</w:t>
      </w:r>
    </w:p>
    <w:p w14:paraId="14564E7A">
      <w:pPr>
        <w:pStyle w:val="45"/>
        <w:rPr>
          <w:rFonts w:hint="default"/>
          <w:highlight w:val="none"/>
        </w:rPr>
      </w:pPr>
      <w:r>
        <w:rPr>
          <w:highlight w:val="none"/>
        </w:rPr>
        <w:t>3）对成交结果提出质疑的，为成交结果公告期限届满之日起7个工作日内。</w:t>
      </w:r>
    </w:p>
    <w:p w14:paraId="10A849F4">
      <w:pPr>
        <w:pStyle w:val="45"/>
        <w:rPr>
          <w:rFonts w:hint="default"/>
          <w:highlight w:val="none"/>
        </w:rPr>
      </w:pPr>
      <w:r>
        <w:rPr>
          <w:highlight w:val="none"/>
        </w:rPr>
        <w:t>36.2 供应商应在法定质疑期内一次性提出针对同一采购程序环节的质疑。</w:t>
      </w:r>
    </w:p>
    <w:p w14:paraId="2096AFA8">
      <w:pPr>
        <w:pStyle w:val="45"/>
        <w:rPr>
          <w:rFonts w:hint="default"/>
          <w:highlight w:val="none"/>
        </w:rPr>
      </w:pPr>
      <w:r>
        <w:rPr>
          <w:highlight w:val="none"/>
        </w:rPr>
        <w:t>36.3 提出质疑的供应商应当是参与所质疑项目采购活动的供应商。</w:t>
      </w:r>
    </w:p>
    <w:p w14:paraId="13A5EC44">
      <w:pPr>
        <w:pStyle w:val="45"/>
        <w:rPr>
          <w:rFonts w:hint="default"/>
          <w:highlight w:val="none"/>
        </w:rPr>
      </w:pPr>
      <w:r>
        <w:rPr>
          <w:highlight w:val="none"/>
        </w:rPr>
        <w:t>36.4潜在供应商已依法获取其可质疑的谈判文件的，可以对该文件提出质疑。</w:t>
      </w:r>
    </w:p>
    <w:p w14:paraId="5E04D73B">
      <w:pPr>
        <w:pStyle w:val="45"/>
        <w:rPr>
          <w:rFonts w:hint="default"/>
          <w:highlight w:val="none"/>
        </w:rPr>
      </w:pPr>
      <w:r>
        <w:rPr>
          <w:highlight w:val="none"/>
        </w:rPr>
        <w:t>36.5供应商提出质疑应当提交质疑函和必要的证明材料。质疑函应当包括下列内容。</w:t>
      </w:r>
    </w:p>
    <w:p w14:paraId="2F2E7207">
      <w:pPr>
        <w:pStyle w:val="45"/>
        <w:rPr>
          <w:rFonts w:hint="default"/>
          <w:highlight w:val="none"/>
        </w:rPr>
      </w:pPr>
      <w:r>
        <w:rPr>
          <w:highlight w:val="none"/>
        </w:rPr>
        <w:t>　　（一）供应商的姓名或者名称、地址、邮编、联系人及联系电话；</w:t>
      </w:r>
    </w:p>
    <w:p w14:paraId="553611A9">
      <w:pPr>
        <w:pStyle w:val="45"/>
        <w:rPr>
          <w:rFonts w:hint="default"/>
          <w:highlight w:val="none"/>
        </w:rPr>
      </w:pPr>
      <w:r>
        <w:rPr>
          <w:highlight w:val="none"/>
        </w:rPr>
        <w:t>　　（二）质疑项目的名称、编号；</w:t>
      </w:r>
    </w:p>
    <w:p w14:paraId="1756BB29">
      <w:pPr>
        <w:pStyle w:val="45"/>
        <w:rPr>
          <w:rFonts w:hint="default"/>
          <w:highlight w:val="none"/>
        </w:rPr>
      </w:pPr>
      <w:r>
        <w:rPr>
          <w:highlight w:val="none"/>
        </w:rPr>
        <w:t>　　（三）具体、明确的质疑事项和与质疑事项相关的请求；</w:t>
      </w:r>
    </w:p>
    <w:p w14:paraId="733A3002">
      <w:pPr>
        <w:pStyle w:val="45"/>
        <w:rPr>
          <w:rFonts w:hint="default"/>
          <w:highlight w:val="none"/>
        </w:rPr>
      </w:pPr>
      <w:r>
        <w:rPr>
          <w:highlight w:val="none"/>
        </w:rPr>
        <w:t>　　（四）事实依据；</w:t>
      </w:r>
    </w:p>
    <w:p w14:paraId="389567A2">
      <w:pPr>
        <w:pStyle w:val="45"/>
        <w:rPr>
          <w:rFonts w:hint="default"/>
          <w:highlight w:val="none"/>
        </w:rPr>
      </w:pPr>
      <w:r>
        <w:rPr>
          <w:highlight w:val="none"/>
        </w:rPr>
        <w:t>　　（五）必要的法律依据；</w:t>
      </w:r>
    </w:p>
    <w:p w14:paraId="4720375A">
      <w:pPr>
        <w:pStyle w:val="45"/>
        <w:rPr>
          <w:rFonts w:hint="default"/>
          <w:highlight w:val="none"/>
        </w:rPr>
      </w:pPr>
      <w:r>
        <w:rPr>
          <w:highlight w:val="none"/>
        </w:rPr>
        <w:t>　　（六）提出质疑的日期。</w:t>
      </w:r>
    </w:p>
    <w:p w14:paraId="335B0E69">
      <w:pPr>
        <w:pStyle w:val="45"/>
        <w:rPr>
          <w:rFonts w:hint="default"/>
          <w:highlight w:val="none"/>
        </w:rPr>
      </w:pPr>
      <w:r>
        <w:rPr>
          <w:highlight w:val="none"/>
        </w:rPr>
        <w:t>供应商为自然人的，应当由本人签字；供应商为法人或者其他组织的，应当由法定代表人、主要负责人，或者其授权代表签字或者盖章，并加盖公章。</w:t>
      </w:r>
    </w:p>
    <w:p w14:paraId="57510D7C">
      <w:pPr>
        <w:pStyle w:val="45"/>
        <w:rPr>
          <w:rFonts w:hint="default"/>
          <w:highlight w:val="none"/>
        </w:rPr>
      </w:pPr>
      <w:r>
        <w:rPr>
          <w:highlight w:val="none"/>
        </w:rPr>
        <w:t>对谈判文件质疑的，须同时提供下载谈判文件的凭证。</w:t>
      </w:r>
    </w:p>
    <w:p w14:paraId="54C7D77C">
      <w:pPr>
        <w:pStyle w:val="45"/>
        <w:rPr>
          <w:rFonts w:hint="default"/>
          <w:highlight w:val="none"/>
        </w:rPr>
      </w:pPr>
      <w:r>
        <w:rPr>
          <w:highlight w:val="none"/>
        </w:rPr>
        <w:t>36.6质疑函接收方式</w:t>
      </w:r>
    </w:p>
    <w:p w14:paraId="2B6021F7">
      <w:pPr>
        <w:pStyle w:val="45"/>
        <w:rPr>
          <w:rFonts w:hint="default"/>
          <w:highlight w:val="none"/>
        </w:rPr>
      </w:pPr>
      <w:r>
        <w:rPr>
          <w:highlight w:val="none"/>
        </w:rPr>
        <w:t>36.6.1对谈判文件质疑</w:t>
      </w:r>
    </w:p>
    <w:p w14:paraId="11930F73">
      <w:pPr>
        <w:pStyle w:val="45"/>
        <w:rPr>
          <w:rFonts w:hint="eastAsia" w:eastAsia="仿宋"/>
          <w:highlight w:val="none"/>
          <w:lang w:eastAsia="zh-CN"/>
        </w:rPr>
      </w:pPr>
      <w:bookmarkStart w:id="52" w:name="_Toc45786108"/>
      <w:r>
        <w:rPr>
          <w:highlight w:val="none"/>
        </w:rPr>
        <w:t>接收部门：</w:t>
      </w:r>
      <w:r>
        <w:rPr>
          <w:rFonts w:hint="eastAsia"/>
          <w:highlight w:val="none"/>
          <w:lang w:eastAsia="zh-CN"/>
        </w:rPr>
        <w:t>江西中铖工程管理有限公司</w:t>
      </w:r>
    </w:p>
    <w:p w14:paraId="0535D143">
      <w:pPr>
        <w:pStyle w:val="45"/>
        <w:rPr>
          <w:rFonts w:hint="eastAsia" w:eastAsia="仿宋"/>
          <w:highlight w:val="none"/>
          <w:lang w:eastAsia="zh-CN"/>
        </w:rPr>
      </w:pPr>
      <w:r>
        <w:rPr>
          <w:highlight w:val="none"/>
        </w:rPr>
        <w:t>联系电话：</w:t>
      </w:r>
      <w:r>
        <w:rPr>
          <w:rFonts w:hint="eastAsia"/>
          <w:highlight w:val="none"/>
          <w:lang w:eastAsia="zh-CN"/>
        </w:rPr>
        <w:t>13870070707</w:t>
      </w:r>
    </w:p>
    <w:p w14:paraId="436960F9">
      <w:pPr>
        <w:pStyle w:val="45"/>
        <w:rPr>
          <w:rFonts w:hint="eastAsia" w:eastAsia="仿宋"/>
          <w:highlight w:val="none"/>
          <w:lang w:eastAsia="zh-CN"/>
        </w:rPr>
      </w:pPr>
      <w:r>
        <w:rPr>
          <w:highlight w:val="none"/>
        </w:rPr>
        <w:t>通讯地址：</w:t>
      </w:r>
      <w:r>
        <w:rPr>
          <w:rFonts w:hint="eastAsia" w:ascii="仿宋" w:hAnsi="仿宋" w:eastAsia="仿宋" w:cs="仿宋"/>
          <w:sz w:val="24"/>
          <w:szCs w:val="24"/>
          <w:highlight w:val="none"/>
          <w:lang w:eastAsia="zh-CN"/>
        </w:rPr>
        <w:t>江西省南昌市红谷滩区红谷中大道1568号红谷凯旋8栋</w:t>
      </w:r>
    </w:p>
    <w:p w14:paraId="6738A6D3">
      <w:pPr>
        <w:pStyle w:val="45"/>
        <w:rPr>
          <w:rFonts w:hint="default" w:eastAsia="仿宋"/>
          <w:highlight w:val="none"/>
          <w:lang w:val="en-US" w:eastAsia="zh-CN"/>
        </w:rPr>
      </w:pPr>
      <w:r>
        <w:rPr>
          <w:highlight w:val="none"/>
        </w:rPr>
        <w:t>邮编：</w:t>
      </w:r>
      <w:bookmarkEnd w:id="52"/>
      <w:bookmarkStart w:id="53" w:name="_Toc445715221"/>
      <w:bookmarkStart w:id="54" w:name="_Toc286758341"/>
      <w:bookmarkStart w:id="55" w:name="_Toc376848255"/>
      <w:r>
        <w:rPr>
          <w:rFonts w:hint="eastAsia"/>
          <w:highlight w:val="none"/>
          <w:lang w:val="en-US" w:eastAsia="zh-CN"/>
        </w:rPr>
        <w:t>330000</w:t>
      </w:r>
    </w:p>
    <w:p w14:paraId="0FA75C94">
      <w:pPr>
        <w:pStyle w:val="42"/>
        <w:spacing w:before="240"/>
        <w:rPr>
          <w:rFonts w:hint="default"/>
          <w:highlight w:val="none"/>
        </w:rPr>
      </w:pPr>
      <w:bookmarkStart w:id="56" w:name="_Toc13534"/>
      <w:r>
        <w:rPr>
          <w:highlight w:val="none"/>
        </w:rPr>
        <w:t>十一、采购代理服务费</w:t>
      </w:r>
      <w:bookmarkEnd w:id="53"/>
      <w:bookmarkEnd w:id="56"/>
    </w:p>
    <w:p w14:paraId="21780A86">
      <w:pPr>
        <w:spacing w:line="360" w:lineRule="auto"/>
        <w:rPr>
          <w:rFonts w:ascii="仿宋" w:hAnsi="仿宋" w:eastAsia="仿宋" w:cs="仿宋"/>
          <w:b/>
          <w:bCs/>
          <w:sz w:val="24"/>
          <w:szCs w:val="24"/>
          <w:highlight w:val="none"/>
        </w:rPr>
      </w:pPr>
      <w:r>
        <w:rPr>
          <w:rFonts w:hint="eastAsia" w:ascii="仿宋" w:hAnsi="仿宋" w:eastAsia="仿宋" w:cs="仿宋"/>
          <w:b/>
          <w:bCs/>
          <w:sz w:val="24"/>
          <w:szCs w:val="24"/>
          <w:highlight w:val="none"/>
        </w:rPr>
        <w:t>37. 采购代理服务费</w:t>
      </w:r>
    </w:p>
    <w:p w14:paraId="162AA3C0">
      <w:pPr>
        <w:pStyle w:val="45"/>
        <w:rPr>
          <w:rFonts w:hint="default"/>
          <w:highlight w:val="none"/>
        </w:rPr>
      </w:pPr>
      <w:r>
        <w:rPr>
          <w:highlight w:val="none"/>
        </w:rPr>
        <w:t>37.1成交供应商在领取成交通知书时须按“供应商须知前附表”规定的收费标准</w:t>
      </w:r>
      <w:r>
        <w:rPr>
          <w:b/>
          <w:highlight w:val="none"/>
        </w:rPr>
        <w:t>，</w:t>
      </w:r>
      <w:r>
        <w:rPr>
          <w:highlight w:val="none"/>
        </w:rPr>
        <w:t>向采购代理机构缴纳采购代理服务费。</w:t>
      </w:r>
    </w:p>
    <w:p w14:paraId="1BBC8F0E">
      <w:pPr>
        <w:pStyle w:val="45"/>
        <w:rPr>
          <w:rFonts w:hint="default"/>
          <w:highlight w:val="none"/>
        </w:rPr>
      </w:pPr>
      <w:r>
        <w:rPr>
          <w:highlight w:val="none"/>
        </w:rPr>
        <w:t>37.2 采购代理服务费采用银行转账、支票、汇票、本票等非现金形式交纳。</w:t>
      </w:r>
      <w:bookmarkEnd w:id="54"/>
      <w:bookmarkEnd w:id="55"/>
      <w:bookmarkStart w:id="57" w:name="_Toc376848257"/>
      <w:bookmarkStart w:id="58" w:name="_Toc245611283"/>
    </w:p>
    <w:p w14:paraId="016E35AA">
      <w:pPr>
        <w:pStyle w:val="42"/>
        <w:spacing w:before="240"/>
        <w:rPr>
          <w:rFonts w:hint="default"/>
          <w:highlight w:val="none"/>
        </w:rPr>
      </w:pPr>
      <w:bookmarkStart w:id="59" w:name="_Toc26343"/>
      <w:r>
        <w:rPr>
          <w:highlight w:val="none"/>
        </w:rPr>
        <w:t>十二、附则</w:t>
      </w:r>
      <w:bookmarkEnd w:id="57"/>
      <w:bookmarkEnd w:id="59"/>
    </w:p>
    <w:p w14:paraId="7EFD159A">
      <w:pPr>
        <w:spacing w:line="360" w:lineRule="auto"/>
        <w:rPr>
          <w:rFonts w:ascii="仿宋" w:hAnsi="仿宋" w:eastAsia="仿宋" w:cs="仿宋"/>
          <w:b/>
          <w:sz w:val="24"/>
          <w:szCs w:val="24"/>
          <w:highlight w:val="none"/>
        </w:rPr>
      </w:pPr>
      <w:r>
        <w:rPr>
          <w:rFonts w:hint="eastAsia" w:ascii="仿宋" w:hAnsi="仿宋" w:eastAsia="仿宋" w:cs="仿宋"/>
          <w:b/>
          <w:sz w:val="24"/>
          <w:szCs w:val="24"/>
          <w:highlight w:val="none"/>
        </w:rPr>
        <w:t>38. 解释权</w:t>
      </w:r>
      <w:bookmarkEnd w:id="58"/>
    </w:p>
    <w:p w14:paraId="470F06BD">
      <w:pPr>
        <w:pStyle w:val="45"/>
        <w:rPr>
          <w:rFonts w:hint="default"/>
          <w:highlight w:val="none"/>
        </w:rPr>
      </w:pPr>
      <w:r>
        <w:rPr>
          <w:highlight w:val="none"/>
        </w:rPr>
        <w:t>本谈判文件是根据国家有关法律、法规有关规定编制，解释权属</w:t>
      </w:r>
      <w:r>
        <w:rPr>
          <w:rFonts w:hint="eastAsia"/>
          <w:highlight w:val="none"/>
          <w:lang w:eastAsia="zh-CN"/>
        </w:rPr>
        <w:t>江西中铖工程管理有限公司</w:t>
      </w:r>
      <w:r>
        <w:rPr>
          <w:highlight w:val="none"/>
        </w:rPr>
        <w:t>。</w:t>
      </w:r>
    </w:p>
    <w:p w14:paraId="0E204CA6">
      <w:pPr>
        <w:pStyle w:val="40"/>
        <w:rPr>
          <w:rFonts w:hint="default"/>
          <w:szCs w:val="32"/>
          <w:highlight w:val="none"/>
        </w:rPr>
      </w:pPr>
      <w:r>
        <w:rPr>
          <w:highlight w:val="none"/>
        </w:rPr>
        <w:br w:type="page"/>
      </w:r>
      <w:bookmarkStart w:id="60" w:name="_Toc505076476"/>
      <w:bookmarkStart w:id="61" w:name="_Toc8221"/>
      <w:bookmarkStart w:id="62" w:name="_Toc225565935"/>
      <w:bookmarkStart w:id="63" w:name="_Toc387418052"/>
      <w:r>
        <w:rPr>
          <w:highlight w:val="none"/>
        </w:rPr>
        <w:t>第三章　</w:t>
      </w:r>
      <w:r>
        <w:rPr>
          <w:szCs w:val="32"/>
          <w:highlight w:val="none"/>
        </w:rPr>
        <w:t>拟签订的合同文本</w:t>
      </w:r>
      <w:bookmarkEnd w:id="60"/>
      <w:bookmarkEnd w:id="61"/>
    </w:p>
    <w:p w14:paraId="2B5E4864">
      <w:pPr>
        <w:spacing w:line="360" w:lineRule="auto"/>
        <w:rPr>
          <w:rFonts w:ascii="仿宋" w:hAnsi="仿宋" w:eastAsia="仿宋" w:cs="宋体"/>
          <w:kern w:val="0"/>
          <w:sz w:val="24"/>
          <w:szCs w:val="24"/>
          <w:highlight w:val="none"/>
        </w:rPr>
      </w:pPr>
      <w:r>
        <w:rPr>
          <w:rFonts w:hint="eastAsia" w:ascii="仿宋" w:hAnsi="仿宋" w:eastAsia="仿宋" w:cs="宋体"/>
          <w:kern w:val="0"/>
          <w:sz w:val="24"/>
          <w:szCs w:val="24"/>
          <w:highlight w:val="none"/>
        </w:rPr>
        <w:t>甲方（采购单位）：________</w:t>
      </w:r>
      <w:r>
        <w:rPr>
          <w:rFonts w:hint="eastAsia" w:ascii="仿宋" w:hAnsi="仿宋" w:eastAsia="仿宋" w:cs="宋体"/>
          <w:kern w:val="0"/>
          <w:sz w:val="24"/>
          <w:szCs w:val="24"/>
          <w:highlight w:val="none"/>
        </w:rPr>
        <w:br w:type="textWrapping"/>
      </w:r>
      <w:r>
        <w:rPr>
          <w:rFonts w:hint="eastAsia" w:ascii="仿宋" w:hAnsi="仿宋" w:eastAsia="仿宋" w:cs="宋体"/>
          <w:kern w:val="0"/>
          <w:sz w:val="24"/>
          <w:szCs w:val="24"/>
          <w:highlight w:val="none"/>
        </w:rPr>
        <w:t>乙方（供货单位）：________</w:t>
      </w:r>
      <w:r>
        <w:rPr>
          <w:rFonts w:hint="eastAsia" w:ascii="仿宋" w:hAnsi="仿宋" w:eastAsia="仿宋" w:cs="宋体"/>
          <w:kern w:val="0"/>
          <w:sz w:val="24"/>
          <w:szCs w:val="24"/>
          <w:highlight w:val="none"/>
        </w:rPr>
        <w:br w:type="textWrapping"/>
      </w:r>
      <w:r>
        <w:rPr>
          <w:rFonts w:hint="eastAsia" w:ascii="仿宋" w:hAnsi="仿宋" w:eastAsia="仿宋" w:cs="宋体"/>
          <w:kern w:val="0"/>
          <w:sz w:val="24"/>
          <w:szCs w:val="24"/>
          <w:highlight w:val="none"/>
        </w:rPr>
        <w:t>签订时间：________年____月____日</w:t>
      </w:r>
      <w:r>
        <w:rPr>
          <w:rFonts w:hint="eastAsia" w:ascii="仿宋" w:hAnsi="仿宋" w:eastAsia="仿宋" w:cs="宋体"/>
          <w:kern w:val="0"/>
          <w:sz w:val="24"/>
          <w:szCs w:val="24"/>
          <w:highlight w:val="none"/>
        </w:rPr>
        <w:br w:type="textWrapping"/>
      </w:r>
      <w:r>
        <w:rPr>
          <w:rFonts w:hint="eastAsia" w:ascii="仿宋" w:hAnsi="仿宋" w:eastAsia="仿宋" w:cs="宋体"/>
          <w:kern w:val="0"/>
          <w:sz w:val="24"/>
          <w:szCs w:val="24"/>
          <w:highlight w:val="none"/>
        </w:rPr>
        <w:t>签订地点：</w:t>
      </w:r>
      <w:r>
        <w:rPr>
          <w:rFonts w:hint="eastAsia" w:ascii="仿宋" w:hAnsi="仿宋" w:eastAsia="仿宋" w:cs="宋体"/>
          <w:kern w:val="0"/>
          <w:sz w:val="24"/>
          <w:szCs w:val="24"/>
          <w:highlight w:val="none"/>
        </w:rPr>
        <w:br w:type="textWrapping"/>
      </w:r>
    </w:p>
    <w:p w14:paraId="5B09AF6F">
      <w:pPr>
        <w:spacing w:line="360" w:lineRule="auto"/>
        <w:ind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根据《中华人民共和国民法典》及________年____月____日（采购代理机构名称）关于________项目的成交通知书和谈判文件（项目编号：________）的要求，经双方协商一致，签订本合同。详细价格、技术说明及其他有关合同货物的特定信息由合同附件予以说明，所有附件及本项目的谈判文件、响应文件、会议纪要、协议等均为本合同不可分割之一部分。</w:t>
      </w:r>
      <w:r>
        <w:rPr>
          <w:rFonts w:hint="eastAsia" w:ascii="仿宋" w:hAnsi="仿宋" w:eastAsia="仿宋" w:cs="宋体"/>
          <w:kern w:val="0"/>
          <w:sz w:val="24"/>
          <w:szCs w:val="24"/>
          <w:highlight w:val="none"/>
        </w:rPr>
        <w:br w:type="textWrapping"/>
      </w:r>
      <w:r>
        <w:rPr>
          <w:rFonts w:hint="eastAsia" w:ascii="仿宋" w:hAnsi="仿宋" w:eastAsia="仿宋" w:cs="宋体"/>
          <w:kern w:val="0"/>
          <w:sz w:val="24"/>
          <w:szCs w:val="24"/>
          <w:highlight w:val="none"/>
        </w:rPr>
        <w:t>　　第一条　合同货物</w:t>
      </w:r>
      <w:r>
        <w:rPr>
          <w:rFonts w:hint="eastAsia" w:ascii="仿宋" w:hAnsi="仿宋" w:eastAsia="仿宋" w:cs="宋体"/>
          <w:kern w:val="0"/>
          <w:sz w:val="24"/>
          <w:szCs w:val="24"/>
          <w:highlight w:val="none"/>
        </w:rPr>
        <w:br w:type="textWrapping"/>
      </w:r>
      <w:r>
        <w:rPr>
          <w:rFonts w:hint="eastAsia" w:ascii="仿宋" w:hAnsi="仿宋" w:eastAsia="仿宋" w:cs="宋体"/>
          <w:kern w:val="0"/>
          <w:sz w:val="24"/>
          <w:szCs w:val="24"/>
          <w:highlight w:val="none"/>
        </w:rPr>
        <w:t>　　乙方根据甲方要求提供以下货物：　　</w:t>
      </w:r>
      <w:r>
        <w:rPr>
          <w:rFonts w:ascii="仿宋" w:hAnsi="仿宋" w:eastAsia="仿宋" w:cs="宋体"/>
          <w:kern w:val="0"/>
          <w:sz w:val="24"/>
          <w:szCs w:val="24"/>
          <w:highlight w:val="none"/>
        </w:rPr>
        <mc:AlternateContent>
          <mc:Choice Requires="wps">
            <w:drawing>
              <wp:inline distT="0" distB="0" distL="0" distR="0">
                <wp:extent cx="318135" cy="318135"/>
                <wp:effectExtent l="0" t="0" r="0" b="0"/>
                <wp:docPr id="1" name="AutoShap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18135" cy="318135"/>
                        </a:xfrm>
                        <a:prstGeom prst="rect">
                          <a:avLst/>
                        </a:prstGeom>
                        <a:noFill/>
                        <a:ln>
                          <a:noFill/>
                        </a:ln>
                      </wps:spPr>
                      <wps:txbx>
                        <w:txbxContent>
                          <w:p w14:paraId="5D403D93">
                            <w:pPr>
                              <w:jc w:val="center"/>
                            </w:pPr>
                          </w:p>
                        </w:txbxContent>
                      </wps:txbx>
                      <wps:bodyPr rot="0" vert="horz" wrap="square" lIns="91440" tIns="45720" rIns="91440" bIns="45720" anchor="t" anchorCtr="0" upright="1">
                        <a:noAutofit/>
                      </wps:bodyPr>
                    </wps:wsp>
                  </a:graphicData>
                </a:graphic>
              </wp:inline>
            </w:drawing>
          </mc:Choice>
          <mc:Fallback>
            <w:pict>
              <v:rect id="AutoShape 1" o:spid="_x0000_s1026" o:spt="1" style="height:25.05pt;width:25.05pt;" filled="f" stroked="f" coordsize="21600,21600" o:gfxdata="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jNRodMAAAADAQAADwAAAAAAAAABACAAAAAiAAAAZHJzL2Rvd25yZXYu&#10;eG1sUEsBAhQAFAAAAAgAh07iQOmvo7UAAgAAHQQAAA4AAAAAAAAAAQAgAAAAIgEAAGRycy9lMm9E&#10;b2MueG1sUEsFBgAAAAAGAAYAWQEAAJQFAAAAAA==&#10;">
                <v:fill on="f" focussize="0,0"/>
                <v:stroke on="f"/>
                <v:imagedata o:title=""/>
                <o:lock v:ext="edit" aspectratio="t"/>
                <v:textbox>
                  <w:txbxContent>
                    <w:p w14:paraId="5D403D93">
                      <w:pPr>
                        <w:jc w:val="center"/>
                      </w:pPr>
                    </w:p>
                  </w:txbxContent>
                </v:textbox>
                <w10:wrap type="none"/>
                <w10:anchorlock/>
              </v:rect>
            </w:pict>
          </mc:Fallback>
        </mc:AlternateContent>
      </w:r>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438"/>
        <w:gridCol w:w="1448"/>
        <w:gridCol w:w="1125"/>
        <w:gridCol w:w="1448"/>
        <w:gridCol w:w="805"/>
        <w:gridCol w:w="805"/>
        <w:gridCol w:w="913"/>
        <w:gridCol w:w="1340"/>
      </w:tblGrid>
      <w:tr w14:paraId="32797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pct"/>
          </w:tcPr>
          <w:p w14:paraId="7536E456">
            <w:pPr>
              <w:pStyle w:val="49"/>
              <w:spacing w:line="360" w:lineRule="auto"/>
              <w:jc w:val="center"/>
              <w:rPr>
                <w:rFonts w:ascii="仿宋" w:hAnsi="仿宋" w:eastAsia="仿宋"/>
                <w:color w:val="auto"/>
                <w:highlight w:val="none"/>
              </w:rPr>
            </w:pPr>
            <w:r>
              <w:rPr>
                <w:rFonts w:hint="eastAsia" w:ascii="仿宋" w:hAnsi="仿宋" w:eastAsia="仿宋"/>
                <w:color w:val="auto"/>
                <w:highlight w:val="none"/>
              </w:rPr>
              <w:t>序号</w:t>
            </w:r>
          </w:p>
        </w:tc>
        <w:tc>
          <w:tcPr>
            <w:tcW w:w="709" w:type="pct"/>
          </w:tcPr>
          <w:p w14:paraId="56982D51">
            <w:pPr>
              <w:pStyle w:val="49"/>
              <w:spacing w:line="360" w:lineRule="auto"/>
              <w:jc w:val="center"/>
              <w:rPr>
                <w:rFonts w:ascii="仿宋" w:hAnsi="仿宋" w:eastAsia="仿宋"/>
                <w:color w:val="auto"/>
                <w:highlight w:val="none"/>
              </w:rPr>
            </w:pPr>
            <w:r>
              <w:rPr>
                <w:rFonts w:hint="eastAsia" w:ascii="仿宋" w:hAnsi="仿宋" w:eastAsia="仿宋"/>
                <w:color w:val="auto"/>
                <w:highlight w:val="none"/>
              </w:rPr>
              <w:t>货物名称</w:t>
            </w:r>
          </w:p>
        </w:tc>
        <w:tc>
          <w:tcPr>
            <w:tcW w:w="714" w:type="pct"/>
          </w:tcPr>
          <w:p w14:paraId="315537BC">
            <w:pPr>
              <w:pStyle w:val="49"/>
              <w:spacing w:line="360" w:lineRule="auto"/>
              <w:jc w:val="center"/>
              <w:rPr>
                <w:rFonts w:ascii="仿宋" w:hAnsi="仿宋" w:eastAsia="仿宋"/>
                <w:color w:val="auto"/>
                <w:highlight w:val="none"/>
              </w:rPr>
            </w:pPr>
            <w:r>
              <w:rPr>
                <w:rFonts w:hint="eastAsia" w:ascii="仿宋" w:hAnsi="仿宋" w:eastAsia="仿宋"/>
                <w:color w:val="auto"/>
                <w:highlight w:val="none"/>
              </w:rPr>
              <w:t>规格型号</w:t>
            </w:r>
          </w:p>
        </w:tc>
        <w:tc>
          <w:tcPr>
            <w:tcW w:w="555" w:type="pct"/>
          </w:tcPr>
          <w:p w14:paraId="7B4C20CD">
            <w:pPr>
              <w:pStyle w:val="49"/>
              <w:spacing w:line="360" w:lineRule="auto"/>
              <w:jc w:val="center"/>
              <w:rPr>
                <w:rFonts w:ascii="仿宋" w:hAnsi="仿宋" w:eastAsia="仿宋"/>
                <w:color w:val="auto"/>
                <w:highlight w:val="none"/>
              </w:rPr>
            </w:pPr>
            <w:r>
              <w:rPr>
                <w:rFonts w:hint="eastAsia" w:ascii="仿宋" w:hAnsi="仿宋" w:eastAsia="仿宋"/>
                <w:color w:val="auto"/>
                <w:highlight w:val="none"/>
              </w:rPr>
              <w:t>原产国</w:t>
            </w:r>
          </w:p>
        </w:tc>
        <w:tc>
          <w:tcPr>
            <w:tcW w:w="714" w:type="pct"/>
          </w:tcPr>
          <w:p w14:paraId="70EB559A">
            <w:pPr>
              <w:pStyle w:val="49"/>
              <w:spacing w:line="360" w:lineRule="auto"/>
              <w:jc w:val="center"/>
              <w:rPr>
                <w:rFonts w:ascii="仿宋" w:hAnsi="仿宋" w:eastAsia="仿宋"/>
                <w:color w:val="auto"/>
                <w:highlight w:val="none"/>
              </w:rPr>
            </w:pPr>
            <w:r>
              <w:rPr>
                <w:rFonts w:hint="eastAsia" w:ascii="仿宋" w:hAnsi="仿宋" w:eastAsia="仿宋"/>
                <w:color w:val="auto"/>
                <w:highlight w:val="none"/>
              </w:rPr>
              <w:t>生产厂商</w:t>
            </w:r>
          </w:p>
        </w:tc>
        <w:tc>
          <w:tcPr>
            <w:tcW w:w="397" w:type="pct"/>
          </w:tcPr>
          <w:p w14:paraId="398D1AAB">
            <w:pPr>
              <w:pStyle w:val="49"/>
              <w:spacing w:line="360" w:lineRule="auto"/>
              <w:jc w:val="center"/>
              <w:rPr>
                <w:rFonts w:ascii="仿宋" w:hAnsi="仿宋" w:eastAsia="仿宋"/>
                <w:color w:val="auto"/>
                <w:highlight w:val="none"/>
              </w:rPr>
            </w:pPr>
            <w:r>
              <w:rPr>
                <w:rFonts w:hint="eastAsia" w:ascii="仿宋" w:hAnsi="仿宋" w:eastAsia="仿宋"/>
                <w:color w:val="auto"/>
                <w:highlight w:val="none"/>
              </w:rPr>
              <w:t>单位</w:t>
            </w:r>
          </w:p>
        </w:tc>
        <w:tc>
          <w:tcPr>
            <w:tcW w:w="397" w:type="pct"/>
          </w:tcPr>
          <w:p w14:paraId="3562DD69">
            <w:pPr>
              <w:pStyle w:val="49"/>
              <w:spacing w:line="360" w:lineRule="auto"/>
              <w:jc w:val="center"/>
              <w:rPr>
                <w:rFonts w:ascii="仿宋" w:hAnsi="仿宋" w:eastAsia="仿宋"/>
                <w:color w:val="auto"/>
                <w:highlight w:val="none"/>
              </w:rPr>
            </w:pPr>
            <w:r>
              <w:rPr>
                <w:rFonts w:hint="eastAsia" w:ascii="仿宋" w:hAnsi="仿宋" w:eastAsia="仿宋"/>
                <w:color w:val="auto"/>
                <w:highlight w:val="none"/>
              </w:rPr>
              <w:t>数量</w:t>
            </w:r>
          </w:p>
        </w:tc>
        <w:tc>
          <w:tcPr>
            <w:tcW w:w="450" w:type="pct"/>
          </w:tcPr>
          <w:p w14:paraId="3B0DCD0D">
            <w:pPr>
              <w:pStyle w:val="49"/>
              <w:spacing w:line="360" w:lineRule="auto"/>
              <w:jc w:val="center"/>
              <w:rPr>
                <w:rFonts w:ascii="仿宋" w:hAnsi="仿宋" w:eastAsia="仿宋"/>
                <w:color w:val="auto"/>
                <w:highlight w:val="none"/>
              </w:rPr>
            </w:pPr>
            <w:r>
              <w:rPr>
                <w:rFonts w:hint="eastAsia" w:ascii="仿宋" w:hAnsi="仿宋" w:eastAsia="仿宋"/>
                <w:color w:val="auto"/>
                <w:highlight w:val="none"/>
              </w:rPr>
              <w:t>单价</w:t>
            </w:r>
          </w:p>
        </w:tc>
        <w:tc>
          <w:tcPr>
            <w:tcW w:w="661" w:type="pct"/>
          </w:tcPr>
          <w:p w14:paraId="53ABF6E8">
            <w:pPr>
              <w:pStyle w:val="49"/>
              <w:spacing w:line="360" w:lineRule="auto"/>
              <w:jc w:val="center"/>
              <w:rPr>
                <w:rFonts w:ascii="仿宋" w:hAnsi="仿宋" w:eastAsia="仿宋"/>
                <w:color w:val="auto"/>
                <w:highlight w:val="none"/>
              </w:rPr>
            </w:pPr>
            <w:r>
              <w:rPr>
                <w:rFonts w:hint="eastAsia" w:ascii="仿宋" w:hAnsi="仿宋" w:eastAsia="仿宋"/>
                <w:color w:val="auto"/>
                <w:highlight w:val="none"/>
              </w:rPr>
              <w:t>单项合计</w:t>
            </w:r>
          </w:p>
        </w:tc>
      </w:tr>
      <w:tr w14:paraId="04C83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3" w:type="pct"/>
          </w:tcPr>
          <w:p w14:paraId="0BE51F30">
            <w:pPr>
              <w:widowControl/>
              <w:spacing w:line="360" w:lineRule="auto"/>
              <w:ind w:right="480"/>
              <w:jc w:val="center"/>
              <w:rPr>
                <w:rFonts w:ascii="仿宋" w:hAnsi="仿宋" w:eastAsia="仿宋" w:cs="宋体"/>
                <w:kern w:val="0"/>
                <w:sz w:val="24"/>
                <w:szCs w:val="24"/>
                <w:highlight w:val="none"/>
              </w:rPr>
            </w:pPr>
          </w:p>
        </w:tc>
        <w:tc>
          <w:tcPr>
            <w:tcW w:w="709" w:type="pct"/>
          </w:tcPr>
          <w:p w14:paraId="723D2DE2">
            <w:pPr>
              <w:widowControl/>
              <w:spacing w:line="360" w:lineRule="auto"/>
              <w:ind w:right="480"/>
              <w:jc w:val="center"/>
              <w:rPr>
                <w:rFonts w:ascii="仿宋" w:hAnsi="仿宋" w:eastAsia="仿宋" w:cs="宋体"/>
                <w:kern w:val="0"/>
                <w:sz w:val="24"/>
                <w:szCs w:val="24"/>
                <w:highlight w:val="none"/>
              </w:rPr>
            </w:pPr>
          </w:p>
        </w:tc>
        <w:tc>
          <w:tcPr>
            <w:tcW w:w="714" w:type="pct"/>
          </w:tcPr>
          <w:p w14:paraId="7F228179">
            <w:pPr>
              <w:widowControl/>
              <w:spacing w:line="360" w:lineRule="auto"/>
              <w:ind w:right="480"/>
              <w:jc w:val="center"/>
              <w:rPr>
                <w:rFonts w:ascii="仿宋" w:hAnsi="仿宋" w:eastAsia="仿宋" w:cs="宋体"/>
                <w:kern w:val="0"/>
                <w:sz w:val="24"/>
                <w:szCs w:val="24"/>
                <w:highlight w:val="none"/>
              </w:rPr>
            </w:pPr>
          </w:p>
        </w:tc>
        <w:tc>
          <w:tcPr>
            <w:tcW w:w="555" w:type="pct"/>
          </w:tcPr>
          <w:p w14:paraId="125CB8E7">
            <w:pPr>
              <w:widowControl/>
              <w:spacing w:line="360" w:lineRule="auto"/>
              <w:ind w:right="480"/>
              <w:jc w:val="center"/>
              <w:rPr>
                <w:rFonts w:ascii="仿宋" w:hAnsi="仿宋" w:eastAsia="仿宋" w:cs="宋体"/>
                <w:kern w:val="0"/>
                <w:sz w:val="24"/>
                <w:szCs w:val="24"/>
                <w:highlight w:val="none"/>
              </w:rPr>
            </w:pPr>
          </w:p>
        </w:tc>
        <w:tc>
          <w:tcPr>
            <w:tcW w:w="714" w:type="pct"/>
          </w:tcPr>
          <w:p w14:paraId="75D00945">
            <w:pPr>
              <w:widowControl/>
              <w:spacing w:line="360" w:lineRule="auto"/>
              <w:ind w:right="480"/>
              <w:jc w:val="center"/>
              <w:rPr>
                <w:rFonts w:ascii="仿宋" w:hAnsi="仿宋" w:eastAsia="仿宋" w:cs="宋体"/>
                <w:kern w:val="0"/>
                <w:sz w:val="24"/>
                <w:szCs w:val="24"/>
                <w:highlight w:val="none"/>
              </w:rPr>
            </w:pPr>
          </w:p>
        </w:tc>
        <w:tc>
          <w:tcPr>
            <w:tcW w:w="397" w:type="pct"/>
          </w:tcPr>
          <w:p w14:paraId="2E7EB4A0">
            <w:pPr>
              <w:widowControl/>
              <w:spacing w:line="360" w:lineRule="auto"/>
              <w:ind w:right="480"/>
              <w:jc w:val="center"/>
              <w:rPr>
                <w:rFonts w:ascii="仿宋" w:hAnsi="仿宋" w:eastAsia="仿宋" w:cs="宋体"/>
                <w:kern w:val="0"/>
                <w:sz w:val="24"/>
                <w:szCs w:val="24"/>
                <w:highlight w:val="none"/>
              </w:rPr>
            </w:pPr>
          </w:p>
        </w:tc>
        <w:tc>
          <w:tcPr>
            <w:tcW w:w="397" w:type="pct"/>
          </w:tcPr>
          <w:p w14:paraId="578501A9">
            <w:pPr>
              <w:widowControl/>
              <w:spacing w:line="360" w:lineRule="auto"/>
              <w:ind w:right="480"/>
              <w:jc w:val="center"/>
              <w:rPr>
                <w:rFonts w:ascii="仿宋" w:hAnsi="仿宋" w:eastAsia="仿宋" w:cs="宋体"/>
                <w:kern w:val="0"/>
                <w:sz w:val="24"/>
                <w:szCs w:val="24"/>
                <w:highlight w:val="none"/>
              </w:rPr>
            </w:pPr>
          </w:p>
        </w:tc>
        <w:tc>
          <w:tcPr>
            <w:tcW w:w="450" w:type="pct"/>
          </w:tcPr>
          <w:p w14:paraId="5C0F67CC">
            <w:pPr>
              <w:widowControl/>
              <w:spacing w:line="360" w:lineRule="auto"/>
              <w:ind w:right="480"/>
              <w:jc w:val="center"/>
              <w:rPr>
                <w:rFonts w:ascii="仿宋" w:hAnsi="仿宋" w:eastAsia="仿宋" w:cs="宋体"/>
                <w:kern w:val="0"/>
                <w:sz w:val="24"/>
                <w:szCs w:val="24"/>
                <w:highlight w:val="none"/>
              </w:rPr>
            </w:pPr>
          </w:p>
        </w:tc>
        <w:tc>
          <w:tcPr>
            <w:tcW w:w="661" w:type="pct"/>
          </w:tcPr>
          <w:p w14:paraId="59EF73D0">
            <w:pPr>
              <w:widowControl/>
              <w:spacing w:line="360" w:lineRule="auto"/>
              <w:ind w:right="480"/>
              <w:jc w:val="center"/>
              <w:rPr>
                <w:rFonts w:ascii="仿宋" w:hAnsi="仿宋" w:eastAsia="仿宋" w:cs="宋体"/>
                <w:kern w:val="0"/>
                <w:sz w:val="24"/>
                <w:szCs w:val="24"/>
                <w:highlight w:val="none"/>
              </w:rPr>
            </w:pPr>
          </w:p>
        </w:tc>
      </w:tr>
    </w:tbl>
    <w:p w14:paraId="3AF7182A">
      <w:pPr>
        <w:spacing w:line="360" w:lineRule="auto"/>
        <w:ind w:firstLine="630"/>
        <w:jc w:val="left"/>
        <w:rPr>
          <w:rFonts w:ascii="仿宋" w:hAnsi="仿宋" w:eastAsia="仿宋" w:cs="宋体"/>
          <w:kern w:val="0"/>
          <w:sz w:val="24"/>
          <w:szCs w:val="24"/>
          <w:highlight w:val="none"/>
        </w:rPr>
      </w:pPr>
      <w:r>
        <w:rPr>
          <w:rFonts w:hint="eastAsia" w:ascii="仿宋" w:hAnsi="仿宋" w:eastAsia="仿宋" w:cs="宋体"/>
          <w:kern w:val="0"/>
          <w:sz w:val="24"/>
          <w:szCs w:val="24"/>
          <w:highlight w:val="none"/>
        </w:rPr>
        <w:t>第二条　合同总价</w:t>
      </w:r>
      <w:r>
        <w:rPr>
          <w:rFonts w:hint="eastAsia" w:ascii="仿宋" w:hAnsi="仿宋" w:eastAsia="仿宋" w:cs="宋体"/>
          <w:kern w:val="0"/>
          <w:sz w:val="24"/>
          <w:szCs w:val="24"/>
          <w:highlight w:val="none"/>
        </w:rPr>
        <w:br w:type="textWrapping"/>
      </w:r>
      <w:r>
        <w:rPr>
          <w:rFonts w:hint="eastAsia" w:ascii="仿宋" w:hAnsi="仿宋" w:eastAsia="仿宋" w:cs="宋体"/>
          <w:kern w:val="0"/>
          <w:sz w:val="24"/>
          <w:szCs w:val="24"/>
          <w:highlight w:val="none"/>
        </w:rPr>
        <w:t>　　总价为人民币（大写）：________ ，即RMB________。该合同总价是货物设计、制造、包装、仓储、运输、安装及验收合格之前及保修期内备品备件发生的所有含税费用。本合同执行期间合同总价不变。</w:t>
      </w:r>
    </w:p>
    <w:p w14:paraId="58C1C980">
      <w:pPr>
        <w:spacing w:line="360" w:lineRule="auto"/>
        <w:ind w:left="105" w:leftChars="50" w:firstLine="194" w:firstLineChars="81"/>
        <w:rPr>
          <w:rFonts w:ascii="仿宋" w:hAnsi="仿宋" w:eastAsia="仿宋" w:cs="宋体"/>
          <w:kern w:val="0"/>
          <w:sz w:val="24"/>
          <w:szCs w:val="24"/>
          <w:highlight w:val="none"/>
        </w:rPr>
      </w:pPr>
      <w:r>
        <w:rPr>
          <w:rFonts w:hint="eastAsia" w:ascii="仿宋" w:hAnsi="仿宋" w:eastAsia="仿宋" w:cs="宋体"/>
          <w:kern w:val="0"/>
          <w:sz w:val="24"/>
          <w:szCs w:val="24"/>
          <w:highlight w:val="none"/>
        </w:rPr>
        <w:t>第三条　专利权</w:t>
      </w:r>
    </w:p>
    <w:p w14:paraId="03A18B91">
      <w:pPr>
        <w:spacing w:line="360" w:lineRule="auto"/>
        <w:ind w:left="105" w:leftChars="50" w:firstLine="194" w:firstLineChars="81"/>
        <w:rPr>
          <w:rFonts w:ascii="仿宋" w:hAnsi="仿宋" w:eastAsia="仿宋" w:cs="宋体"/>
          <w:kern w:val="0"/>
          <w:sz w:val="24"/>
          <w:szCs w:val="24"/>
          <w:highlight w:val="none"/>
        </w:rPr>
      </w:pPr>
      <w:r>
        <w:rPr>
          <w:rFonts w:hint="eastAsia" w:ascii="仿宋" w:hAnsi="仿宋" w:eastAsia="仿宋" w:cs="宋体"/>
          <w:kern w:val="0"/>
          <w:sz w:val="24"/>
          <w:szCs w:val="24"/>
          <w:highlight w:val="none"/>
        </w:rPr>
        <w:t xml:space="preserve">  乙方应保护甲方在使用该货物或其任何一部分时不受第三方提出侵犯专利权、商标权、著作权或其它知识产权起诉的指控。如果任何第三方提出侵权指控，乙方须与第三方交涉并承担可能发生的一切法律责任和费用。</w:t>
      </w:r>
    </w:p>
    <w:p w14:paraId="3A027C8F">
      <w:pPr>
        <w:spacing w:line="360" w:lineRule="auto"/>
        <w:ind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第四条　包装和装运标志</w:t>
      </w:r>
    </w:p>
    <w:p w14:paraId="1E189BD3">
      <w:pPr>
        <w:spacing w:line="360" w:lineRule="auto"/>
        <w:ind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1.除合同另有规定外，乙方提供的全部货物，均应采用国家或专业标准保护措施进行包装，使包装应适应于海运、或空运、或陆上长距离运输，并有良好的防潮、防震、防锈和防粗暴装卸等保护措施，确保货物安全无损运抵现场。由于包装不善所引起的货物锈蚀、损坏和损失造成的后果均由乙方承担。</w:t>
      </w:r>
    </w:p>
    <w:p w14:paraId="1219D8FD">
      <w:pPr>
        <w:spacing w:line="360" w:lineRule="auto"/>
        <w:ind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2.每件包装箱内应附一份详细装箱单和质量合格证。</w:t>
      </w:r>
    </w:p>
    <w:p w14:paraId="3DCAEF60">
      <w:pPr>
        <w:spacing w:line="360" w:lineRule="auto"/>
        <w:ind w:left="105" w:leftChars="50" w:firstLine="360" w:firstLineChars="150"/>
        <w:rPr>
          <w:rFonts w:ascii="仿宋" w:hAnsi="仿宋" w:eastAsia="仿宋" w:cs="宋体"/>
          <w:kern w:val="0"/>
          <w:sz w:val="24"/>
          <w:szCs w:val="24"/>
          <w:highlight w:val="none"/>
        </w:rPr>
      </w:pPr>
      <w:r>
        <w:rPr>
          <w:rFonts w:hint="eastAsia" w:ascii="仿宋" w:hAnsi="仿宋" w:eastAsia="仿宋" w:cs="宋体"/>
          <w:kern w:val="0"/>
          <w:sz w:val="24"/>
          <w:szCs w:val="24"/>
          <w:highlight w:val="none"/>
        </w:rPr>
        <w:t>3.除合同另有规定外，装运标志均应采用国家或专业标准进行标志。由于标志不妥所造成货物损坏和损失的后果均由乙方承担。</w:t>
      </w:r>
    </w:p>
    <w:p w14:paraId="0AC9218D">
      <w:pPr>
        <w:spacing w:line="360" w:lineRule="auto"/>
        <w:ind w:left="105" w:leftChars="50" w:firstLine="360" w:firstLineChars="150"/>
        <w:rPr>
          <w:rFonts w:ascii="仿宋" w:hAnsi="仿宋" w:eastAsia="仿宋" w:cs="宋体"/>
          <w:kern w:val="0"/>
          <w:sz w:val="24"/>
          <w:szCs w:val="24"/>
          <w:highlight w:val="none"/>
        </w:rPr>
      </w:pPr>
      <w:r>
        <w:rPr>
          <w:rFonts w:hint="eastAsia" w:ascii="仿宋" w:hAnsi="仿宋" w:eastAsia="仿宋" w:cs="宋体"/>
          <w:kern w:val="0"/>
          <w:sz w:val="24"/>
          <w:szCs w:val="24"/>
          <w:highlight w:val="none"/>
        </w:rPr>
        <w:t>第五条　质量</w:t>
      </w:r>
    </w:p>
    <w:p w14:paraId="4973FA0C">
      <w:pPr>
        <w:spacing w:line="360" w:lineRule="auto"/>
        <w:ind w:left="105" w:leftChars="50" w:firstLine="360" w:firstLineChars="150"/>
        <w:rPr>
          <w:rFonts w:ascii="仿宋" w:hAnsi="仿宋" w:eastAsia="仿宋" w:cs="宋体"/>
          <w:kern w:val="0"/>
          <w:sz w:val="24"/>
          <w:szCs w:val="24"/>
          <w:highlight w:val="none"/>
        </w:rPr>
      </w:pPr>
      <w:r>
        <w:rPr>
          <w:rFonts w:hint="eastAsia" w:ascii="仿宋" w:hAnsi="仿宋" w:eastAsia="仿宋" w:cs="宋体"/>
          <w:kern w:val="0"/>
          <w:sz w:val="24"/>
          <w:szCs w:val="24"/>
          <w:highlight w:val="none"/>
        </w:rPr>
        <w:t>1.乙方须提供全新的、符合国家有关质量标准和规范、环保要求的货物，其质量、规格及技术特征符合合同附件的要求。</w:t>
      </w:r>
    </w:p>
    <w:p w14:paraId="1F4A563D">
      <w:pPr>
        <w:spacing w:line="360" w:lineRule="auto"/>
        <w:ind w:left="105" w:leftChars="50" w:firstLine="360" w:firstLineChars="150"/>
        <w:rPr>
          <w:rFonts w:ascii="仿宋" w:hAnsi="仿宋" w:eastAsia="仿宋" w:cs="宋体"/>
          <w:kern w:val="0"/>
          <w:sz w:val="24"/>
          <w:szCs w:val="24"/>
          <w:highlight w:val="none"/>
        </w:rPr>
      </w:pPr>
      <w:r>
        <w:rPr>
          <w:rFonts w:hint="eastAsia" w:ascii="仿宋" w:hAnsi="仿宋" w:eastAsia="仿宋" w:cs="宋体"/>
          <w:kern w:val="0"/>
          <w:sz w:val="24"/>
          <w:szCs w:val="24"/>
          <w:highlight w:val="none"/>
        </w:rPr>
        <w:t>2.每台货物上均应钉有名牌（内容包括：制造商、货物名称、型号规格、出厂日期等）并附有产品质量检验合格标志。</w:t>
      </w:r>
    </w:p>
    <w:p w14:paraId="44A06944">
      <w:pPr>
        <w:spacing w:line="360" w:lineRule="auto"/>
        <w:ind w:left="105" w:leftChars="50" w:firstLine="360" w:firstLineChars="150"/>
        <w:rPr>
          <w:rFonts w:ascii="仿宋" w:hAnsi="仿宋" w:eastAsia="仿宋" w:cs="宋体"/>
          <w:kern w:val="0"/>
          <w:sz w:val="24"/>
          <w:szCs w:val="24"/>
          <w:highlight w:val="none"/>
        </w:rPr>
      </w:pPr>
      <w:r>
        <w:rPr>
          <w:rFonts w:hint="eastAsia" w:ascii="仿宋" w:hAnsi="仿宋" w:eastAsia="仿宋" w:cs="宋体"/>
          <w:kern w:val="0"/>
          <w:sz w:val="24"/>
          <w:szCs w:val="24"/>
          <w:highlight w:val="none"/>
        </w:rPr>
        <w:t>3.货物制造质量出现问题，乙方应负责三包（包修、包换、包退），费用由乙方负责。</w:t>
      </w:r>
    </w:p>
    <w:p w14:paraId="0BBF92DB">
      <w:pPr>
        <w:spacing w:line="360" w:lineRule="auto"/>
        <w:ind w:left="105" w:leftChars="50" w:firstLine="360" w:firstLineChars="150"/>
        <w:rPr>
          <w:rFonts w:ascii="仿宋" w:hAnsi="仿宋" w:eastAsia="仿宋" w:cs="宋体"/>
          <w:kern w:val="0"/>
          <w:sz w:val="24"/>
          <w:szCs w:val="24"/>
          <w:highlight w:val="none"/>
        </w:rPr>
      </w:pPr>
      <w:r>
        <w:rPr>
          <w:rFonts w:hint="eastAsia" w:ascii="仿宋" w:hAnsi="仿宋" w:eastAsia="仿宋" w:cs="宋体"/>
          <w:kern w:val="0"/>
          <w:sz w:val="24"/>
          <w:szCs w:val="24"/>
          <w:highlight w:val="none"/>
        </w:rPr>
        <w:t>4.货到现场后由于甲方保管不当造成的质量问题，乙方亦应负责修理，但费用由甲方负担。</w:t>
      </w:r>
    </w:p>
    <w:p w14:paraId="481C0A7D">
      <w:pPr>
        <w:spacing w:line="360" w:lineRule="auto"/>
        <w:ind w:left="105" w:leftChars="50" w:firstLine="360" w:firstLineChars="150"/>
        <w:rPr>
          <w:rFonts w:ascii="仿宋" w:hAnsi="仿宋" w:eastAsia="仿宋" w:cs="宋体"/>
          <w:kern w:val="0"/>
          <w:sz w:val="24"/>
          <w:szCs w:val="24"/>
          <w:highlight w:val="none"/>
        </w:rPr>
      </w:pPr>
      <w:r>
        <w:rPr>
          <w:rFonts w:hint="eastAsia" w:ascii="仿宋" w:hAnsi="仿宋" w:eastAsia="仿宋" w:cs="宋体"/>
          <w:kern w:val="0"/>
          <w:sz w:val="24"/>
          <w:szCs w:val="24"/>
          <w:highlight w:val="none"/>
        </w:rPr>
        <w:t>第六条　交货及验收</w:t>
      </w:r>
    </w:p>
    <w:p w14:paraId="0C321881">
      <w:pPr>
        <w:spacing w:line="360" w:lineRule="auto"/>
        <w:ind w:left="105" w:leftChars="50" w:firstLine="360" w:firstLineChars="150"/>
        <w:rPr>
          <w:rFonts w:ascii="仿宋" w:hAnsi="仿宋" w:eastAsia="仿宋" w:cs="宋体"/>
          <w:kern w:val="0"/>
          <w:sz w:val="24"/>
          <w:szCs w:val="24"/>
          <w:highlight w:val="none"/>
        </w:rPr>
      </w:pPr>
      <w:r>
        <w:rPr>
          <w:rFonts w:hint="eastAsia" w:ascii="仿宋" w:hAnsi="仿宋" w:eastAsia="仿宋" w:cs="宋体"/>
          <w:kern w:val="0"/>
          <w:sz w:val="24"/>
          <w:szCs w:val="24"/>
          <w:highlight w:val="none"/>
        </w:rPr>
        <w:t>1.在合同签订后________日内，乙方免费送货至甲方地点：________，由甲方与乙方一起进行到货验收及由乙方免费完成货物和系统的安装调试工作，然后由双方共同进行质量验收，如质量验收合格，双方签署质量验收表。</w:t>
      </w:r>
    </w:p>
    <w:p w14:paraId="13C5BA46">
      <w:pPr>
        <w:spacing w:line="360" w:lineRule="auto"/>
        <w:ind w:left="105" w:leftChars="50" w:firstLine="360" w:firstLineChars="150"/>
        <w:rPr>
          <w:rFonts w:ascii="仿宋" w:hAnsi="仿宋" w:eastAsia="仿宋" w:cs="宋体"/>
          <w:kern w:val="0"/>
          <w:sz w:val="24"/>
          <w:szCs w:val="24"/>
          <w:highlight w:val="none"/>
        </w:rPr>
      </w:pPr>
      <w:r>
        <w:rPr>
          <w:rFonts w:hint="eastAsia" w:ascii="仿宋" w:hAnsi="仿宋" w:eastAsia="仿宋" w:cs="宋体"/>
          <w:kern w:val="0"/>
          <w:sz w:val="24"/>
          <w:szCs w:val="24"/>
          <w:highlight w:val="none"/>
        </w:rPr>
        <w:t>2.货物的到货验收包括：型号、规格、数量、外观质量及货物包装完整无损。</w:t>
      </w:r>
    </w:p>
    <w:p w14:paraId="40ADD9DA">
      <w:pPr>
        <w:spacing w:line="360" w:lineRule="auto"/>
        <w:ind w:left="105" w:leftChars="50" w:firstLine="360" w:firstLineChars="150"/>
        <w:rPr>
          <w:rFonts w:ascii="仿宋" w:hAnsi="仿宋" w:eastAsia="仿宋" w:cs="宋体"/>
          <w:kern w:val="0"/>
          <w:sz w:val="24"/>
          <w:szCs w:val="24"/>
          <w:highlight w:val="none"/>
        </w:rPr>
      </w:pPr>
      <w:r>
        <w:rPr>
          <w:rFonts w:hint="eastAsia" w:ascii="仿宋" w:hAnsi="仿宋" w:eastAsia="仿宋" w:cs="宋体"/>
          <w:kern w:val="0"/>
          <w:sz w:val="24"/>
          <w:szCs w:val="24"/>
          <w:highlight w:val="none"/>
        </w:rPr>
        <w:t>3.货物和系统安装调试完成后10天之内，甲方无故不进行验收工作而使用货物的，视同已安装调试完成并验收合格。</w:t>
      </w:r>
    </w:p>
    <w:p w14:paraId="2D5F8DEB">
      <w:pPr>
        <w:spacing w:line="360" w:lineRule="auto"/>
        <w:ind w:left="105" w:leftChars="50" w:firstLine="360" w:firstLineChars="150"/>
        <w:rPr>
          <w:rFonts w:ascii="仿宋" w:hAnsi="仿宋" w:eastAsia="仿宋" w:cs="宋体"/>
          <w:kern w:val="0"/>
          <w:sz w:val="24"/>
          <w:szCs w:val="24"/>
          <w:highlight w:val="none"/>
        </w:rPr>
      </w:pPr>
      <w:r>
        <w:rPr>
          <w:rFonts w:hint="eastAsia" w:ascii="仿宋" w:hAnsi="仿宋" w:eastAsia="仿宋" w:cs="宋体"/>
          <w:kern w:val="0"/>
          <w:sz w:val="24"/>
          <w:szCs w:val="24"/>
          <w:highlight w:val="none"/>
        </w:rPr>
        <w:t>4.货物和系统调试验收的标准：按行业通行标准、厂方出厂标准和乙方响应文件的承诺（详见合同附件载明的标准，并不低于国家相关标准）。</w:t>
      </w:r>
    </w:p>
    <w:p w14:paraId="45B5DF07">
      <w:pPr>
        <w:spacing w:line="360" w:lineRule="auto"/>
        <w:ind w:left="105" w:leftChars="50" w:firstLine="360" w:firstLineChars="150"/>
        <w:rPr>
          <w:rFonts w:ascii="仿宋" w:hAnsi="仿宋" w:eastAsia="仿宋" w:cs="宋体"/>
          <w:kern w:val="0"/>
          <w:sz w:val="24"/>
          <w:szCs w:val="24"/>
          <w:highlight w:val="none"/>
        </w:rPr>
      </w:pPr>
      <w:r>
        <w:rPr>
          <w:rFonts w:hint="eastAsia" w:ascii="仿宋" w:hAnsi="仿宋" w:eastAsia="仿宋" w:cs="宋体"/>
          <w:kern w:val="0"/>
          <w:sz w:val="24"/>
          <w:szCs w:val="24"/>
          <w:highlight w:val="none"/>
        </w:rPr>
        <w:t>5.国内产品或合资厂的产品必须具备出厂合格证和原厂保修卡。</w:t>
      </w:r>
    </w:p>
    <w:p w14:paraId="3C761E15">
      <w:pPr>
        <w:spacing w:line="360" w:lineRule="auto"/>
        <w:ind w:left="105" w:leftChars="50" w:firstLine="360" w:firstLineChars="150"/>
        <w:rPr>
          <w:rFonts w:ascii="仿宋" w:hAnsi="仿宋" w:eastAsia="仿宋" w:cs="宋体"/>
          <w:kern w:val="0"/>
          <w:sz w:val="24"/>
          <w:szCs w:val="24"/>
          <w:highlight w:val="none"/>
        </w:rPr>
      </w:pPr>
      <w:r>
        <w:rPr>
          <w:rFonts w:hint="eastAsia" w:ascii="仿宋" w:hAnsi="仿宋" w:eastAsia="仿宋" w:cs="宋体"/>
          <w:kern w:val="0"/>
          <w:sz w:val="24"/>
          <w:szCs w:val="24"/>
          <w:highlight w:val="none"/>
        </w:rPr>
        <w:t>6.乙方应将所提供货物的装箱清单、用户手册、原厂保修卡、随机资料及配件、随机工具等交付给甲方；乙方不能完整交付货物及本款规定的单证和工具的，视为未按合同约定付货，乙方必须负责补齐，因此导致逾期交付的，由乙方承担相关的违约责任。</w:t>
      </w:r>
    </w:p>
    <w:p w14:paraId="53D73B20">
      <w:pPr>
        <w:spacing w:line="360" w:lineRule="auto"/>
        <w:ind w:left="105" w:leftChars="50" w:firstLine="360" w:firstLineChars="150"/>
        <w:rPr>
          <w:rFonts w:ascii="仿宋" w:hAnsi="仿宋" w:eastAsia="仿宋" w:cs="宋体"/>
          <w:kern w:val="0"/>
          <w:sz w:val="24"/>
          <w:szCs w:val="24"/>
          <w:highlight w:val="none"/>
        </w:rPr>
      </w:pPr>
      <w:r>
        <w:rPr>
          <w:rFonts w:hint="eastAsia" w:ascii="仿宋" w:hAnsi="仿宋" w:eastAsia="仿宋" w:cs="宋体"/>
          <w:kern w:val="0"/>
          <w:sz w:val="24"/>
          <w:szCs w:val="24"/>
          <w:highlight w:val="none"/>
        </w:rPr>
        <w:t>第七条　付款方式</w:t>
      </w:r>
    </w:p>
    <w:p w14:paraId="4D5D603B">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按工程进度支付完成工程量的80%工程款，工程验收合格办理完结算支付至合同价款的97%，剩余3%做为质量保证金。</w:t>
      </w:r>
    </w:p>
    <w:p w14:paraId="4A463DB2">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本合同供应商指定的收款账户：</w:t>
      </w:r>
    </w:p>
    <w:p w14:paraId="13AA3472">
      <w:pPr>
        <w:spacing w:line="360" w:lineRule="auto"/>
        <w:ind w:firstLine="720" w:firstLineChars="300"/>
        <w:rPr>
          <w:rFonts w:ascii="仿宋" w:hAnsi="仿宋" w:eastAsia="仿宋" w:cs="宋体"/>
          <w:kern w:val="0"/>
          <w:sz w:val="24"/>
          <w:szCs w:val="24"/>
          <w:highlight w:val="none"/>
        </w:rPr>
      </w:pPr>
      <w:r>
        <w:rPr>
          <w:rFonts w:hint="eastAsia" w:ascii="仿宋" w:hAnsi="仿宋" w:eastAsia="仿宋" w:cs="宋体"/>
          <w:kern w:val="0"/>
          <w:sz w:val="24"/>
          <w:szCs w:val="24"/>
          <w:highlight w:val="none"/>
        </w:rPr>
        <w:t>户名：_____________________</w:t>
      </w:r>
    </w:p>
    <w:p w14:paraId="03037E89">
      <w:pPr>
        <w:spacing w:line="360" w:lineRule="auto"/>
        <w:ind w:firstLine="720" w:firstLineChars="300"/>
        <w:rPr>
          <w:rFonts w:ascii="仿宋" w:hAnsi="仿宋" w:eastAsia="仿宋" w:cs="宋体"/>
          <w:kern w:val="0"/>
          <w:sz w:val="24"/>
          <w:szCs w:val="24"/>
          <w:highlight w:val="none"/>
        </w:rPr>
      </w:pPr>
      <w:r>
        <w:rPr>
          <w:rFonts w:hint="eastAsia" w:ascii="仿宋" w:hAnsi="仿宋" w:eastAsia="仿宋" w:cs="宋体"/>
          <w:kern w:val="0"/>
          <w:sz w:val="24"/>
          <w:szCs w:val="24"/>
          <w:highlight w:val="none"/>
        </w:rPr>
        <w:t>开户行：___________________</w:t>
      </w:r>
    </w:p>
    <w:p w14:paraId="02118CF3">
      <w:pPr>
        <w:pStyle w:val="15"/>
        <w:spacing w:after="0" w:line="360" w:lineRule="auto"/>
        <w:ind w:firstLine="720" w:firstLineChars="300"/>
        <w:rPr>
          <w:rFonts w:ascii="仿宋" w:hAnsi="仿宋" w:eastAsia="仿宋" w:cs="宋体"/>
          <w:sz w:val="24"/>
          <w:szCs w:val="24"/>
          <w:highlight w:val="none"/>
        </w:rPr>
      </w:pPr>
      <w:r>
        <w:rPr>
          <w:rFonts w:hint="eastAsia" w:ascii="仿宋" w:hAnsi="仿宋" w:eastAsia="仿宋" w:cs="宋体"/>
          <w:kern w:val="0"/>
          <w:sz w:val="24"/>
          <w:szCs w:val="24"/>
          <w:highlight w:val="none"/>
        </w:rPr>
        <w:t>账号：_____________________</w:t>
      </w:r>
    </w:p>
    <w:p w14:paraId="303A213D">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第八条　售后服务</w:t>
      </w:r>
    </w:p>
    <w:p w14:paraId="496175D9">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1.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乙方进行相应的技术培训，培训地点主要在货物安装现场或由甲方安排。</w:t>
      </w:r>
    </w:p>
    <w:p w14:paraId="2F772532">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2.质量保证期为：         ；质保期自甲方在货物质量验收单上签字之日起计算，保修费用计入总价。</w:t>
      </w:r>
    </w:p>
    <w:p w14:paraId="14DE3949">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3.质量保证期内，乙方负责对其提供的货物整机进行维修和系统维护，不再收取任何费用，但不可抗力（如火灾、雷击等）造成的故障除外。</w:t>
      </w:r>
    </w:p>
    <w:p w14:paraId="006847D1">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4.货物故障报修的响应时间为：工作期间（星期一至星期五8： 00-18： 00）为________小时；非工作期间为________小时；售后服务电话：________。</w:t>
      </w:r>
    </w:p>
    <w:p w14:paraId="2F712A80">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5.若货物故障在检修8工作小时后仍无法排除，乙方应在48小时内免费提供不低于故障货物规格型号档次的备用货物供甲方使用，直至故障货物修复。</w:t>
      </w:r>
    </w:p>
    <w:p w14:paraId="47BB5EB1">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6.所有货物保修服务方式均为乙方上门保修，即由乙方派员到货物使用现场维修，由此产生的一切费用均由乙方承担。</w:t>
      </w:r>
    </w:p>
    <w:p w14:paraId="687888F7">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7.乙方须每隔半年上门对甲方进行回访，（需由用户盖章确认）。</w:t>
      </w:r>
    </w:p>
    <w:p w14:paraId="13EB3A61">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8.保修期后的货物维护由双方协商再定。</w:t>
      </w:r>
    </w:p>
    <w:p w14:paraId="03C07AFF">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第九条　违约责任</w:t>
      </w:r>
    </w:p>
    <w:p w14:paraId="657A415B">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1.甲方无正当理由拒收货物、拒付货款的，由甲方向乙方偿付合同总价的5‰的违约金。</w:t>
      </w:r>
    </w:p>
    <w:p w14:paraId="2472F27E">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2.甲方应在合同规定时间内向乙方支付货款，每逾期1天甲方向乙方偿付欠款总额的2‰滞纳金，累计滞纳金总额不超过欠款总额的5%。</w:t>
      </w:r>
    </w:p>
    <w:p w14:paraId="6F7A490B">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3.乙方不能交付货物，则由乙方向甲方支付合同总价的10%的违约金。</w:t>
      </w:r>
    </w:p>
    <w:p w14:paraId="0644443D">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4.乙方逾期交付货物的，每逾期1天，乙方向甲方偿付逾期交货部分货款总额的1%的滞纳金，累计滞纳金不超过逾期交货部分货款总额的10%，逾期交货超过10天，甲方有权终止合同，并按第九条第3款处理。</w:t>
      </w:r>
    </w:p>
    <w:p w14:paraId="64AE7BD0">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5.乙方所交的货物品种、型号、规格不符合合同规定的，甲方有权拒收设备。乙方向甲方支付货款总额的10%的违约金。</w:t>
      </w:r>
    </w:p>
    <w:p w14:paraId="33A1A059">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6.如经乙方两次维修，货物仍不能达到合同约定质量标准，甲方有权退货，乙方退回全部货款，并按第九条第3款处理，同时，乙方还须赔偿甲方因此遭受的损失。</w:t>
      </w:r>
    </w:p>
    <w:p w14:paraId="6B2E83A8">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7.乙方所供货物必须权属清楚，不得侵害他人的知识产权，否则构成对甲方违约，违约金按第九条第3~4款执行。</w:t>
      </w:r>
    </w:p>
    <w:p w14:paraId="3DFF1F25">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第十条　争议及仲裁</w:t>
      </w:r>
    </w:p>
    <w:p w14:paraId="27E32C53">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1.因货物的质量问题发生争议，由质量监督部门或其指定的质量鉴定单位进行质量鉴定。货物符合标准的，鉴定费由甲方承担；货物不符合质量标准的，鉴定费由乙方承担。</w:t>
      </w:r>
    </w:p>
    <w:p w14:paraId="03935AFD">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2.因本合同引起的争议，甲、乙双方应首先通过友好协商解决，如果协商或调解不能解决争议，则</w:t>
      </w:r>
      <w:r>
        <w:rPr>
          <w:rFonts w:hint="eastAsia" w:ascii="仿宋" w:hAnsi="仿宋" w:eastAsia="仿宋" w:cs="宋体"/>
          <w:sz w:val="24"/>
          <w:szCs w:val="24"/>
          <w:highlight w:val="none"/>
        </w:rPr>
        <w:t>提请仲裁委员会按照其仲裁规则进行仲裁。</w:t>
      </w:r>
    </w:p>
    <w:p w14:paraId="18C30F06">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第十一条　其他</w:t>
      </w:r>
    </w:p>
    <w:p w14:paraId="349EE945">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1.本合同正本</w:t>
      </w:r>
      <w:r>
        <w:rPr>
          <w:rFonts w:ascii="仿宋" w:hAnsi="仿宋" w:eastAsia="仿宋" w:cs="宋体"/>
          <w:kern w:val="0"/>
          <w:sz w:val="24"/>
          <w:szCs w:val="24"/>
          <w:highlight w:val="none"/>
        </w:rPr>
        <w:t>4</w:t>
      </w:r>
      <w:r>
        <w:rPr>
          <w:rFonts w:hint="eastAsia" w:ascii="仿宋" w:hAnsi="仿宋" w:eastAsia="仿宋" w:cs="宋体"/>
          <w:kern w:val="0"/>
          <w:sz w:val="24"/>
          <w:szCs w:val="24"/>
          <w:highlight w:val="none"/>
        </w:rPr>
        <w:t>份，具有同等法律效力，甲、乙双方各执2份。合同自签字之日起即时生效。</w:t>
      </w:r>
    </w:p>
    <w:p w14:paraId="4AF18CAE">
      <w:pPr>
        <w:spacing w:line="360" w:lineRule="auto"/>
        <w:ind w:left="105" w:leftChars="50" w:firstLine="480" w:firstLineChars="200"/>
        <w:rPr>
          <w:rFonts w:ascii="仿宋" w:hAnsi="仿宋" w:eastAsia="仿宋" w:cs="宋体"/>
          <w:kern w:val="0"/>
          <w:sz w:val="24"/>
          <w:szCs w:val="24"/>
          <w:highlight w:val="none"/>
        </w:rPr>
      </w:pPr>
      <w:r>
        <w:rPr>
          <w:rFonts w:hint="eastAsia" w:ascii="仿宋" w:hAnsi="仿宋" w:eastAsia="仿宋" w:cs="宋体"/>
          <w:kern w:val="0"/>
          <w:sz w:val="24"/>
          <w:szCs w:val="24"/>
          <w:highlight w:val="none"/>
        </w:rPr>
        <w:t>2.本合同未尽事宜，由双方协商处理。</w:t>
      </w:r>
    </w:p>
    <w:p w14:paraId="5A9A678C">
      <w:pPr>
        <w:spacing w:line="360" w:lineRule="auto"/>
        <w:ind w:firstLine="420"/>
        <w:rPr>
          <w:rFonts w:ascii="仿宋" w:hAnsi="仿宋" w:eastAsia="仿宋" w:cs="仿宋"/>
          <w:b/>
          <w:sz w:val="24"/>
          <w:szCs w:val="24"/>
          <w:highlight w:val="none"/>
        </w:rPr>
      </w:pPr>
      <w:r>
        <w:rPr>
          <w:rFonts w:hint="eastAsia" w:ascii="仿宋" w:hAnsi="仿宋" w:eastAsia="仿宋" w:cs="宋体"/>
          <w:kern w:val="0"/>
          <w:sz w:val="24"/>
          <w:szCs w:val="24"/>
          <w:highlight w:val="none"/>
        </w:rPr>
        <w:br w:type="textWrapping"/>
      </w:r>
      <w:r>
        <w:rPr>
          <w:rFonts w:hint="eastAsia" w:ascii="仿宋" w:hAnsi="仿宋" w:eastAsia="仿宋" w:cs="宋体"/>
          <w:kern w:val="0"/>
          <w:sz w:val="24"/>
          <w:szCs w:val="24"/>
          <w:highlight w:val="none"/>
        </w:rPr>
        <w:t>　　甲方（盖章）：________　　　   乙方（盖章）：________</w:t>
      </w:r>
      <w:r>
        <w:rPr>
          <w:rFonts w:hint="eastAsia" w:ascii="仿宋" w:hAnsi="仿宋" w:eastAsia="仿宋" w:cs="宋体"/>
          <w:kern w:val="0"/>
          <w:sz w:val="24"/>
          <w:szCs w:val="24"/>
          <w:highlight w:val="none"/>
        </w:rPr>
        <w:br w:type="textWrapping"/>
      </w:r>
      <w:r>
        <w:rPr>
          <w:rFonts w:hint="eastAsia" w:ascii="仿宋" w:hAnsi="仿宋" w:eastAsia="仿宋" w:cs="宋体"/>
          <w:kern w:val="0"/>
          <w:sz w:val="24"/>
          <w:szCs w:val="24"/>
          <w:highlight w:val="none"/>
        </w:rPr>
        <w:t>　　签约代表（签字）：________　　签约代表（签字）：________</w:t>
      </w:r>
      <w:r>
        <w:rPr>
          <w:rFonts w:hint="eastAsia" w:ascii="仿宋" w:hAnsi="仿宋" w:eastAsia="仿宋" w:cs="宋体"/>
          <w:kern w:val="0"/>
          <w:sz w:val="24"/>
          <w:szCs w:val="24"/>
          <w:highlight w:val="none"/>
        </w:rPr>
        <w:br w:type="textWrapping"/>
      </w:r>
      <w:r>
        <w:rPr>
          <w:rFonts w:hint="eastAsia" w:ascii="仿宋" w:hAnsi="仿宋" w:eastAsia="仿宋" w:cs="宋体"/>
          <w:kern w:val="0"/>
          <w:sz w:val="24"/>
          <w:szCs w:val="24"/>
          <w:highlight w:val="none"/>
        </w:rPr>
        <w:t>　　地址：________　　　　　　　  地址：________</w:t>
      </w:r>
      <w:r>
        <w:rPr>
          <w:rFonts w:hint="eastAsia" w:ascii="仿宋" w:hAnsi="仿宋" w:eastAsia="仿宋" w:cs="宋体"/>
          <w:kern w:val="0"/>
          <w:sz w:val="24"/>
          <w:szCs w:val="24"/>
          <w:highlight w:val="none"/>
        </w:rPr>
        <w:br w:type="textWrapping"/>
      </w:r>
      <w:r>
        <w:rPr>
          <w:rFonts w:hint="eastAsia" w:ascii="仿宋" w:hAnsi="仿宋" w:eastAsia="仿宋" w:cs="宋体"/>
          <w:kern w:val="0"/>
          <w:sz w:val="24"/>
          <w:szCs w:val="24"/>
          <w:highlight w:val="none"/>
        </w:rPr>
        <w:t>　　电话：________　　　　　　　  电话：________</w:t>
      </w:r>
      <w:r>
        <w:rPr>
          <w:rFonts w:hint="eastAsia" w:ascii="仿宋" w:hAnsi="仿宋" w:eastAsia="仿宋" w:cs="宋体"/>
          <w:kern w:val="0"/>
          <w:sz w:val="24"/>
          <w:szCs w:val="24"/>
          <w:highlight w:val="none"/>
        </w:rPr>
        <w:br w:type="textWrapping"/>
      </w:r>
      <w:r>
        <w:rPr>
          <w:rFonts w:hint="eastAsia" w:ascii="仿宋" w:hAnsi="仿宋" w:eastAsia="仿宋" w:cs="宋体"/>
          <w:kern w:val="0"/>
          <w:sz w:val="24"/>
          <w:szCs w:val="24"/>
          <w:highlight w:val="none"/>
        </w:rPr>
        <w:t>　　传真：________　　　　　　　  传真：________</w:t>
      </w:r>
      <w:r>
        <w:rPr>
          <w:rFonts w:hint="eastAsia" w:ascii="仿宋" w:hAnsi="仿宋" w:eastAsia="仿宋" w:cs="宋体"/>
          <w:kern w:val="0"/>
          <w:sz w:val="24"/>
          <w:szCs w:val="24"/>
          <w:highlight w:val="none"/>
        </w:rPr>
        <w:br w:type="textWrapping"/>
      </w:r>
      <w:r>
        <w:rPr>
          <w:rFonts w:hint="eastAsia" w:ascii="仿宋" w:hAnsi="仿宋" w:eastAsia="仿宋" w:cs="宋体"/>
          <w:kern w:val="0"/>
          <w:sz w:val="24"/>
          <w:szCs w:val="24"/>
          <w:highlight w:val="none"/>
        </w:rPr>
        <w:t>　　________年____月____日　　 　________年____月____日</w:t>
      </w:r>
    </w:p>
    <w:p w14:paraId="3E28251E">
      <w:pPr>
        <w:pStyle w:val="40"/>
        <w:rPr>
          <w:rFonts w:hint="default"/>
          <w:szCs w:val="32"/>
          <w:highlight w:val="none"/>
        </w:rPr>
      </w:pPr>
      <w:r>
        <w:rPr>
          <w:kern w:val="0"/>
          <w:sz w:val="24"/>
          <w:szCs w:val="24"/>
          <w:highlight w:val="none"/>
        </w:rPr>
        <w:br w:type="page"/>
      </w:r>
      <w:bookmarkStart w:id="64" w:name="_Toc6010"/>
      <w:r>
        <w:rPr>
          <w:highlight w:val="none"/>
        </w:rPr>
        <w:t>第四章  响应文件格式</w:t>
      </w:r>
      <w:bookmarkEnd w:id="62"/>
      <w:bookmarkEnd w:id="63"/>
      <w:bookmarkEnd w:id="64"/>
    </w:p>
    <w:p w14:paraId="185BF3C1">
      <w:pPr>
        <w:pStyle w:val="36"/>
        <w:rPr>
          <w:rFonts w:hint="default"/>
          <w:highlight w:val="none"/>
        </w:rPr>
      </w:pPr>
    </w:p>
    <w:p w14:paraId="6DEDB3D5">
      <w:pPr>
        <w:pStyle w:val="36"/>
        <w:rPr>
          <w:rFonts w:hint="default"/>
          <w:highlight w:val="none"/>
        </w:rPr>
      </w:pPr>
      <w:r>
        <w:rPr>
          <w:highlight w:val="none"/>
        </w:rPr>
        <w:t>谈判响应文件</w:t>
      </w:r>
    </w:p>
    <w:p w14:paraId="043A2F66">
      <w:pPr>
        <w:rPr>
          <w:rFonts w:ascii="仿宋" w:hAnsi="仿宋" w:eastAsia="仿宋" w:cs="仿宋"/>
          <w:sz w:val="24"/>
          <w:highlight w:val="none"/>
        </w:rPr>
      </w:pPr>
    </w:p>
    <w:p w14:paraId="515ED278">
      <w:pPr>
        <w:rPr>
          <w:rFonts w:ascii="仿宋" w:hAnsi="仿宋" w:eastAsia="仿宋" w:cs="仿宋"/>
          <w:sz w:val="24"/>
          <w:highlight w:val="none"/>
        </w:rPr>
      </w:pPr>
    </w:p>
    <w:p w14:paraId="06ACC53D">
      <w:pPr>
        <w:rPr>
          <w:rFonts w:ascii="仿宋" w:hAnsi="仿宋" w:eastAsia="仿宋" w:cs="仿宋"/>
          <w:sz w:val="24"/>
          <w:highlight w:val="none"/>
        </w:rPr>
      </w:pPr>
    </w:p>
    <w:p w14:paraId="1781173B">
      <w:pPr>
        <w:rPr>
          <w:rFonts w:ascii="仿宋" w:hAnsi="仿宋" w:eastAsia="仿宋" w:cs="仿宋"/>
          <w:sz w:val="24"/>
          <w:highlight w:val="none"/>
        </w:rPr>
      </w:pPr>
    </w:p>
    <w:p w14:paraId="3F797019">
      <w:pPr>
        <w:rPr>
          <w:rFonts w:ascii="仿宋" w:hAnsi="仿宋" w:eastAsia="仿宋" w:cs="仿宋"/>
          <w:sz w:val="24"/>
          <w:highlight w:val="none"/>
        </w:rPr>
      </w:pPr>
    </w:p>
    <w:p w14:paraId="3A29E1F7">
      <w:pPr>
        <w:rPr>
          <w:rFonts w:ascii="仿宋" w:hAnsi="仿宋" w:eastAsia="仿宋" w:cs="仿宋"/>
          <w:sz w:val="24"/>
          <w:highlight w:val="none"/>
        </w:rPr>
      </w:pPr>
    </w:p>
    <w:p w14:paraId="0D7CB2B9">
      <w:pPr>
        <w:rPr>
          <w:rFonts w:ascii="仿宋" w:hAnsi="仿宋" w:eastAsia="仿宋" w:cs="仿宋"/>
          <w:sz w:val="24"/>
          <w:highlight w:val="none"/>
        </w:rPr>
      </w:pPr>
    </w:p>
    <w:p w14:paraId="0875873E">
      <w:pPr>
        <w:rPr>
          <w:rFonts w:ascii="仿宋" w:hAnsi="仿宋" w:eastAsia="仿宋" w:cs="仿宋"/>
          <w:sz w:val="24"/>
          <w:highlight w:val="none"/>
        </w:rPr>
      </w:pPr>
    </w:p>
    <w:p w14:paraId="62688B1A">
      <w:pPr>
        <w:rPr>
          <w:rFonts w:ascii="仿宋" w:hAnsi="仿宋" w:eastAsia="仿宋" w:cs="仿宋"/>
          <w:sz w:val="24"/>
          <w:highlight w:val="none"/>
        </w:rPr>
      </w:pPr>
    </w:p>
    <w:p w14:paraId="193D9E64">
      <w:pPr>
        <w:rPr>
          <w:rFonts w:ascii="仿宋" w:hAnsi="仿宋" w:eastAsia="仿宋" w:cs="仿宋"/>
          <w:sz w:val="28"/>
          <w:highlight w:val="none"/>
          <w:u w:val="single"/>
        </w:rPr>
      </w:pPr>
      <w:r>
        <w:rPr>
          <w:rFonts w:hint="eastAsia" w:ascii="仿宋" w:hAnsi="仿宋" w:eastAsia="仿宋" w:cs="仿宋"/>
          <w:sz w:val="28"/>
          <w:highlight w:val="none"/>
        </w:rPr>
        <w:t>项目名称：</w:t>
      </w:r>
    </w:p>
    <w:p w14:paraId="0F4E2A0F">
      <w:pPr>
        <w:rPr>
          <w:rFonts w:ascii="仿宋" w:hAnsi="仿宋" w:eastAsia="仿宋" w:cs="仿宋"/>
          <w:sz w:val="28"/>
          <w:highlight w:val="none"/>
          <w:u w:val="single"/>
        </w:rPr>
      </w:pPr>
    </w:p>
    <w:p w14:paraId="022D8A41">
      <w:pPr>
        <w:rPr>
          <w:rFonts w:ascii="仿宋" w:hAnsi="仿宋" w:eastAsia="仿宋" w:cs="仿宋"/>
          <w:sz w:val="28"/>
          <w:highlight w:val="none"/>
          <w:u w:val="single"/>
        </w:rPr>
      </w:pPr>
    </w:p>
    <w:p w14:paraId="1A8EF817">
      <w:pPr>
        <w:rPr>
          <w:rFonts w:ascii="仿宋" w:hAnsi="仿宋" w:eastAsia="仿宋" w:cs="仿宋"/>
          <w:sz w:val="28"/>
          <w:highlight w:val="none"/>
          <w:u w:val="single"/>
        </w:rPr>
      </w:pPr>
      <w:r>
        <w:rPr>
          <w:rFonts w:hint="eastAsia" w:ascii="仿宋" w:hAnsi="仿宋" w:eastAsia="仿宋" w:cs="仿宋"/>
          <w:sz w:val="28"/>
          <w:highlight w:val="none"/>
        </w:rPr>
        <w:t>项目编号：</w:t>
      </w:r>
    </w:p>
    <w:p w14:paraId="2790EB9D">
      <w:pPr>
        <w:rPr>
          <w:rFonts w:ascii="仿宋" w:hAnsi="仿宋" w:eastAsia="仿宋" w:cs="仿宋"/>
          <w:sz w:val="28"/>
          <w:highlight w:val="none"/>
          <w:u w:val="single"/>
        </w:rPr>
      </w:pPr>
    </w:p>
    <w:p w14:paraId="2A362C97">
      <w:pPr>
        <w:rPr>
          <w:rFonts w:ascii="仿宋" w:hAnsi="仿宋" w:eastAsia="仿宋" w:cs="仿宋"/>
          <w:sz w:val="28"/>
          <w:highlight w:val="none"/>
          <w:u w:val="single"/>
        </w:rPr>
      </w:pPr>
    </w:p>
    <w:p w14:paraId="45162B54">
      <w:pPr>
        <w:rPr>
          <w:rFonts w:ascii="仿宋" w:hAnsi="仿宋" w:eastAsia="仿宋" w:cs="仿宋"/>
          <w:sz w:val="28"/>
          <w:highlight w:val="none"/>
          <w:u w:val="single"/>
        </w:rPr>
      </w:pPr>
    </w:p>
    <w:p w14:paraId="0E7C2612">
      <w:pPr>
        <w:rPr>
          <w:rFonts w:ascii="仿宋" w:hAnsi="仿宋" w:eastAsia="仿宋" w:cs="仿宋"/>
          <w:sz w:val="28"/>
          <w:highlight w:val="none"/>
          <w:u w:val="single"/>
        </w:rPr>
      </w:pPr>
    </w:p>
    <w:p w14:paraId="508C34DF">
      <w:pPr>
        <w:rPr>
          <w:rFonts w:ascii="仿宋" w:hAnsi="仿宋" w:eastAsia="仿宋" w:cs="仿宋"/>
          <w:sz w:val="28"/>
          <w:highlight w:val="none"/>
          <w:u w:val="single"/>
        </w:rPr>
      </w:pPr>
    </w:p>
    <w:p w14:paraId="4C03EA25">
      <w:pPr>
        <w:rPr>
          <w:rFonts w:ascii="仿宋" w:hAnsi="仿宋" w:eastAsia="仿宋" w:cs="仿宋"/>
          <w:sz w:val="28"/>
          <w:highlight w:val="none"/>
          <w:u w:val="single"/>
        </w:rPr>
      </w:pPr>
    </w:p>
    <w:p w14:paraId="6DACA6B6">
      <w:pPr>
        <w:rPr>
          <w:rFonts w:ascii="仿宋" w:hAnsi="仿宋" w:eastAsia="仿宋" w:cs="仿宋"/>
          <w:sz w:val="28"/>
          <w:highlight w:val="none"/>
          <w:u w:val="single"/>
        </w:rPr>
      </w:pPr>
    </w:p>
    <w:p w14:paraId="14A26A5C">
      <w:pPr>
        <w:rPr>
          <w:rFonts w:ascii="仿宋" w:hAnsi="仿宋" w:eastAsia="仿宋" w:cs="仿宋"/>
          <w:sz w:val="28"/>
          <w:highlight w:val="none"/>
          <w:u w:val="single"/>
        </w:rPr>
      </w:pPr>
    </w:p>
    <w:p w14:paraId="1CFCF0BF">
      <w:pPr>
        <w:rPr>
          <w:rFonts w:ascii="仿宋" w:hAnsi="仿宋" w:eastAsia="仿宋" w:cs="仿宋"/>
          <w:sz w:val="28"/>
          <w:highlight w:val="none"/>
          <w:u w:val="single"/>
        </w:rPr>
      </w:pPr>
    </w:p>
    <w:p w14:paraId="40096AC5">
      <w:pPr>
        <w:jc w:val="center"/>
        <w:rPr>
          <w:rFonts w:ascii="仿宋" w:hAnsi="仿宋" w:eastAsia="仿宋" w:cs="仿宋"/>
          <w:sz w:val="28"/>
          <w:highlight w:val="none"/>
        </w:rPr>
      </w:pPr>
    </w:p>
    <w:p w14:paraId="17252619">
      <w:pPr>
        <w:jc w:val="center"/>
        <w:rPr>
          <w:rFonts w:ascii="仿宋" w:hAnsi="仿宋" w:eastAsia="仿宋" w:cs="仿宋"/>
          <w:sz w:val="28"/>
          <w:highlight w:val="none"/>
        </w:rPr>
      </w:pPr>
      <w:r>
        <w:rPr>
          <w:rFonts w:hint="eastAsia" w:ascii="仿宋" w:hAnsi="仿宋" w:eastAsia="仿宋" w:cs="仿宋"/>
          <w:sz w:val="28"/>
          <w:highlight w:val="none"/>
        </w:rPr>
        <w:t>单位（</w:t>
      </w:r>
      <w:r>
        <w:rPr>
          <w:rFonts w:hint="eastAsia" w:ascii="仿宋" w:hAnsi="仿宋" w:eastAsia="仿宋" w:cs="仿宋"/>
          <w:sz w:val="24"/>
          <w:highlight w:val="none"/>
        </w:rPr>
        <w:t>签章</w:t>
      </w:r>
      <w:r>
        <w:rPr>
          <w:rFonts w:hint="eastAsia" w:ascii="仿宋" w:hAnsi="仿宋" w:eastAsia="仿宋" w:cs="仿宋"/>
          <w:sz w:val="28"/>
          <w:highlight w:val="none"/>
        </w:rPr>
        <w:t>）</w:t>
      </w:r>
    </w:p>
    <w:p w14:paraId="55D41FAB">
      <w:pPr>
        <w:jc w:val="center"/>
        <w:rPr>
          <w:rFonts w:ascii="仿宋" w:hAnsi="仿宋" w:eastAsia="仿宋" w:cs="仿宋"/>
          <w:sz w:val="28"/>
          <w:highlight w:val="none"/>
        </w:rPr>
      </w:pPr>
    </w:p>
    <w:p w14:paraId="701B4662">
      <w:pPr>
        <w:jc w:val="center"/>
        <w:rPr>
          <w:rFonts w:ascii="仿宋" w:hAnsi="仿宋" w:eastAsia="仿宋" w:cs="仿宋"/>
          <w:w w:val="80"/>
          <w:sz w:val="36"/>
          <w:highlight w:val="none"/>
        </w:rPr>
        <w:sectPr>
          <w:headerReference r:id="rId4" w:type="first"/>
          <w:footerReference r:id="rId7" w:type="first"/>
          <w:headerReference r:id="rId3" w:type="default"/>
          <w:footerReference r:id="rId5" w:type="default"/>
          <w:footerReference r:id="rId6" w:type="even"/>
          <w:pgSz w:w="11907" w:h="16840"/>
          <w:pgMar w:top="1474" w:right="850" w:bottom="1474" w:left="1134" w:header="720" w:footer="720" w:gutter="0"/>
          <w:pgNumType w:start="0"/>
          <w:cols w:space="720" w:num="1"/>
          <w:titlePg/>
          <w:docGrid w:linePitch="285" w:charSpace="0"/>
        </w:sectPr>
      </w:pPr>
      <w:r>
        <w:rPr>
          <w:rFonts w:hint="eastAsia" w:ascii="仿宋" w:hAnsi="仿宋" w:eastAsia="仿宋" w:cs="仿宋"/>
          <w:sz w:val="28"/>
          <w:highlight w:val="none"/>
        </w:rPr>
        <w:t>年月日</w:t>
      </w:r>
    </w:p>
    <w:p w14:paraId="037AF049">
      <w:pPr>
        <w:pStyle w:val="42"/>
        <w:spacing w:before="240"/>
        <w:rPr>
          <w:rFonts w:hint="default"/>
          <w:highlight w:val="none"/>
        </w:rPr>
      </w:pPr>
      <w:bookmarkStart w:id="65" w:name="_Toc21903"/>
      <w:r>
        <w:rPr>
          <w:highlight w:val="none"/>
        </w:rPr>
        <w:t>格式1. 谈判响应书</w:t>
      </w:r>
      <w:bookmarkEnd w:id="65"/>
    </w:p>
    <w:p w14:paraId="3C2BA2E6">
      <w:pPr>
        <w:spacing w:line="360" w:lineRule="auto"/>
        <w:rPr>
          <w:rFonts w:hint="eastAsia" w:ascii="仿宋" w:hAnsi="仿宋" w:eastAsia="仿宋" w:cs="仿宋"/>
          <w:sz w:val="24"/>
          <w:highlight w:val="none"/>
          <w:lang w:eastAsia="zh-CN"/>
        </w:rPr>
      </w:pPr>
      <w:r>
        <w:rPr>
          <w:rFonts w:hint="eastAsia" w:ascii="仿宋" w:hAnsi="仿宋" w:eastAsia="仿宋" w:cs="仿宋"/>
          <w:sz w:val="24"/>
          <w:highlight w:val="none"/>
        </w:rPr>
        <w:t>致：</w:t>
      </w:r>
      <w:r>
        <w:rPr>
          <w:rFonts w:hint="eastAsia" w:ascii="仿宋" w:hAnsi="仿宋" w:eastAsia="仿宋" w:cs="仿宋"/>
          <w:sz w:val="24"/>
          <w:highlight w:val="none"/>
          <w:lang w:eastAsia="zh-CN"/>
        </w:rPr>
        <w:t>江西中铖工程管理有限公司</w:t>
      </w:r>
    </w:p>
    <w:p w14:paraId="562C5271">
      <w:pPr>
        <w:spacing w:line="360" w:lineRule="auto"/>
        <w:ind w:firstLine="480"/>
        <w:rPr>
          <w:rFonts w:ascii="仿宋" w:hAnsi="仿宋" w:eastAsia="仿宋" w:cs="仿宋"/>
          <w:sz w:val="24"/>
          <w:highlight w:val="none"/>
        </w:rPr>
      </w:pPr>
      <w:r>
        <w:rPr>
          <w:rFonts w:hint="eastAsia" w:ascii="仿宋" w:hAnsi="仿宋" w:eastAsia="仿宋" w:cs="仿宋"/>
          <w:sz w:val="24"/>
          <w:highlight w:val="none"/>
        </w:rPr>
        <w:t>根据贵方为(</w:t>
      </w:r>
      <w:r>
        <w:rPr>
          <w:rFonts w:hint="eastAsia" w:ascii="仿宋" w:hAnsi="仿宋" w:eastAsia="仿宋" w:cs="仿宋"/>
          <w:sz w:val="24"/>
          <w:highlight w:val="none"/>
          <w:u w:val="single"/>
        </w:rPr>
        <w:t>项目名称</w:t>
      </w:r>
      <w:r>
        <w:rPr>
          <w:rFonts w:hint="eastAsia" w:ascii="仿宋" w:hAnsi="仿宋" w:eastAsia="仿宋" w:cs="仿宋"/>
          <w:sz w:val="24"/>
          <w:highlight w:val="none"/>
        </w:rPr>
        <w:t>)项目竞争性谈判采购货物及有关服务的谈判邀请</w:t>
      </w:r>
      <w:r>
        <w:rPr>
          <w:rFonts w:hint="eastAsia" w:ascii="仿宋" w:hAnsi="仿宋" w:eastAsia="仿宋" w:cs="仿宋"/>
          <w:sz w:val="24"/>
          <w:highlight w:val="none"/>
          <w:u w:val="single"/>
        </w:rPr>
        <w:t>(项目编号)</w:t>
      </w:r>
      <w:r>
        <w:rPr>
          <w:rFonts w:hint="eastAsia" w:ascii="仿宋" w:hAnsi="仿宋" w:eastAsia="仿宋" w:cs="仿宋"/>
          <w:sz w:val="24"/>
          <w:highlight w:val="none"/>
        </w:rPr>
        <w:t>，签字代表(</w:t>
      </w:r>
      <w:r>
        <w:rPr>
          <w:rFonts w:hint="eastAsia" w:ascii="仿宋" w:hAnsi="仿宋" w:eastAsia="仿宋" w:cs="仿宋"/>
          <w:sz w:val="24"/>
          <w:highlight w:val="none"/>
          <w:u w:val="single"/>
        </w:rPr>
        <w:t>姓名、职务</w:t>
      </w:r>
      <w:r>
        <w:rPr>
          <w:rFonts w:hint="eastAsia" w:ascii="仿宋" w:hAnsi="仿宋" w:eastAsia="仿宋" w:cs="仿宋"/>
          <w:sz w:val="24"/>
          <w:highlight w:val="none"/>
        </w:rPr>
        <w:t>)经正式授权并代表我方</w:t>
      </w:r>
      <w:r>
        <w:rPr>
          <w:rFonts w:hint="eastAsia" w:ascii="仿宋" w:hAnsi="仿宋" w:eastAsia="仿宋" w:cs="仿宋"/>
          <w:sz w:val="24"/>
          <w:highlight w:val="none"/>
          <w:u w:val="single"/>
        </w:rPr>
        <w:t>(单位名称、地址)</w:t>
      </w:r>
      <w:r>
        <w:rPr>
          <w:rFonts w:hint="eastAsia" w:ascii="仿宋" w:hAnsi="仿宋" w:eastAsia="仿宋" w:cs="仿宋"/>
          <w:sz w:val="24"/>
          <w:highlight w:val="none"/>
        </w:rPr>
        <w:t>提交下述文件:</w:t>
      </w:r>
    </w:p>
    <w:p w14:paraId="498A82B5">
      <w:pPr>
        <w:spacing w:line="360" w:lineRule="auto"/>
        <w:ind w:left="707" w:hanging="283"/>
        <w:rPr>
          <w:rFonts w:ascii="仿宋" w:hAnsi="仿宋" w:eastAsia="仿宋" w:cs="仿宋"/>
          <w:sz w:val="24"/>
          <w:szCs w:val="24"/>
          <w:highlight w:val="none"/>
        </w:rPr>
      </w:pPr>
      <w:r>
        <w:rPr>
          <w:rFonts w:hint="eastAsia" w:ascii="仿宋" w:hAnsi="仿宋" w:eastAsia="仿宋" w:cs="仿宋"/>
          <w:sz w:val="24"/>
          <w:szCs w:val="24"/>
          <w:highlight w:val="none"/>
        </w:rPr>
        <w:t>1、响应书</w:t>
      </w:r>
    </w:p>
    <w:p w14:paraId="15E244B1">
      <w:pPr>
        <w:spacing w:line="360" w:lineRule="auto"/>
        <w:ind w:left="707" w:hanging="283"/>
        <w:rPr>
          <w:rFonts w:ascii="仿宋" w:hAnsi="仿宋" w:eastAsia="仿宋" w:cs="仿宋"/>
          <w:sz w:val="24"/>
          <w:szCs w:val="24"/>
          <w:highlight w:val="none"/>
        </w:rPr>
      </w:pPr>
      <w:r>
        <w:rPr>
          <w:rFonts w:hint="eastAsia" w:ascii="仿宋" w:hAnsi="仿宋" w:eastAsia="仿宋" w:cs="仿宋"/>
          <w:sz w:val="24"/>
          <w:szCs w:val="24"/>
          <w:highlight w:val="none"/>
        </w:rPr>
        <w:t>2、开标一览表</w:t>
      </w:r>
    </w:p>
    <w:p w14:paraId="05A57D28">
      <w:pPr>
        <w:spacing w:line="360" w:lineRule="auto"/>
        <w:ind w:left="707" w:hanging="283"/>
        <w:rPr>
          <w:rFonts w:ascii="仿宋" w:hAnsi="仿宋" w:eastAsia="仿宋" w:cs="仿宋"/>
          <w:sz w:val="24"/>
          <w:szCs w:val="24"/>
          <w:highlight w:val="none"/>
        </w:rPr>
      </w:pPr>
      <w:r>
        <w:rPr>
          <w:rFonts w:hint="eastAsia" w:ascii="仿宋" w:hAnsi="仿宋" w:eastAsia="仿宋" w:cs="仿宋"/>
          <w:sz w:val="24"/>
          <w:szCs w:val="24"/>
          <w:highlight w:val="none"/>
        </w:rPr>
        <w:t>3、分项报价表</w:t>
      </w:r>
    </w:p>
    <w:p w14:paraId="00257641">
      <w:pPr>
        <w:spacing w:line="360" w:lineRule="auto"/>
        <w:ind w:left="707" w:hanging="283"/>
        <w:rPr>
          <w:rFonts w:ascii="仿宋" w:hAnsi="仿宋" w:eastAsia="仿宋" w:cs="仿宋"/>
          <w:sz w:val="24"/>
          <w:szCs w:val="24"/>
          <w:highlight w:val="none"/>
        </w:rPr>
      </w:pPr>
      <w:r>
        <w:rPr>
          <w:rFonts w:hint="eastAsia" w:ascii="仿宋" w:hAnsi="仿宋" w:eastAsia="仿宋" w:cs="仿宋"/>
          <w:sz w:val="24"/>
          <w:szCs w:val="24"/>
          <w:highlight w:val="none"/>
        </w:rPr>
        <w:t>4、开标一览明细表</w:t>
      </w:r>
    </w:p>
    <w:p w14:paraId="4F0C85EC">
      <w:pPr>
        <w:spacing w:line="360" w:lineRule="auto"/>
        <w:ind w:left="707" w:hanging="283"/>
        <w:rPr>
          <w:rFonts w:ascii="仿宋" w:hAnsi="仿宋" w:eastAsia="仿宋" w:cs="仿宋"/>
          <w:sz w:val="24"/>
          <w:szCs w:val="24"/>
          <w:highlight w:val="none"/>
        </w:rPr>
      </w:pPr>
      <w:r>
        <w:rPr>
          <w:rFonts w:hint="eastAsia" w:ascii="仿宋" w:hAnsi="仿宋" w:eastAsia="仿宋" w:cs="仿宋"/>
          <w:sz w:val="24"/>
          <w:szCs w:val="24"/>
          <w:highlight w:val="none"/>
        </w:rPr>
        <w:t>5、服务需求响应/偏离表</w:t>
      </w:r>
    </w:p>
    <w:p w14:paraId="39BBCC7A">
      <w:pPr>
        <w:spacing w:line="360" w:lineRule="auto"/>
        <w:ind w:left="707" w:hanging="283"/>
        <w:rPr>
          <w:rFonts w:ascii="仿宋" w:hAnsi="仿宋" w:eastAsia="仿宋" w:cs="仿宋"/>
          <w:sz w:val="24"/>
          <w:szCs w:val="24"/>
          <w:highlight w:val="none"/>
        </w:rPr>
      </w:pPr>
      <w:r>
        <w:rPr>
          <w:rFonts w:hint="eastAsia" w:ascii="仿宋" w:hAnsi="仿宋" w:eastAsia="仿宋" w:cs="仿宋"/>
          <w:sz w:val="24"/>
          <w:szCs w:val="24"/>
          <w:highlight w:val="none"/>
        </w:rPr>
        <w:t>6、商务条件响应/偏离表</w:t>
      </w:r>
    </w:p>
    <w:p w14:paraId="06E5DF9D">
      <w:pPr>
        <w:spacing w:line="360" w:lineRule="auto"/>
        <w:ind w:left="707" w:hanging="283"/>
        <w:rPr>
          <w:rFonts w:ascii="仿宋" w:hAnsi="仿宋" w:eastAsia="仿宋" w:cs="仿宋"/>
          <w:sz w:val="24"/>
          <w:szCs w:val="24"/>
          <w:highlight w:val="none"/>
        </w:rPr>
      </w:pPr>
      <w:r>
        <w:rPr>
          <w:rFonts w:hint="eastAsia" w:ascii="仿宋" w:hAnsi="仿宋" w:eastAsia="仿宋" w:cs="仿宋"/>
          <w:sz w:val="24"/>
          <w:szCs w:val="24"/>
          <w:highlight w:val="none"/>
        </w:rPr>
        <w:t>7、技术文件</w:t>
      </w:r>
    </w:p>
    <w:p w14:paraId="0BA5042F">
      <w:pPr>
        <w:spacing w:line="360" w:lineRule="auto"/>
        <w:ind w:left="707" w:hanging="283"/>
        <w:rPr>
          <w:rFonts w:ascii="仿宋" w:hAnsi="仿宋" w:eastAsia="仿宋" w:cs="仿宋"/>
          <w:sz w:val="24"/>
          <w:szCs w:val="24"/>
          <w:highlight w:val="none"/>
        </w:rPr>
      </w:pPr>
      <w:r>
        <w:rPr>
          <w:rFonts w:hint="eastAsia" w:ascii="仿宋" w:hAnsi="仿宋" w:eastAsia="仿宋" w:cs="仿宋"/>
          <w:sz w:val="24"/>
          <w:szCs w:val="24"/>
          <w:highlight w:val="none"/>
        </w:rPr>
        <w:t>8、供应商应当提交的资格、资信证明文件</w:t>
      </w:r>
    </w:p>
    <w:p w14:paraId="12F57951">
      <w:pPr>
        <w:spacing w:line="360" w:lineRule="auto"/>
        <w:ind w:left="707" w:hanging="283"/>
        <w:rPr>
          <w:rFonts w:ascii="仿宋" w:hAnsi="仿宋" w:eastAsia="仿宋" w:cs="仿宋"/>
          <w:sz w:val="24"/>
          <w:szCs w:val="24"/>
          <w:highlight w:val="none"/>
        </w:rPr>
      </w:pPr>
      <w:r>
        <w:rPr>
          <w:rFonts w:hint="eastAsia" w:ascii="仿宋" w:hAnsi="仿宋" w:eastAsia="仿宋" w:cs="仿宋"/>
          <w:sz w:val="24"/>
          <w:szCs w:val="24"/>
          <w:highlight w:val="none"/>
        </w:rPr>
        <w:t>9. 其他证明资料</w:t>
      </w:r>
    </w:p>
    <w:p w14:paraId="14EDE5FB">
      <w:pPr>
        <w:spacing w:line="360" w:lineRule="auto"/>
        <w:ind w:left="707" w:hanging="283"/>
        <w:rPr>
          <w:rFonts w:ascii="仿宋" w:hAnsi="仿宋" w:eastAsia="仿宋" w:cs="仿宋"/>
          <w:sz w:val="24"/>
          <w:highlight w:val="none"/>
        </w:rPr>
      </w:pPr>
      <w:r>
        <w:rPr>
          <w:rFonts w:hint="eastAsia" w:ascii="仿宋" w:hAnsi="仿宋" w:eastAsia="仿宋" w:cs="仿宋"/>
          <w:sz w:val="24"/>
          <w:highlight w:val="none"/>
        </w:rPr>
        <w:t>据此函,签字代表宣布同意如下:</w:t>
      </w:r>
    </w:p>
    <w:p w14:paraId="4B7E02FB">
      <w:pPr>
        <w:spacing w:line="360" w:lineRule="auto"/>
        <w:ind w:left="707" w:hanging="283"/>
        <w:rPr>
          <w:rFonts w:ascii="仿宋" w:hAnsi="仿宋" w:eastAsia="仿宋" w:cs="仿宋"/>
          <w:sz w:val="24"/>
          <w:highlight w:val="none"/>
        </w:rPr>
      </w:pPr>
      <w:r>
        <w:rPr>
          <w:rFonts w:hint="eastAsia" w:ascii="仿宋" w:hAnsi="仿宋" w:eastAsia="仿宋" w:cs="仿宋"/>
          <w:sz w:val="24"/>
          <w:highlight w:val="none"/>
        </w:rPr>
        <w:t>1. 所附报价表中规定的应提交和交付项目及相关服务的总价为（用文字和数字表示的总价）。</w:t>
      </w:r>
    </w:p>
    <w:p w14:paraId="1ED04D84">
      <w:pPr>
        <w:spacing w:line="360" w:lineRule="auto"/>
        <w:ind w:left="707" w:hanging="283"/>
        <w:rPr>
          <w:rFonts w:ascii="仿宋" w:hAnsi="仿宋" w:eastAsia="仿宋" w:cs="仿宋"/>
          <w:sz w:val="24"/>
          <w:highlight w:val="none"/>
        </w:rPr>
      </w:pPr>
      <w:r>
        <w:rPr>
          <w:rFonts w:hint="eastAsia" w:ascii="仿宋" w:hAnsi="仿宋" w:eastAsia="仿宋" w:cs="仿宋"/>
          <w:sz w:val="24"/>
          <w:highlight w:val="none"/>
        </w:rPr>
        <w:t>2. 我方将按谈判文件的规定履行合同责任和义务。</w:t>
      </w:r>
    </w:p>
    <w:p w14:paraId="2E18605A">
      <w:pPr>
        <w:spacing w:line="360" w:lineRule="auto"/>
        <w:ind w:left="707" w:hanging="283"/>
        <w:rPr>
          <w:rFonts w:ascii="仿宋" w:hAnsi="仿宋" w:eastAsia="仿宋" w:cs="仿宋"/>
          <w:sz w:val="24"/>
          <w:highlight w:val="none"/>
        </w:rPr>
      </w:pPr>
      <w:r>
        <w:rPr>
          <w:rFonts w:hint="eastAsia" w:ascii="仿宋" w:hAnsi="仿宋" w:eastAsia="仿宋" w:cs="仿宋"/>
          <w:sz w:val="24"/>
          <w:highlight w:val="none"/>
        </w:rPr>
        <w:t>3. 我方已详细审查全部谈判文件，包括第</w:t>
      </w:r>
      <w:r>
        <w:rPr>
          <w:rFonts w:hint="eastAsia" w:ascii="仿宋" w:hAnsi="仿宋" w:eastAsia="仿宋" w:cs="仿宋"/>
          <w:sz w:val="24"/>
          <w:highlight w:val="none"/>
          <w:u w:val="single"/>
        </w:rPr>
        <w:t>(编号、补遗函)(如果有的话)。</w:t>
      </w:r>
      <w:r>
        <w:rPr>
          <w:rFonts w:hint="eastAsia" w:ascii="仿宋" w:hAnsi="仿宋" w:eastAsia="仿宋" w:cs="仿宋"/>
          <w:sz w:val="24"/>
          <w:highlight w:val="none"/>
        </w:rPr>
        <w:t>我们完全理解并同意放弃对这方面有不明及误解的权力。</w:t>
      </w:r>
    </w:p>
    <w:p w14:paraId="218429A1">
      <w:pPr>
        <w:spacing w:line="360" w:lineRule="auto"/>
        <w:ind w:left="707" w:hanging="283"/>
        <w:rPr>
          <w:rFonts w:ascii="仿宋" w:hAnsi="仿宋" w:eastAsia="仿宋" w:cs="仿宋"/>
          <w:sz w:val="24"/>
          <w:highlight w:val="none"/>
        </w:rPr>
      </w:pPr>
      <w:r>
        <w:rPr>
          <w:rFonts w:hint="eastAsia" w:ascii="仿宋" w:hAnsi="仿宋" w:eastAsia="仿宋" w:cs="仿宋"/>
          <w:sz w:val="24"/>
          <w:highlight w:val="none"/>
        </w:rPr>
        <w:t>4. 本谈判有效期为自谈判之日起</w:t>
      </w:r>
      <w:r>
        <w:rPr>
          <w:rFonts w:hint="eastAsia" w:ascii="仿宋" w:hAnsi="仿宋" w:eastAsia="仿宋" w:cs="仿宋"/>
          <w:sz w:val="24"/>
          <w:highlight w:val="none"/>
          <w:u w:val="single"/>
        </w:rPr>
        <w:t xml:space="preserve">  90  </w:t>
      </w:r>
      <w:r>
        <w:rPr>
          <w:rFonts w:hint="eastAsia" w:ascii="仿宋" w:hAnsi="仿宋" w:eastAsia="仿宋" w:cs="仿宋"/>
          <w:sz w:val="24"/>
          <w:highlight w:val="none"/>
        </w:rPr>
        <w:t>天。</w:t>
      </w:r>
    </w:p>
    <w:p w14:paraId="207CB97A">
      <w:pPr>
        <w:spacing w:line="360" w:lineRule="auto"/>
        <w:ind w:left="707" w:hanging="283"/>
        <w:rPr>
          <w:rFonts w:ascii="仿宋" w:hAnsi="仿宋" w:eastAsia="仿宋" w:cs="仿宋"/>
          <w:sz w:val="24"/>
          <w:highlight w:val="none"/>
        </w:rPr>
      </w:pPr>
      <w:r>
        <w:rPr>
          <w:rFonts w:hint="eastAsia" w:ascii="仿宋" w:hAnsi="仿宋" w:eastAsia="仿宋" w:cs="仿宋"/>
          <w:sz w:val="24"/>
          <w:highlight w:val="none"/>
        </w:rPr>
        <w:t>5. 如果在规定的谈判时间后，我方在谈判有效期内撤回响应文件，谈判保证金不予退还。</w:t>
      </w:r>
    </w:p>
    <w:p w14:paraId="10AD0468">
      <w:pPr>
        <w:spacing w:line="360" w:lineRule="auto"/>
        <w:ind w:left="707" w:hanging="283"/>
        <w:rPr>
          <w:rFonts w:ascii="仿宋" w:hAnsi="仿宋" w:eastAsia="仿宋" w:cs="仿宋"/>
          <w:sz w:val="24"/>
          <w:highlight w:val="none"/>
        </w:rPr>
      </w:pPr>
      <w:r>
        <w:rPr>
          <w:rFonts w:hint="eastAsia" w:ascii="仿宋" w:hAnsi="仿宋" w:eastAsia="仿宋" w:cs="仿宋"/>
          <w:sz w:val="24"/>
          <w:highlight w:val="none"/>
        </w:rPr>
        <w:t>6.我方同意提供按照贵方可能要求的与其谈判有关的一切数据或资料。</w:t>
      </w:r>
    </w:p>
    <w:p w14:paraId="7701C91A">
      <w:pPr>
        <w:spacing w:line="360" w:lineRule="auto"/>
        <w:ind w:left="707" w:hanging="283"/>
        <w:rPr>
          <w:rFonts w:ascii="仿宋" w:hAnsi="仿宋" w:eastAsia="仿宋" w:cs="仿宋"/>
          <w:sz w:val="24"/>
          <w:highlight w:val="none"/>
        </w:rPr>
      </w:pPr>
      <w:r>
        <w:rPr>
          <w:rFonts w:hint="eastAsia" w:ascii="仿宋" w:hAnsi="仿宋" w:eastAsia="仿宋" w:cs="仿宋"/>
          <w:sz w:val="24"/>
          <w:highlight w:val="none"/>
        </w:rPr>
        <w:t>7.与本谈判有关的一切正式往来信函请寄:</w:t>
      </w:r>
    </w:p>
    <w:p w14:paraId="4638831E">
      <w:pPr>
        <w:spacing w:line="360" w:lineRule="auto"/>
        <w:rPr>
          <w:rFonts w:ascii="仿宋" w:hAnsi="仿宋" w:eastAsia="仿宋" w:cs="仿宋"/>
          <w:sz w:val="24"/>
          <w:highlight w:val="none"/>
          <w:u w:val="single"/>
        </w:rPr>
      </w:pPr>
      <w:r>
        <w:rPr>
          <w:rFonts w:hint="eastAsia" w:ascii="仿宋" w:hAnsi="仿宋" w:eastAsia="仿宋" w:cs="仿宋"/>
          <w:sz w:val="24"/>
          <w:highlight w:val="none"/>
        </w:rPr>
        <w:t>地址       传真</w:t>
      </w:r>
    </w:p>
    <w:p w14:paraId="0ACBDF48">
      <w:pPr>
        <w:spacing w:line="360" w:lineRule="auto"/>
        <w:rPr>
          <w:rFonts w:ascii="仿宋" w:hAnsi="仿宋" w:eastAsia="仿宋" w:cs="仿宋"/>
          <w:sz w:val="24"/>
          <w:highlight w:val="none"/>
        </w:rPr>
      </w:pPr>
      <w:r>
        <w:rPr>
          <w:rFonts w:hint="eastAsia" w:ascii="仿宋" w:hAnsi="仿宋" w:eastAsia="仿宋" w:cs="仿宋"/>
          <w:sz w:val="24"/>
          <w:highlight w:val="none"/>
        </w:rPr>
        <w:t>电话       电子邮件</w:t>
      </w:r>
    </w:p>
    <w:p w14:paraId="48164114">
      <w:pPr>
        <w:spacing w:line="360" w:lineRule="auto"/>
        <w:rPr>
          <w:rFonts w:ascii="仿宋" w:hAnsi="仿宋" w:eastAsia="仿宋" w:cs="仿宋"/>
          <w:sz w:val="24"/>
          <w:highlight w:val="none"/>
        </w:rPr>
      </w:pPr>
      <w:r>
        <w:rPr>
          <w:rFonts w:hint="eastAsia" w:ascii="仿宋" w:hAnsi="仿宋" w:eastAsia="仿宋" w:cs="仿宋"/>
          <w:sz w:val="24"/>
          <w:highlight w:val="none"/>
        </w:rPr>
        <w:t>供应商代表签字或签章</w:t>
      </w:r>
    </w:p>
    <w:p w14:paraId="5D05FA95">
      <w:pPr>
        <w:spacing w:line="360" w:lineRule="auto"/>
        <w:rPr>
          <w:rFonts w:ascii="仿宋" w:hAnsi="仿宋" w:eastAsia="仿宋" w:cs="仿宋"/>
          <w:sz w:val="24"/>
          <w:highlight w:val="none"/>
          <w:u w:val="single"/>
        </w:rPr>
      </w:pPr>
      <w:r>
        <w:rPr>
          <w:rFonts w:hint="eastAsia" w:ascii="仿宋" w:hAnsi="仿宋" w:eastAsia="仿宋" w:cs="仿宋"/>
          <w:sz w:val="24"/>
          <w:highlight w:val="none"/>
        </w:rPr>
        <w:t>供应商盖章</w:t>
      </w:r>
    </w:p>
    <w:p w14:paraId="4AE00F18">
      <w:pPr>
        <w:spacing w:line="360" w:lineRule="auto"/>
        <w:rPr>
          <w:rFonts w:ascii="仿宋" w:hAnsi="仿宋" w:eastAsia="仿宋" w:cs="仿宋"/>
          <w:sz w:val="24"/>
          <w:highlight w:val="none"/>
          <w:u w:val="single"/>
        </w:rPr>
      </w:pPr>
      <w:r>
        <w:rPr>
          <w:rFonts w:hint="eastAsia" w:ascii="仿宋" w:hAnsi="仿宋" w:eastAsia="仿宋" w:cs="仿宋"/>
          <w:sz w:val="24"/>
          <w:highlight w:val="none"/>
        </w:rPr>
        <w:t>日期</w:t>
      </w:r>
    </w:p>
    <w:p w14:paraId="1D8FDA32">
      <w:pPr>
        <w:spacing w:line="360" w:lineRule="auto"/>
        <w:jc w:val="center"/>
        <w:rPr>
          <w:rFonts w:ascii="仿宋" w:hAnsi="仿宋" w:eastAsia="仿宋" w:cs="仿宋"/>
          <w:sz w:val="28"/>
          <w:highlight w:val="none"/>
        </w:rPr>
        <w:sectPr>
          <w:footerReference r:id="rId8" w:type="default"/>
          <w:pgSz w:w="11907" w:h="16840"/>
          <w:pgMar w:top="1474" w:right="1134" w:bottom="1474" w:left="1134" w:header="720" w:footer="720" w:gutter="0"/>
          <w:cols w:space="720" w:num="1"/>
          <w:docGrid w:linePitch="285" w:charSpace="0"/>
        </w:sectPr>
      </w:pPr>
    </w:p>
    <w:p w14:paraId="62BB92D4">
      <w:pPr>
        <w:pStyle w:val="42"/>
        <w:spacing w:before="240"/>
        <w:rPr>
          <w:rFonts w:hint="default"/>
          <w:highlight w:val="none"/>
        </w:rPr>
      </w:pPr>
      <w:bookmarkStart w:id="66" w:name="_Toc18240"/>
      <w:bookmarkStart w:id="67" w:name="_Toc505076479"/>
      <w:r>
        <w:rPr>
          <w:highlight w:val="none"/>
        </w:rPr>
        <w:t>格式2．报价表</w:t>
      </w:r>
      <w:bookmarkEnd w:id="66"/>
      <w:bookmarkEnd w:id="67"/>
    </w:p>
    <w:p w14:paraId="7E153FCD">
      <w:pPr>
        <w:spacing w:line="120" w:lineRule="auto"/>
        <w:jc w:val="center"/>
        <w:rPr>
          <w:rFonts w:ascii="仿宋" w:hAnsi="仿宋" w:eastAsia="仿宋" w:cs="仿宋"/>
          <w:sz w:val="28"/>
          <w:highlight w:val="none"/>
        </w:rPr>
      </w:pPr>
    </w:p>
    <w:p w14:paraId="73E603C6">
      <w:pPr>
        <w:spacing w:line="432" w:lineRule="auto"/>
        <w:rPr>
          <w:rFonts w:ascii="仿宋" w:hAnsi="仿宋" w:eastAsia="仿宋" w:cs="仿宋"/>
          <w:sz w:val="24"/>
          <w:highlight w:val="none"/>
        </w:rPr>
      </w:pPr>
      <w:r>
        <w:rPr>
          <w:rFonts w:hint="eastAsia" w:ascii="仿宋" w:hAnsi="仿宋" w:eastAsia="仿宋" w:cs="仿宋"/>
          <w:sz w:val="24"/>
          <w:highlight w:val="none"/>
        </w:rPr>
        <w:t>供应商名称：                                                          项目编号：</w:t>
      </w:r>
    </w:p>
    <w:tbl>
      <w:tblPr>
        <w:tblStyle w:val="17"/>
        <w:tblW w:w="1410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6"/>
        <w:gridCol w:w="2522"/>
        <w:gridCol w:w="1013"/>
        <w:gridCol w:w="1134"/>
        <w:gridCol w:w="2410"/>
        <w:gridCol w:w="1984"/>
        <w:gridCol w:w="3321"/>
        <w:gridCol w:w="898"/>
      </w:tblGrid>
      <w:tr w14:paraId="76628B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826" w:type="dxa"/>
            <w:tcBorders>
              <w:top w:val="single" w:color="auto" w:sz="8" w:space="0"/>
            </w:tcBorders>
            <w:vAlign w:val="center"/>
          </w:tcPr>
          <w:p w14:paraId="41A94979">
            <w:pPr>
              <w:spacing w:line="432" w:lineRule="auto"/>
              <w:jc w:val="center"/>
              <w:rPr>
                <w:rFonts w:ascii="仿宋" w:hAnsi="仿宋" w:eastAsia="仿宋" w:cs="仿宋"/>
                <w:sz w:val="24"/>
                <w:highlight w:val="none"/>
              </w:rPr>
            </w:pPr>
            <w:r>
              <w:rPr>
                <w:rFonts w:hint="eastAsia" w:ascii="仿宋" w:hAnsi="仿宋" w:eastAsia="仿宋" w:cs="仿宋"/>
                <w:sz w:val="24"/>
                <w:highlight w:val="none"/>
              </w:rPr>
              <w:t>序号</w:t>
            </w:r>
          </w:p>
        </w:tc>
        <w:tc>
          <w:tcPr>
            <w:tcW w:w="2522" w:type="dxa"/>
            <w:tcBorders>
              <w:top w:val="single" w:color="auto" w:sz="8" w:space="0"/>
            </w:tcBorders>
            <w:vAlign w:val="center"/>
          </w:tcPr>
          <w:p w14:paraId="40630869">
            <w:pPr>
              <w:spacing w:line="432" w:lineRule="auto"/>
              <w:jc w:val="center"/>
              <w:rPr>
                <w:rFonts w:ascii="仿宋" w:hAnsi="仿宋" w:eastAsia="仿宋" w:cs="仿宋"/>
                <w:sz w:val="24"/>
                <w:highlight w:val="none"/>
              </w:rPr>
            </w:pPr>
            <w:r>
              <w:rPr>
                <w:rFonts w:hint="eastAsia" w:ascii="仿宋" w:hAnsi="仿宋" w:eastAsia="仿宋" w:cs="仿宋"/>
                <w:sz w:val="24"/>
                <w:highlight w:val="none"/>
              </w:rPr>
              <w:t>项目名称</w:t>
            </w:r>
          </w:p>
        </w:tc>
        <w:tc>
          <w:tcPr>
            <w:tcW w:w="1013" w:type="dxa"/>
            <w:tcBorders>
              <w:top w:val="single" w:color="auto" w:sz="8" w:space="0"/>
            </w:tcBorders>
            <w:vAlign w:val="center"/>
          </w:tcPr>
          <w:p w14:paraId="745DDD6D">
            <w:pPr>
              <w:spacing w:line="432" w:lineRule="auto"/>
              <w:jc w:val="center"/>
              <w:rPr>
                <w:rFonts w:ascii="仿宋" w:hAnsi="仿宋" w:eastAsia="仿宋" w:cs="仿宋"/>
                <w:sz w:val="24"/>
                <w:highlight w:val="none"/>
              </w:rPr>
            </w:pPr>
            <w:r>
              <w:rPr>
                <w:rFonts w:hint="eastAsia" w:ascii="仿宋" w:hAnsi="仿宋" w:eastAsia="仿宋" w:cs="仿宋"/>
                <w:sz w:val="24"/>
                <w:highlight w:val="none"/>
              </w:rPr>
              <w:t>数量</w:t>
            </w:r>
          </w:p>
        </w:tc>
        <w:tc>
          <w:tcPr>
            <w:tcW w:w="1134" w:type="dxa"/>
            <w:tcBorders>
              <w:top w:val="single" w:color="auto" w:sz="8" w:space="0"/>
            </w:tcBorders>
            <w:vAlign w:val="center"/>
          </w:tcPr>
          <w:p w14:paraId="7043396F">
            <w:pPr>
              <w:spacing w:line="432" w:lineRule="auto"/>
              <w:jc w:val="center"/>
              <w:rPr>
                <w:rFonts w:ascii="仿宋" w:hAnsi="仿宋" w:eastAsia="仿宋" w:cs="仿宋"/>
                <w:sz w:val="24"/>
                <w:highlight w:val="none"/>
              </w:rPr>
            </w:pPr>
            <w:r>
              <w:rPr>
                <w:rFonts w:hint="eastAsia" w:ascii="仿宋" w:hAnsi="仿宋" w:eastAsia="仿宋" w:cs="仿宋"/>
                <w:sz w:val="24"/>
                <w:highlight w:val="none"/>
              </w:rPr>
              <w:t>单位</w:t>
            </w:r>
          </w:p>
        </w:tc>
        <w:tc>
          <w:tcPr>
            <w:tcW w:w="2410" w:type="dxa"/>
            <w:tcBorders>
              <w:top w:val="single" w:color="auto" w:sz="8" w:space="0"/>
            </w:tcBorders>
            <w:vAlign w:val="center"/>
          </w:tcPr>
          <w:p w14:paraId="5FEB8338">
            <w:pPr>
              <w:spacing w:line="432" w:lineRule="auto"/>
              <w:jc w:val="center"/>
              <w:rPr>
                <w:rFonts w:hint="default" w:ascii="仿宋" w:hAnsi="仿宋" w:eastAsia="仿宋" w:cs="仿宋"/>
                <w:sz w:val="24"/>
                <w:highlight w:val="none"/>
                <w:lang w:val="en-US" w:eastAsia="zh-CN"/>
              </w:rPr>
            </w:pPr>
            <w:r>
              <w:rPr>
                <w:rFonts w:hint="eastAsia" w:ascii="仿宋" w:hAnsi="仿宋" w:eastAsia="仿宋" w:cs="仿宋"/>
                <w:sz w:val="24"/>
                <w:szCs w:val="24"/>
                <w:highlight w:val="none"/>
                <w:lang w:val="en-GB"/>
              </w:rPr>
              <w:t>投标</w:t>
            </w:r>
            <w:r>
              <w:rPr>
                <w:rFonts w:hint="eastAsia" w:ascii="仿宋" w:hAnsi="仿宋" w:eastAsia="仿宋" w:cs="仿宋"/>
                <w:sz w:val="24"/>
                <w:szCs w:val="24"/>
                <w:highlight w:val="none"/>
                <w:lang w:val="en-US" w:eastAsia="zh-CN"/>
              </w:rPr>
              <w:t>下浮率（有效范围为10%~100%）</w:t>
            </w:r>
          </w:p>
        </w:tc>
        <w:tc>
          <w:tcPr>
            <w:tcW w:w="1984" w:type="dxa"/>
            <w:tcBorders>
              <w:top w:val="single" w:color="auto" w:sz="8" w:space="0"/>
            </w:tcBorders>
            <w:vAlign w:val="center"/>
          </w:tcPr>
          <w:p w14:paraId="15B6360F">
            <w:pPr>
              <w:spacing w:line="432" w:lineRule="auto"/>
              <w:jc w:val="center"/>
              <w:rPr>
                <w:rFonts w:ascii="仿宋" w:hAnsi="仿宋" w:eastAsia="仿宋" w:cs="仿宋"/>
                <w:sz w:val="24"/>
                <w:highlight w:val="none"/>
              </w:rPr>
            </w:pPr>
            <w:r>
              <w:rPr>
                <w:rFonts w:hint="eastAsia" w:ascii="仿宋" w:hAnsi="仿宋" w:eastAsia="仿宋" w:cs="仿宋"/>
                <w:sz w:val="24"/>
                <w:highlight w:val="none"/>
              </w:rPr>
              <w:t>交货期</w:t>
            </w:r>
          </w:p>
        </w:tc>
        <w:tc>
          <w:tcPr>
            <w:tcW w:w="3321" w:type="dxa"/>
            <w:tcBorders>
              <w:top w:val="single" w:color="auto" w:sz="8" w:space="0"/>
            </w:tcBorders>
            <w:vAlign w:val="center"/>
          </w:tcPr>
          <w:p w14:paraId="79CA122C">
            <w:pPr>
              <w:spacing w:line="432" w:lineRule="auto"/>
              <w:jc w:val="center"/>
              <w:rPr>
                <w:rFonts w:ascii="仿宋" w:hAnsi="仿宋" w:eastAsia="仿宋" w:cs="仿宋"/>
                <w:sz w:val="24"/>
                <w:highlight w:val="none"/>
              </w:rPr>
            </w:pPr>
            <w:r>
              <w:rPr>
                <w:rFonts w:hint="eastAsia" w:ascii="仿宋" w:hAnsi="仿宋" w:eastAsia="仿宋" w:cs="仿宋"/>
                <w:sz w:val="24"/>
                <w:highlight w:val="none"/>
              </w:rPr>
              <w:t>交货地点</w:t>
            </w:r>
          </w:p>
        </w:tc>
        <w:tc>
          <w:tcPr>
            <w:tcW w:w="898" w:type="dxa"/>
            <w:tcBorders>
              <w:top w:val="single" w:color="auto" w:sz="8" w:space="0"/>
            </w:tcBorders>
            <w:vAlign w:val="center"/>
          </w:tcPr>
          <w:p w14:paraId="07764296">
            <w:pPr>
              <w:spacing w:line="432" w:lineRule="auto"/>
              <w:jc w:val="center"/>
              <w:rPr>
                <w:rFonts w:ascii="仿宋" w:hAnsi="仿宋" w:eastAsia="仿宋" w:cs="仿宋"/>
                <w:sz w:val="24"/>
                <w:highlight w:val="none"/>
              </w:rPr>
            </w:pPr>
            <w:r>
              <w:rPr>
                <w:rFonts w:hint="eastAsia" w:ascii="仿宋" w:hAnsi="仿宋" w:eastAsia="仿宋" w:cs="仿宋"/>
                <w:sz w:val="24"/>
                <w:highlight w:val="none"/>
              </w:rPr>
              <w:t>备注</w:t>
            </w:r>
          </w:p>
        </w:tc>
      </w:tr>
      <w:tr w14:paraId="616191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826" w:type="dxa"/>
            <w:vAlign w:val="center"/>
          </w:tcPr>
          <w:p w14:paraId="270008A3">
            <w:pPr>
              <w:spacing w:line="432" w:lineRule="auto"/>
              <w:jc w:val="center"/>
              <w:rPr>
                <w:rFonts w:ascii="仿宋" w:hAnsi="仿宋" w:eastAsia="仿宋" w:cs="仿宋"/>
                <w:sz w:val="28"/>
                <w:highlight w:val="none"/>
              </w:rPr>
            </w:pPr>
          </w:p>
        </w:tc>
        <w:tc>
          <w:tcPr>
            <w:tcW w:w="2522" w:type="dxa"/>
            <w:vAlign w:val="center"/>
          </w:tcPr>
          <w:p w14:paraId="0F630D9C">
            <w:pPr>
              <w:spacing w:line="432" w:lineRule="auto"/>
              <w:jc w:val="center"/>
              <w:rPr>
                <w:rFonts w:ascii="仿宋" w:hAnsi="仿宋" w:eastAsia="仿宋" w:cs="仿宋"/>
                <w:sz w:val="28"/>
                <w:highlight w:val="none"/>
              </w:rPr>
            </w:pPr>
          </w:p>
        </w:tc>
        <w:tc>
          <w:tcPr>
            <w:tcW w:w="1013" w:type="dxa"/>
            <w:vAlign w:val="center"/>
          </w:tcPr>
          <w:p w14:paraId="442DC1F1">
            <w:pPr>
              <w:spacing w:line="432" w:lineRule="auto"/>
              <w:jc w:val="center"/>
              <w:rPr>
                <w:rFonts w:ascii="仿宋" w:hAnsi="仿宋" w:eastAsia="仿宋" w:cs="仿宋"/>
                <w:sz w:val="28"/>
                <w:highlight w:val="none"/>
              </w:rPr>
            </w:pPr>
          </w:p>
        </w:tc>
        <w:tc>
          <w:tcPr>
            <w:tcW w:w="1134" w:type="dxa"/>
            <w:vAlign w:val="center"/>
          </w:tcPr>
          <w:p w14:paraId="0145228B">
            <w:pPr>
              <w:spacing w:line="432" w:lineRule="auto"/>
              <w:jc w:val="center"/>
              <w:rPr>
                <w:rFonts w:ascii="仿宋" w:hAnsi="仿宋" w:eastAsia="仿宋" w:cs="仿宋"/>
                <w:sz w:val="28"/>
                <w:highlight w:val="none"/>
              </w:rPr>
            </w:pPr>
          </w:p>
        </w:tc>
        <w:tc>
          <w:tcPr>
            <w:tcW w:w="2410" w:type="dxa"/>
            <w:vAlign w:val="center"/>
          </w:tcPr>
          <w:p w14:paraId="40AE5BC2">
            <w:pPr>
              <w:spacing w:line="432" w:lineRule="auto"/>
              <w:jc w:val="center"/>
              <w:rPr>
                <w:rFonts w:ascii="仿宋" w:hAnsi="仿宋" w:eastAsia="仿宋" w:cs="仿宋"/>
                <w:sz w:val="28"/>
                <w:highlight w:val="none"/>
              </w:rPr>
            </w:pPr>
          </w:p>
        </w:tc>
        <w:tc>
          <w:tcPr>
            <w:tcW w:w="1984" w:type="dxa"/>
            <w:vAlign w:val="center"/>
          </w:tcPr>
          <w:p w14:paraId="49F18BCB">
            <w:pPr>
              <w:spacing w:line="432" w:lineRule="auto"/>
              <w:jc w:val="center"/>
              <w:rPr>
                <w:rFonts w:ascii="仿宋" w:hAnsi="仿宋" w:eastAsia="仿宋" w:cs="仿宋"/>
                <w:sz w:val="28"/>
                <w:highlight w:val="none"/>
              </w:rPr>
            </w:pPr>
          </w:p>
        </w:tc>
        <w:tc>
          <w:tcPr>
            <w:tcW w:w="3321" w:type="dxa"/>
            <w:vAlign w:val="center"/>
          </w:tcPr>
          <w:p w14:paraId="7AC0E3F4">
            <w:pPr>
              <w:spacing w:line="432" w:lineRule="auto"/>
              <w:jc w:val="center"/>
              <w:rPr>
                <w:rFonts w:ascii="仿宋" w:hAnsi="仿宋" w:eastAsia="仿宋" w:cs="仿宋"/>
                <w:sz w:val="28"/>
                <w:highlight w:val="none"/>
              </w:rPr>
            </w:pPr>
          </w:p>
        </w:tc>
        <w:tc>
          <w:tcPr>
            <w:tcW w:w="898" w:type="dxa"/>
            <w:vAlign w:val="center"/>
          </w:tcPr>
          <w:p w14:paraId="2693CA6B">
            <w:pPr>
              <w:spacing w:line="432" w:lineRule="auto"/>
              <w:jc w:val="center"/>
              <w:rPr>
                <w:rFonts w:ascii="仿宋" w:hAnsi="仿宋" w:eastAsia="仿宋" w:cs="仿宋"/>
                <w:sz w:val="28"/>
                <w:highlight w:val="none"/>
              </w:rPr>
            </w:pPr>
          </w:p>
        </w:tc>
      </w:tr>
      <w:tr w14:paraId="236BE0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4108" w:type="dxa"/>
            <w:gridSpan w:val="8"/>
            <w:tcBorders>
              <w:bottom w:val="single" w:color="auto" w:sz="8" w:space="0"/>
            </w:tcBorders>
            <w:vAlign w:val="center"/>
          </w:tcPr>
          <w:p w14:paraId="215B6827">
            <w:pPr>
              <w:spacing w:before="360" w:beforeLines="150" w:line="432" w:lineRule="auto"/>
              <w:rPr>
                <w:rFonts w:ascii="仿宋" w:hAnsi="仿宋" w:eastAsia="仿宋" w:cs="仿宋"/>
                <w:sz w:val="28"/>
                <w:highlight w:val="none"/>
              </w:rPr>
            </w:pPr>
            <w:r>
              <w:rPr>
                <w:rFonts w:hint="eastAsia" w:ascii="仿宋" w:hAnsi="仿宋" w:eastAsia="仿宋" w:cs="仿宋"/>
                <w:sz w:val="24"/>
                <w:szCs w:val="24"/>
                <w:highlight w:val="none"/>
              </w:rPr>
              <w:t>总报价</w:t>
            </w:r>
            <w:r>
              <w:rPr>
                <w:rFonts w:hint="eastAsia" w:ascii="仿宋" w:hAnsi="仿宋" w:eastAsia="仿宋" w:cs="仿宋"/>
                <w:sz w:val="24"/>
                <w:szCs w:val="24"/>
                <w:highlight w:val="none"/>
                <w:lang w:val="en-GB"/>
              </w:rPr>
              <w:t>：</w:t>
            </w:r>
          </w:p>
        </w:tc>
      </w:tr>
    </w:tbl>
    <w:p w14:paraId="0D221664">
      <w:pPr>
        <w:spacing w:line="360" w:lineRule="exact"/>
        <w:ind w:left="839" w:leftChars="228" w:hanging="360" w:hangingChars="150"/>
        <w:rPr>
          <w:rFonts w:ascii="仿宋" w:hAnsi="仿宋" w:eastAsia="仿宋" w:cs="仿宋"/>
          <w:sz w:val="24"/>
          <w:highlight w:val="none"/>
        </w:rPr>
      </w:pPr>
      <w:r>
        <w:rPr>
          <w:rFonts w:hint="eastAsia" w:ascii="仿宋" w:hAnsi="仿宋" w:eastAsia="仿宋" w:cs="仿宋"/>
          <w:sz w:val="24"/>
          <w:highlight w:val="none"/>
        </w:rPr>
        <w:t>注：1、报价均以人民币报价，报价内容包含本文件规定的</w:t>
      </w:r>
      <w:r>
        <w:rPr>
          <w:rFonts w:hint="eastAsia" w:ascii="仿宋" w:hAnsi="仿宋" w:eastAsia="仿宋" w:cs="仿宋"/>
          <w:sz w:val="24"/>
          <w:highlight w:val="none"/>
          <w:lang w:val="en-US" w:eastAsia="zh-CN"/>
        </w:rPr>
        <w:t>工程一切费用</w:t>
      </w:r>
      <w:r>
        <w:rPr>
          <w:rFonts w:hint="eastAsia" w:ascii="仿宋" w:hAnsi="仿宋" w:eastAsia="仿宋" w:cs="仿宋"/>
          <w:sz w:val="24"/>
          <w:highlight w:val="none"/>
        </w:rPr>
        <w:t>、代理服务费等完成本项目所需相关费用的最终含税报价。</w:t>
      </w:r>
    </w:p>
    <w:p w14:paraId="16C43499">
      <w:pPr>
        <w:spacing w:line="432" w:lineRule="auto"/>
        <w:rPr>
          <w:rFonts w:ascii="仿宋" w:hAnsi="仿宋" w:eastAsia="仿宋" w:cs="仿宋"/>
          <w:i/>
          <w:sz w:val="24"/>
          <w:highlight w:val="none"/>
        </w:rPr>
      </w:pPr>
    </w:p>
    <w:p w14:paraId="17AC758F">
      <w:pPr>
        <w:spacing w:line="432" w:lineRule="auto"/>
        <w:rPr>
          <w:rFonts w:ascii="仿宋" w:hAnsi="仿宋" w:eastAsia="仿宋" w:cs="仿宋"/>
          <w:sz w:val="24"/>
          <w:szCs w:val="24"/>
          <w:highlight w:val="none"/>
        </w:rPr>
      </w:pPr>
      <w:r>
        <w:rPr>
          <w:rFonts w:hint="eastAsia" w:ascii="仿宋" w:hAnsi="仿宋" w:eastAsia="仿宋" w:cs="仿宋"/>
          <w:sz w:val="24"/>
          <w:szCs w:val="24"/>
          <w:highlight w:val="none"/>
        </w:rPr>
        <w:t>供应商盖章：</w:t>
      </w:r>
    </w:p>
    <w:p w14:paraId="24C7AAF8">
      <w:pPr>
        <w:jc w:val="left"/>
        <w:rPr>
          <w:rFonts w:ascii="仿宋" w:hAnsi="仿宋" w:eastAsia="仿宋"/>
          <w:sz w:val="24"/>
          <w:szCs w:val="24"/>
          <w:highlight w:val="none"/>
        </w:rPr>
      </w:pPr>
      <w:r>
        <w:rPr>
          <w:rFonts w:hint="eastAsia" w:ascii="仿宋" w:hAnsi="仿宋" w:eastAsia="仿宋"/>
          <w:sz w:val="24"/>
          <w:szCs w:val="24"/>
          <w:highlight w:val="none"/>
        </w:rPr>
        <w:t>日期：年 月 日</w:t>
      </w:r>
    </w:p>
    <w:p w14:paraId="38DC83A8">
      <w:pPr>
        <w:spacing w:line="432" w:lineRule="auto"/>
        <w:rPr>
          <w:rFonts w:ascii="仿宋" w:hAnsi="仿宋" w:eastAsia="仿宋" w:cs="仿宋"/>
          <w:sz w:val="24"/>
          <w:szCs w:val="24"/>
          <w:highlight w:val="none"/>
        </w:rPr>
      </w:pPr>
      <w:r>
        <w:rPr>
          <w:rFonts w:hint="eastAsia" w:ascii="仿宋" w:hAnsi="仿宋" w:eastAsia="仿宋" w:cs="仿宋"/>
          <w:sz w:val="24"/>
          <w:highlight w:val="none"/>
        </w:rPr>
        <w:t xml:space="preserve">  </w:t>
      </w:r>
    </w:p>
    <w:p w14:paraId="7B811FA2">
      <w:pPr>
        <w:spacing w:line="432" w:lineRule="auto"/>
        <w:rPr>
          <w:rFonts w:ascii="仿宋" w:hAnsi="仿宋" w:eastAsia="仿宋" w:cs="仿宋"/>
          <w:sz w:val="24"/>
          <w:szCs w:val="24"/>
          <w:highlight w:val="none"/>
          <w:u w:val="single"/>
        </w:rPr>
      </w:pPr>
    </w:p>
    <w:p w14:paraId="0DA4ACAD">
      <w:pPr>
        <w:spacing w:line="460" w:lineRule="exact"/>
        <w:rPr>
          <w:rFonts w:ascii="仿宋" w:hAnsi="仿宋" w:eastAsia="仿宋" w:cs="仿宋"/>
          <w:b/>
          <w:bCs/>
          <w:sz w:val="24"/>
          <w:szCs w:val="24"/>
          <w:highlight w:val="none"/>
        </w:rPr>
      </w:pPr>
    </w:p>
    <w:p w14:paraId="28DB4FA8">
      <w:pPr>
        <w:rPr>
          <w:rFonts w:ascii="仿宋" w:hAnsi="仿宋" w:eastAsia="仿宋" w:cs="仿宋"/>
          <w:highlight w:val="none"/>
        </w:rPr>
      </w:pPr>
    </w:p>
    <w:p w14:paraId="5744D576">
      <w:pPr>
        <w:rPr>
          <w:rFonts w:ascii="仿宋" w:hAnsi="仿宋" w:eastAsia="仿宋" w:cs="仿宋"/>
          <w:highlight w:val="none"/>
        </w:rPr>
      </w:pPr>
    </w:p>
    <w:p w14:paraId="5481BA46">
      <w:pPr>
        <w:pStyle w:val="3"/>
        <w:spacing w:before="0" w:after="0" w:line="460" w:lineRule="exact"/>
        <w:rPr>
          <w:rFonts w:ascii="仿宋" w:hAnsi="仿宋" w:eastAsia="仿宋" w:cs="仿宋"/>
          <w:sz w:val="24"/>
          <w:highlight w:val="none"/>
        </w:rPr>
        <w:sectPr>
          <w:footerReference r:id="rId9" w:type="default"/>
          <w:footerReference r:id="rId10" w:type="even"/>
          <w:pgSz w:w="16840" w:h="11907" w:orient="landscape"/>
          <w:pgMar w:top="1134" w:right="1474" w:bottom="1814" w:left="1474" w:header="720" w:footer="720" w:gutter="0"/>
          <w:cols w:space="720" w:num="1"/>
          <w:docGrid w:linePitch="285" w:charSpace="0"/>
        </w:sectPr>
      </w:pPr>
    </w:p>
    <w:p w14:paraId="7FAF4A06">
      <w:pPr>
        <w:pStyle w:val="42"/>
        <w:spacing w:before="312"/>
        <w:rPr>
          <w:rFonts w:hint="default"/>
          <w:highlight w:val="none"/>
        </w:rPr>
      </w:pPr>
      <w:bookmarkStart w:id="68" w:name="_Toc505076481"/>
      <w:bookmarkStart w:id="69" w:name="_Toc25876"/>
      <w:r>
        <w:rPr>
          <w:highlight w:val="none"/>
        </w:rPr>
        <w:t>格式</w:t>
      </w:r>
      <w:r>
        <w:rPr>
          <w:rFonts w:hint="eastAsia"/>
          <w:highlight w:val="none"/>
          <w:lang w:val="en-US" w:eastAsia="zh-CN"/>
        </w:rPr>
        <w:t>3</w:t>
      </w:r>
      <w:r>
        <w:rPr>
          <w:highlight w:val="none"/>
        </w:rPr>
        <w:t xml:space="preserve">. </w:t>
      </w:r>
      <w:bookmarkEnd w:id="68"/>
      <w:r>
        <w:rPr>
          <w:highlight w:val="none"/>
        </w:rPr>
        <w:t>技术规格响应/偏离表</w:t>
      </w:r>
      <w:bookmarkEnd w:id="69"/>
    </w:p>
    <w:p w14:paraId="12962607">
      <w:pPr>
        <w:rPr>
          <w:rFonts w:ascii="仿宋" w:hAnsi="仿宋" w:eastAsia="仿宋" w:cs="仿宋"/>
          <w:highlight w:val="none"/>
        </w:rPr>
      </w:pPr>
    </w:p>
    <w:p w14:paraId="49DB62D8">
      <w:pPr>
        <w:rPr>
          <w:rFonts w:ascii="仿宋" w:hAnsi="仿宋" w:eastAsia="仿宋"/>
          <w:highlight w:val="none"/>
        </w:rPr>
      </w:pPr>
      <w:bookmarkStart w:id="70" w:name="_Toc505076482"/>
      <w:r>
        <w:rPr>
          <w:rFonts w:hint="eastAsia" w:ascii="仿宋" w:hAnsi="仿宋" w:eastAsia="仿宋"/>
          <w:highlight w:val="none"/>
        </w:rPr>
        <w:t>项目编号：</w:t>
      </w:r>
      <w:bookmarkEnd w:id="70"/>
    </w:p>
    <w:tbl>
      <w:tblPr>
        <w:tblStyle w:val="17"/>
        <w:tblW w:w="85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1704"/>
        <w:gridCol w:w="2346"/>
        <w:gridCol w:w="1620"/>
        <w:gridCol w:w="920"/>
        <w:gridCol w:w="1222"/>
      </w:tblGrid>
      <w:tr w14:paraId="1CFF6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2" w:hRule="atLeast"/>
        </w:trPr>
        <w:tc>
          <w:tcPr>
            <w:tcW w:w="8550" w:type="dxa"/>
            <w:gridSpan w:val="6"/>
            <w:vAlign w:val="center"/>
          </w:tcPr>
          <w:p w14:paraId="7ABEB1F3">
            <w:pPr>
              <w:spacing w:line="288" w:lineRule="auto"/>
              <w:rPr>
                <w:rFonts w:ascii="仿宋" w:hAnsi="仿宋" w:eastAsia="仿宋"/>
                <w:sz w:val="24"/>
                <w:highlight w:val="none"/>
              </w:rPr>
            </w:pPr>
            <w:r>
              <w:rPr>
                <w:rFonts w:hint="eastAsia" w:ascii="仿宋" w:hAnsi="仿宋" w:eastAsia="仿宋"/>
                <w:sz w:val="24"/>
                <w:highlight w:val="none"/>
              </w:rPr>
              <w:t>我公司郑重承诺，完全响应竞争性谈判文件规定的所有</w:t>
            </w:r>
            <w:r>
              <w:rPr>
                <w:rFonts w:hint="eastAsia" w:ascii="仿宋" w:hAnsi="仿宋" w:eastAsia="仿宋" w:cs="仿宋"/>
                <w:sz w:val="24"/>
                <w:highlight w:val="none"/>
              </w:rPr>
              <w:t>技术需求要求</w:t>
            </w:r>
            <w:r>
              <w:rPr>
                <w:rFonts w:hint="eastAsia" w:ascii="仿宋" w:hAnsi="仿宋" w:eastAsia="仿宋"/>
                <w:sz w:val="24"/>
                <w:highlight w:val="none"/>
              </w:rPr>
              <w:t>，并按规定的技术参数要求进行履约。</w:t>
            </w:r>
          </w:p>
        </w:tc>
      </w:tr>
      <w:tr w14:paraId="68BF5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trPr>
        <w:tc>
          <w:tcPr>
            <w:tcW w:w="8550" w:type="dxa"/>
            <w:gridSpan w:val="6"/>
            <w:vAlign w:val="center"/>
          </w:tcPr>
          <w:p w14:paraId="4276209D">
            <w:pPr>
              <w:spacing w:line="288" w:lineRule="auto"/>
              <w:rPr>
                <w:rFonts w:ascii="仿宋" w:hAnsi="仿宋" w:eastAsia="仿宋"/>
                <w:sz w:val="24"/>
                <w:highlight w:val="none"/>
              </w:rPr>
            </w:pPr>
            <w:r>
              <w:rPr>
                <w:rFonts w:hint="eastAsia" w:ascii="仿宋" w:hAnsi="仿宋" w:eastAsia="仿宋"/>
                <w:sz w:val="24"/>
                <w:highlight w:val="none"/>
              </w:rPr>
              <w:t>说明：若响应的部分</w:t>
            </w:r>
            <w:r>
              <w:rPr>
                <w:rFonts w:hint="eastAsia" w:ascii="仿宋" w:hAnsi="仿宋" w:eastAsia="仿宋" w:cs="仿宋"/>
                <w:sz w:val="24"/>
                <w:highlight w:val="none"/>
              </w:rPr>
              <w:t>技术需求</w:t>
            </w:r>
            <w:r>
              <w:rPr>
                <w:rFonts w:hint="eastAsia" w:ascii="仿宋" w:hAnsi="仿宋" w:eastAsia="仿宋"/>
                <w:sz w:val="24"/>
                <w:highlight w:val="none"/>
              </w:rPr>
              <w:t>与竞争性谈判文件规定的</w:t>
            </w:r>
            <w:r>
              <w:rPr>
                <w:rFonts w:hint="eastAsia" w:ascii="仿宋" w:hAnsi="仿宋" w:eastAsia="仿宋" w:cs="仿宋"/>
                <w:sz w:val="24"/>
                <w:highlight w:val="none"/>
              </w:rPr>
              <w:t>技术需求要求</w:t>
            </w:r>
            <w:r>
              <w:rPr>
                <w:rFonts w:hint="eastAsia" w:ascii="仿宋" w:hAnsi="仿宋" w:eastAsia="仿宋"/>
                <w:sz w:val="24"/>
                <w:highlight w:val="none"/>
              </w:rPr>
              <w:t>有偏离，则按下表列出，并标明响应情况，若完全响应，则无需填写下表。只接受正偏离（优于竞争性谈判文件要求）</w:t>
            </w:r>
            <w:r>
              <w:rPr>
                <w:rFonts w:ascii="仿宋" w:hAnsi="仿宋" w:eastAsia="仿宋"/>
                <w:sz w:val="24"/>
                <w:highlight w:val="none"/>
              </w:rPr>
              <w:t xml:space="preserve"> ，不接受</w:t>
            </w:r>
            <w:r>
              <w:rPr>
                <w:rFonts w:hint="eastAsia" w:ascii="仿宋" w:hAnsi="仿宋" w:eastAsia="仿宋"/>
                <w:sz w:val="24"/>
                <w:highlight w:val="none"/>
              </w:rPr>
              <w:t>负偏离（劣于竞争性谈判文件要求）</w:t>
            </w:r>
            <w:r>
              <w:rPr>
                <w:rFonts w:ascii="仿宋" w:hAnsi="仿宋" w:eastAsia="仿宋"/>
                <w:sz w:val="24"/>
                <w:highlight w:val="none"/>
              </w:rPr>
              <w:t xml:space="preserve"> ，负偏离则无效响应。</w:t>
            </w:r>
          </w:p>
        </w:tc>
      </w:tr>
      <w:tr w14:paraId="5B5F1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7" w:hRule="atLeast"/>
        </w:trPr>
        <w:tc>
          <w:tcPr>
            <w:tcW w:w="738" w:type="dxa"/>
            <w:vAlign w:val="center"/>
          </w:tcPr>
          <w:p w14:paraId="7584EF88">
            <w:pPr>
              <w:spacing w:line="432" w:lineRule="auto"/>
              <w:jc w:val="center"/>
              <w:rPr>
                <w:rFonts w:ascii="仿宋" w:hAnsi="仿宋" w:eastAsia="仿宋" w:cs="仿宋"/>
                <w:sz w:val="24"/>
                <w:highlight w:val="none"/>
              </w:rPr>
            </w:pPr>
            <w:r>
              <w:rPr>
                <w:rFonts w:hint="eastAsia" w:ascii="仿宋" w:hAnsi="仿宋" w:eastAsia="仿宋" w:cs="仿宋"/>
                <w:sz w:val="24"/>
                <w:highlight w:val="none"/>
              </w:rPr>
              <w:t>序号</w:t>
            </w:r>
          </w:p>
        </w:tc>
        <w:tc>
          <w:tcPr>
            <w:tcW w:w="1704" w:type="dxa"/>
            <w:vAlign w:val="center"/>
          </w:tcPr>
          <w:p w14:paraId="6D29EC4A">
            <w:pPr>
              <w:spacing w:line="432" w:lineRule="auto"/>
              <w:jc w:val="center"/>
              <w:rPr>
                <w:rFonts w:ascii="仿宋" w:hAnsi="仿宋" w:eastAsia="仿宋" w:cs="仿宋"/>
                <w:sz w:val="24"/>
                <w:highlight w:val="none"/>
              </w:rPr>
            </w:pPr>
            <w:r>
              <w:rPr>
                <w:rFonts w:hint="eastAsia" w:ascii="仿宋" w:hAnsi="仿宋" w:eastAsia="仿宋" w:cs="仿宋"/>
                <w:sz w:val="24"/>
                <w:highlight w:val="none"/>
              </w:rPr>
              <w:t>谈判文件条目号</w:t>
            </w:r>
          </w:p>
        </w:tc>
        <w:tc>
          <w:tcPr>
            <w:tcW w:w="2346" w:type="dxa"/>
            <w:vAlign w:val="center"/>
          </w:tcPr>
          <w:p w14:paraId="44A03653">
            <w:pPr>
              <w:spacing w:line="432" w:lineRule="auto"/>
              <w:jc w:val="center"/>
              <w:rPr>
                <w:rFonts w:ascii="仿宋" w:hAnsi="仿宋" w:eastAsia="仿宋" w:cs="仿宋"/>
                <w:sz w:val="24"/>
                <w:highlight w:val="none"/>
              </w:rPr>
            </w:pPr>
            <w:r>
              <w:rPr>
                <w:rFonts w:hint="eastAsia" w:ascii="仿宋" w:hAnsi="仿宋" w:eastAsia="仿宋" w:cs="仿宋"/>
                <w:sz w:val="24"/>
                <w:highlight w:val="none"/>
              </w:rPr>
              <w:t>谈判文件技术需求要求</w:t>
            </w:r>
          </w:p>
        </w:tc>
        <w:tc>
          <w:tcPr>
            <w:tcW w:w="1620" w:type="dxa"/>
            <w:vAlign w:val="center"/>
          </w:tcPr>
          <w:p w14:paraId="2C79E13E">
            <w:pPr>
              <w:spacing w:line="432" w:lineRule="auto"/>
              <w:jc w:val="center"/>
              <w:rPr>
                <w:rFonts w:ascii="仿宋" w:hAnsi="仿宋" w:eastAsia="仿宋" w:cs="仿宋"/>
                <w:sz w:val="24"/>
                <w:highlight w:val="none"/>
              </w:rPr>
            </w:pPr>
            <w:r>
              <w:rPr>
                <w:rFonts w:hint="eastAsia" w:ascii="仿宋" w:hAnsi="仿宋" w:eastAsia="仿宋" w:cs="仿宋"/>
                <w:sz w:val="24"/>
                <w:highlight w:val="none"/>
              </w:rPr>
              <w:t>技术需求响应内容</w:t>
            </w:r>
          </w:p>
        </w:tc>
        <w:tc>
          <w:tcPr>
            <w:tcW w:w="920" w:type="dxa"/>
            <w:vAlign w:val="center"/>
          </w:tcPr>
          <w:p w14:paraId="3DF905FE">
            <w:pPr>
              <w:spacing w:line="432" w:lineRule="auto"/>
              <w:jc w:val="center"/>
              <w:rPr>
                <w:rFonts w:ascii="仿宋" w:hAnsi="仿宋" w:eastAsia="仿宋" w:cs="仿宋"/>
                <w:sz w:val="24"/>
                <w:highlight w:val="none"/>
              </w:rPr>
            </w:pPr>
            <w:r>
              <w:rPr>
                <w:rFonts w:hint="eastAsia" w:ascii="仿宋" w:hAnsi="仿宋" w:eastAsia="仿宋" w:cs="仿宋"/>
                <w:sz w:val="24"/>
                <w:highlight w:val="none"/>
              </w:rPr>
              <w:t>响应/偏离</w:t>
            </w:r>
          </w:p>
        </w:tc>
        <w:tc>
          <w:tcPr>
            <w:tcW w:w="1222" w:type="dxa"/>
            <w:vAlign w:val="center"/>
          </w:tcPr>
          <w:p w14:paraId="7BC3BE7E">
            <w:pPr>
              <w:spacing w:line="432" w:lineRule="auto"/>
              <w:jc w:val="center"/>
              <w:rPr>
                <w:rFonts w:ascii="仿宋" w:hAnsi="仿宋" w:eastAsia="仿宋" w:cs="仿宋"/>
                <w:sz w:val="24"/>
                <w:highlight w:val="none"/>
              </w:rPr>
            </w:pPr>
            <w:r>
              <w:rPr>
                <w:rFonts w:hint="eastAsia" w:ascii="仿宋" w:hAnsi="仿宋" w:eastAsia="仿宋" w:cs="仿宋"/>
                <w:sz w:val="24"/>
                <w:highlight w:val="none"/>
              </w:rPr>
              <w:t>说明</w:t>
            </w:r>
          </w:p>
        </w:tc>
      </w:tr>
      <w:tr w14:paraId="71B56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7" w:hRule="atLeast"/>
        </w:trPr>
        <w:tc>
          <w:tcPr>
            <w:tcW w:w="738" w:type="dxa"/>
          </w:tcPr>
          <w:p w14:paraId="112459C2">
            <w:pPr>
              <w:spacing w:line="432" w:lineRule="auto"/>
              <w:rPr>
                <w:rFonts w:ascii="仿宋" w:hAnsi="仿宋" w:eastAsia="仿宋" w:cs="宋体"/>
                <w:sz w:val="24"/>
                <w:highlight w:val="none"/>
              </w:rPr>
            </w:pPr>
          </w:p>
        </w:tc>
        <w:tc>
          <w:tcPr>
            <w:tcW w:w="1704" w:type="dxa"/>
          </w:tcPr>
          <w:p w14:paraId="7A55E83A">
            <w:pPr>
              <w:spacing w:line="432" w:lineRule="auto"/>
              <w:rPr>
                <w:rFonts w:ascii="仿宋" w:hAnsi="仿宋" w:eastAsia="仿宋" w:cs="宋体"/>
                <w:sz w:val="24"/>
                <w:highlight w:val="none"/>
              </w:rPr>
            </w:pPr>
          </w:p>
        </w:tc>
        <w:tc>
          <w:tcPr>
            <w:tcW w:w="2346" w:type="dxa"/>
          </w:tcPr>
          <w:p w14:paraId="20F94926">
            <w:pPr>
              <w:spacing w:line="432" w:lineRule="auto"/>
              <w:rPr>
                <w:rFonts w:ascii="仿宋" w:hAnsi="仿宋" w:eastAsia="仿宋" w:cs="宋体"/>
                <w:sz w:val="24"/>
                <w:highlight w:val="none"/>
              </w:rPr>
            </w:pPr>
          </w:p>
        </w:tc>
        <w:tc>
          <w:tcPr>
            <w:tcW w:w="1620" w:type="dxa"/>
          </w:tcPr>
          <w:p w14:paraId="4805C763">
            <w:pPr>
              <w:spacing w:line="432" w:lineRule="auto"/>
              <w:rPr>
                <w:rFonts w:ascii="仿宋" w:hAnsi="仿宋" w:eastAsia="仿宋" w:cs="宋体"/>
                <w:sz w:val="24"/>
                <w:highlight w:val="none"/>
              </w:rPr>
            </w:pPr>
          </w:p>
        </w:tc>
        <w:tc>
          <w:tcPr>
            <w:tcW w:w="920" w:type="dxa"/>
          </w:tcPr>
          <w:p w14:paraId="0A167A3B">
            <w:pPr>
              <w:spacing w:line="432" w:lineRule="auto"/>
              <w:rPr>
                <w:rFonts w:ascii="仿宋" w:hAnsi="仿宋" w:eastAsia="仿宋" w:cs="宋体"/>
                <w:sz w:val="24"/>
                <w:highlight w:val="none"/>
              </w:rPr>
            </w:pPr>
          </w:p>
        </w:tc>
        <w:tc>
          <w:tcPr>
            <w:tcW w:w="1222" w:type="dxa"/>
          </w:tcPr>
          <w:p w14:paraId="04EFB65F">
            <w:pPr>
              <w:spacing w:line="432" w:lineRule="auto"/>
              <w:rPr>
                <w:rFonts w:ascii="仿宋" w:hAnsi="仿宋" w:eastAsia="仿宋" w:cs="宋体"/>
                <w:sz w:val="24"/>
                <w:highlight w:val="none"/>
              </w:rPr>
            </w:pPr>
          </w:p>
        </w:tc>
      </w:tr>
      <w:tr w14:paraId="25BEA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7" w:hRule="atLeast"/>
        </w:trPr>
        <w:tc>
          <w:tcPr>
            <w:tcW w:w="738" w:type="dxa"/>
          </w:tcPr>
          <w:p w14:paraId="15E816CD">
            <w:pPr>
              <w:spacing w:line="432" w:lineRule="auto"/>
              <w:rPr>
                <w:rFonts w:ascii="仿宋" w:hAnsi="仿宋" w:eastAsia="仿宋" w:cs="宋体"/>
                <w:sz w:val="24"/>
                <w:highlight w:val="none"/>
              </w:rPr>
            </w:pPr>
          </w:p>
        </w:tc>
        <w:tc>
          <w:tcPr>
            <w:tcW w:w="1704" w:type="dxa"/>
          </w:tcPr>
          <w:p w14:paraId="7CC52E4B">
            <w:pPr>
              <w:spacing w:line="432" w:lineRule="auto"/>
              <w:rPr>
                <w:rFonts w:ascii="仿宋" w:hAnsi="仿宋" w:eastAsia="仿宋" w:cs="宋体"/>
                <w:sz w:val="24"/>
                <w:highlight w:val="none"/>
              </w:rPr>
            </w:pPr>
          </w:p>
        </w:tc>
        <w:tc>
          <w:tcPr>
            <w:tcW w:w="2346" w:type="dxa"/>
          </w:tcPr>
          <w:p w14:paraId="1BCC5B2C">
            <w:pPr>
              <w:spacing w:line="432" w:lineRule="auto"/>
              <w:rPr>
                <w:rFonts w:ascii="仿宋" w:hAnsi="仿宋" w:eastAsia="仿宋" w:cs="宋体"/>
                <w:sz w:val="24"/>
                <w:highlight w:val="none"/>
              </w:rPr>
            </w:pPr>
          </w:p>
        </w:tc>
        <w:tc>
          <w:tcPr>
            <w:tcW w:w="1620" w:type="dxa"/>
          </w:tcPr>
          <w:p w14:paraId="770150DF">
            <w:pPr>
              <w:spacing w:line="432" w:lineRule="auto"/>
              <w:rPr>
                <w:rFonts w:ascii="仿宋" w:hAnsi="仿宋" w:eastAsia="仿宋" w:cs="宋体"/>
                <w:sz w:val="24"/>
                <w:highlight w:val="none"/>
              </w:rPr>
            </w:pPr>
          </w:p>
        </w:tc>
        <w:tc>
          <w:tcPr>
            <w:tcW w:w="920" w:type="dxa"/>
          </w:tcPr>
          <w:p w14:paraId="43562619">
            <w:pPr>
              <w:spacing w:line="432" w:lineRule="auto"/>
              <w:rPr>
                <w:rFonts w:ascii="仿宋" w:hAnsi="仿宋" w:eastAsia="仿宋" w:cs="宋体"/>
                <w:sz w:val="24"/>
                <w:highlight w:val="none"/>
              </w:rPr>
            </w:pPr>
          </w:p>
        </w:tc>
        <w:tc>
          <w:tcPr>
            <w:tcW w:w="1222" w:type="dxa"/>
          </w:tcPr>
          <w:p w14:paraId="4B3C3CA8">
            <w:pPr>
              <w:spacing w:line="432" w:lineRule="auto"/>
              <w:rPr>
                <w:rFonts w:ascii="仿宋" w:hAnsi="仿宋" w:eastAsia="仿宋" w:cs="宋体"/>
                <w:sz w:val="24"/>
                <w:highlight w:val="none"/>
              </w:rPr>
            </w:pPr>
          </w:p>
        </w:tc>
      </w:tr>
      <w:tr w14:paraId="54DF7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trPr>
        <w:tc>
          <w:tcPr>
            <w:tcW w:w="738" w:type="dxa"/>
          </w:tcPr>
          <w:p w14:paraId="21913A91">
            <w:pPr>
              <w:spacing w:line="432" w:lineRule="auto"/>
              <w:rPr>
                <w:rFonts w:ascii="仿宋" w:hAnsi="仿宋" w:eastAsia="仿宋" w:cs="宋体"/>
                <w:sz w:val="24"/>
                <w:highlight w:val="none"/>
              </w:rPr>
            </w:pPr>
          </w:p>
        </w:tc>
        <w:tc>
          <w:tcPr>
            <w:tcW w:w="1704" w:type="dxa"/>
          </w:tcPr>
          <w:p w14:paraId="623BFEF1">
            <w:pPr>
              <w:spacing w:line="432" w:lineRule="auto"/>
              <w:rPr>
                <w:rFonts w:ascii="仿宋" w:hAnsi="仿宋" w:eastAsia="仿宋" w:cs="宋体"/>
                <w:sz w:val="24"/>
                <w:highlight w:val="none"/>
              </w:rPr>
            </w:pPr>
          </w:p>
        </w:tc>
        <w:tc>
          <w:tcPr>
            <w:tcW w:w="2346" w:type="dxa"/>
          </w:tcPr>
          <w:p w14:paraId="24753B8C">
            <w:pPr>
              <w:spacing w:line="432" w:lineRule="auto"/>
              <w:rPr>
                <w:rFonts w:ascii="仿宋" w:hAnsi="仿宋" w:eastAsia="仿宋" w:cs="宋体"/>
                <w:sz w:val="24"/>
                <w:highlight w:val="none"/>
              </w:rPr>
            </w:pPr>
          </w:p>
        </w:tc>
        <w:tc>
          <w:tcPr>
            <w:tcW w:w="1620" w:type="dxa"/>
          </w:tcPr>
          <w:p w14:paraId="08AA1B58">
            <w:pPr>
              <w:spacing w:line="432" w:lineRule="auto"/>
              <w:rPr>
                <w:rFonts w:ascii="仿宋" w:hAnsi="仿宋" w:eastAsia="仿宋" w:cs="宋体"/>
                <w:sz w:val="24"/>
                <w:highlight w:val="none"/>
              </w:rPr>
            </w:pPr>
          </w:p>
        </w:tc>
        <w:tc>
          <w:tcPr>
            <w:tcW w:w="920" w:type="dxa"/>
          </w:tcPr>
          <w:p w14:paraId="38BC054D">
            <w:pPr>
              <w:spacing w:line="432" w:lineRule="auto"/>
              <w:rPr>
                <w:rFonts w:ascii="仿宋" w:hAnsi="仿宋" w:eastAsia="仿宋" w:cs="宋体"/>
                <w:sz w:val="24"/>
                <w:highlight w:val="none"/>
              </w:rPr>
            </w:pPr>
          </w:p>
        </w:tc>
        <w:tc>
          <w:tcPr>
            <w:tcW w:w="1222" w:type="dxa"/>
          </w:tcPr>
          <w:p w14:paraId="11F1245E">
            <w:pPr>
              <w:spacing w:line="432" w:lineRule="auto"/>
              <w:rPr>
                <w:rFonts w:ascii="仿宋" w:hAnsi="仿宋" w:eastAsia="仿宋" w:cs="宋体"/>
                <w:sz w:val="24"/>
                <w:highlight w:val="none"/>
              </w:rPr>
            </w:pPr>
          </w:p>
        </w:tc>
      </w:tr>
      <w:tr w14:paraId="3E316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7" w:hRule="atLeast"/>
        </w:trPr>
        <w:tc>
          <w:tcPr>
            <w:tcW w:w="738" w:type="dxa"/>
          </w:tcPr>
          <w:p w14:paraId="43620DA1">
            <w:pPr>
              <w:spacing w:line="432" w:lineRule="auto"/>
              <w:rPr>
                <w:rFonts w:ascii="仿宋" w:hAnsi="仿宋" w:eastAsia="仿宋" w:cs="宋体"/>
                <w:sz w:val="24"/>
                <w:highlight w:val="none"/>
              </w:rPr>
            </w:pPr>
          </w:p>
        </w:tc>
        <w:tc>
          <w:tcPr>
            <w:tcW w:w="1704" w:type="dxa"/>
          </w:tcPr>
          <w:p w14:paraId="3FE820B8">
            <w:pPr>
              <w:spacing w:line="432" w:lineRule="auto"/>
              <w:rPr>
                <w:rFonts w:ascii="仿宋" w:hAnsi="仿宋" w:eastAsia="仿宋" w:cs="宋体"/>
                <w:sz w:val="24"/>
                <w:highlight w:val="none"/>
              </w:rPr>
            </w:pPr>
          </w:p>
        </w:tc>
        <w:tc>
          <w:tcPr>
            <w:tcW w:w="2346" w:type="dxa"/>
          </w:tcPr>
          <w:p w14:paraId="61511C37">
            <w:pPr>
              <w:spacing w:line="432" w:lineRule="auto"/>
              <w:rPr>
                <w:rFonts w:ascii="仿宋" w:hAnsi="仿宋" w:eastAsia="仿宋" w:cs="宋体"/>
                <w:sz w:val="24"/>
                <w:highlight w:val="none"/>
              </w:rPr>
            </w:pPr>
          </w:p>
        </w:tc>
        <w:tc>
          <w:tcPr>
            <w:tcW w:w="1620" w:type="dxa"/>
          </w:tcPr>
          <w:p w14:paraId="3B23A4CC">
            <w:pPr>
              <w:spacing w:line="432" w:lineRule="auto"/>
              <w:rPr>
                <w:rFonts w:ascii="仿宋" w:hAnsi="仿宋" w:eastAsia="仿宋" w:cs="宋体"/>
                <w:sz w:val="24"/>
                <w:highlight w:val="none"/>
              </w:rPr>
            </w:pPr>
          </w:p>
        </w:tc>
        <w:tc>
          <w:tcPr>
            <w:tcW w:w="920" w:type="dxa"/>
          </w:tcPr>
          <w:p w14:paraId="5153B5A6">
            <w:pPr>
              <w:spacing w:line="432" w:lineRule="auto"/>
              <w:rPr>
                <w:rFonts w:ascii="仿宋" w:hAnsi="仿宋" w:eastAsia="仿宋" w:cs="宋体"/>
                <w:sz w:val="24"/>
                <w:highlight w:val="none"/>
              </w:rPr>
            </w:pPr>
          </w:p>
        </w:tc>
        <w:tc>
          <w:tcPr>
            <w:tcW w:w="1222" w:type="dxa"/>
          </w:tcPr>
          <w:p w14:paraId="306BD44E">
            <w:pPr>
              <w:spacing w:line="432" w:lineRule="auto"/>
              <w:rPr>
                <w:rFonts w:ascii="仿宋" w:hAnsi="仿宋" w:eastAsia="仿宋" w:cs="宋体"/>
                <w:sz w:val="24"/>
                <w:highlight w:val="none"/>
              </w:rPr>
            </w:pPr>
          </w:p>
        </w:tc>
      </w:tr>
      <w:tr w14:paraId="5256B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7" w:hRule="atLeast"/>
        </w:trPr>
        <w:tc>
          <w:tcPr>
            <w:tcW w:w="738" w:type="dxa"/>
          </w:tcPr>
          <w:p w14:paraId="4BE3F2FA">
            <w:pPr>
              <w:spacing w:line="432" w:lineRule="auto"/>
              <w:rPr>
                <w:rFonts w:ascii="仿宋" w:hAnsi="仿宋" w:eastAsia="仿宋" w:cs="宋体"/>
                <w:sz w:val="24"/>
                <w:highlight w:val="none"/>
              </w:rPr>
            </w:pPr>
          </w:p>
        </w:tc>
        <w:tc>
          <w:tcPr>
            <w:tcW w:w="1704" w:type="dxa"/>
          </w:tcPr>
          <w:p w14:paraId="081E55C8">
            <w:pPr>
              <w:spacing w:line="432" w:lineRule="auto"/>
              <w:rPr>
                <w:rFonts w:ascii="仿宋" w:hAnsi="仿宋" w:eastAsia="仿宋" w:cs="宋体"/>
                <w:sz w:val="24"/>
                <w:highlight w:val="none"/>
              </w:rPr>
            </w:pPr>
          </w:p>
        </w:tc>
        <w:tc>
          <w:tcPr>
            <w:tcW w:w="2346" w:type="dxa"/>
          </w:tcPr>
          <w:p w14:paraId="1D854700">
            <w:pPr>
              <w:spacing w:line="432" w:lineRule="auto"/>
              <w:rPr>
                <w:rFonts w:ascii="仿宋" w:hAnsi="仿宋" w:eastAsia="仿宋" w:cs="宋体"/>
                <w:sz w:val="24"/>
                <w:highlight w:val="none"/>
              </w:rPr>
            </w:pPr>
          </w:p>
        </w:tc>
        <w:tc>
          <w:tcPr>
            <w:tcW w:w="1620" w:type="dxa"/>
          </w:tcPr>
          <w:p w14:paraId="0AECFA24">
            <w:pPr>
              <w:spacing w:line="432" w:lineRule="auto"/>
              <w:rPr>
                <w:rFonts w:ascii="仿宋" w:hAnsi="仿宋" w:eastAsia="仿宋" w:cs="宋体"/>
                <w:sz w:val="24"/>
                <w:highlight w:val="none"/>
              </w:rPr>
            </w:pPr>
          </w:p>
        </w:tc>
        <w:tc>
          <w:tcPr>
            <w:tcW w:w="920" w:type="dxa"/>
          </w:tcPr>
          <w:p w14:paraId="14232BB6">
            <w:pPr>
              <w:spacing w:line="432" w:lineRule="auto"/>
              <w:rPr>
                <w:rFonts w:ascii="仿宋" w:hAnsi="仿宋" w:eastAsia="仿宋" w:cs="宋体"/>
                <w:sz w:val="24"/>
                <w:highlight w:val="none"/>
              </w:rPr>
            </w:pPr>
          </w:p>
        </w:tc>
        <w:tc>
          <w:tcPr>
            <w:tcW w:w="1222" w:type="dxa"/>
          </w:tcPr>
          <w:p w14:paraId="219DDA64">
            <w:pPr>
              <w:spacing w:line="432" w:lineRule="auto"/>
              <w:rPr>
                <w:rFonts w:ascii="仿宋" w:hAnsi="仿宋" w:eastAsia="仿宋" w:cs="宋体"/>
                <w:sz w:val="24"/>
                <w:highlight w:val="none"/>
              </w:rPr>
            </w:pPr>
          </w:p>
        </w:tc>
      </w:tr>
    </w:tbl>
    <w:p w14:paraId="6D8D7619">
      <w:pPr>
        <w:spacing w:line="432" w:lineRule="auto"/>
        <w:rPr>
          <w:rFonts w:ascii="仿宋" w:hAnsi="仿宋" w:eastAsia="仿宋" w:cs="仿宋"/>
          <w:sz w:val="24"/>
          <w:highlight w:val="none"/>
        </w:rPr>
      </w:pPr>
      <w:r>
        <w:rPr>
          <w:rFonts w:hint="eastAsia" w:ascii="仿宋" w:hAnsi="仿宋" w:eastAsia="仿宋" w:cs="仿宋"/>
          <w:sz w:val="24"/>
          <w:highlight w:val="none"/>
        </w:rPr>
        <w:t>注：1、响应/偏离内容应在说明栏中说明该条款在响应文件中（或页码）的依据；</w:t>
      </w:r>
    </w:p>
    <w:p w14:paraId="14DFE6CD">
      <w:pPr>
        <w:spacing w:line="432" w:lineRule="auto"/>
        <w:ind w:firstLine="480" w:firstLineChars="200"/>
        <w:rPr>
          <w:rFonts w:ascii="仿宋" w:hAnsi="仿宋" w:eastAsia="仿宋" w:cs="仿宋"/>
          <w:sz w:val="24"/>
          <w:highlight w:val="none"/>
        </w:rPr>
      </w:pPr>
      <w:r>
        <w:rPr>
          <w:rFonts w:hint="eastAsia" w:ascii="仿宋" w:hAnsi="仿宋" w:eastAsia="仿宋" w:cs="仿宋"/>
          <w:sz w:val="24"/>
          <w:highlight w:val="none"/>
        </w:rPr>
        <w:t>2、供应商不按上述表格填写，所产生的一切后果由供应商承担。</w:t>
      </w:r>
    </w:p>
    <w:p w14:paraId="55C03975">
      <w:pPr>
        <w:spacing w:line="432" w:lineRule="auto"/>
        <w:rPr>
          <w:rFonts w:ascii="仿宋" w:hAnsi="仿宋" w:eastAsia="仿宋" w:cs="仿宋"/>
          <w:sz w:val="24"/>
          <w:highlight w:val="none"/>
        </w:rPr>
      </w:pPr>
    </w:p>
    <w:p w14:paraId="0C8CEC8A">
      <w:pPr>
        <w:spacing w:line="432" w:lineRule="auto"/>
        <w:rPr>
          <w:rFonts w:ascii="仿宋" w:hAnsi="仿宋" w:eastAsia="仿宋" w:cs="仿宋"/>
          <w:sz w:val="24"/>
          <w:highlight w:val="none"/>
        </w:rPr>
      </w:pPr>
      <w:r>
        <w:rPr>
          <w:rFonts w:hint="eastAsia" w:ascii="仿宋" w:hAnsi="仿宋" w:eastAsia="仿宋" w:cs="仿宋"/>
          <w:sz w:val="24"/>
          <w:highlight w:val="none"/>
        </w:rPr>
        <w:t>供应商盖章：</w:t>
      </w:r>
    </w:p>
    <w:p w14:paraId="05AF4189">
      <w:pPr>
        <w:jc w:val="left"/>
        <w:rPr>
          <w:rFonts w:ascii="仿宋" w:hAnsi="仿宋" w:eastAsia="仿宋"/>
          <w:highlight w:val="none"/>
        </w:rPr>
      </w:pPr>
      <w:r>
        <w:rPr>
          <w:rFonts w:hint="eastAsia" w:ascii="仿宋" w:hAnsi="仿宋" w:eastAsia="仿宋"/>
          <w:szCs w:val="21"/>
          <w:highlight w:val="none"/>
        </w:rPr>
        <w:t>日期：年 月 日</w:t>
      </w:r>
    </w:p>
    <w:p w14:paraId="56547B5B">
      <w:pPr>
        <w:spacing w:line="432" w:lineRule="auto"/>
        <w:rPr>
          <w:rFonts w:ascii="仿宋" w:hAnsi="仿宋" w:eastAsia="仿宋" w:cs="仿宋"/>
          <w:sz w:val="24"/>
          <w:highlight w:val="none"/>
          <w:u w:val="single"/>
        </w:rPr>
      </w:pPr>
    </w:p>
    <w:p w14:paraId="48269CD6">
      <w:pPr>
        <w:spacing w:line="432" w:lineRule="auto"/>
        <w:rPr>
          <w:rFonts w:ascii="仿宋" w:hAnsi="仿宋" w:eastAsia="仿宋" w:cs="仿宋"/>
          <w:sz w:val="24"/>
          <w:highlight w:val="none"/>
          <w:u w:val="single"/>
        </w:rPr>
      </w:pPr>
    </w:p>
    <w:p w14:paraId="7DB4BC28">
      <w:pPr>
        <w:pStyle w:val="42"/>
        <w:spacing w:before="312"/>
        <w:rPr>
          <w:rFonts w:hint="default"/>
          <w:highlight w:val="none"/>
        </w:rPr>
      </w:pPr>
      <w:bookmarkStart w:id="71" w:name="_Toc505076483"/>
      <w:bookmarkStart w:id="72" w:name="_Toc3796"/>
      <w:r>
        <w:rPr>
          <w:highlight w:val="none"/>
        </w:rPr>
        <w:t>格式</w:t>
      </w:r>
      <w:r>
        <w:rPr>
          <w:rFonts w:hint="eastAsia"/>
          <w:highlight w:val="none"/>
          <w:lang w:val="en-US" w:eastAsia="zh-CN"/>
        </w:rPr>
        <w:t>4</w:t>
      </w:r>
      <w:r>
        <w:rPr>
          <w:highlight w:val="none"/>
        </w:rPr>
        <w:t>. 商务要求响应/偏离表</w:t>
      </w:r>
      <w:bookmarkEnd w:id="71"/>
      <w:bookmarkEnd w:id="72"/>
    </w:p>
    <w:p w14:paraId="1B3B886F">
      <w:pPr>
        <w:spacing w:line="432" w:lineRule="auto"/>
        <w:rPr>
          <w:rFonts w:ascii="仿宋" w:hAnsi="仿宋" w:eastAsia="仿宋" w:cs="仿宋"/>
          <w:sz w:val="24"/>
          <w:highlight w:val="none"/>
        </w:rPr>
      </w:pPr>
    </w:p>
    <w:p w14:paraId="3DFE48C3">
      <w:pPr>
        <w:spacing w:line="432" w:lineRule="auto"/>
        <w:rPr>
          <w:rFonts w:ascii="仿宋" w:hAnsi="仿宋" w:eastAsia="仿宋" w:cs="仿宋"/>
          <w:sz w:val="24"/>
          <w:highlight w:val="none"/>
          <w:u w:val="single"/>
        </w:rPr>
      </w:pPr>
      <w:r>
        <w:rPr>
          <w:rFonts w:hint="eastAsia" w:ascii="仿宋" w:hAnsi="仿宋" w:eastAsia="仿宋" w:cs="仿宋"/>
          <w:sz w:val="24"/>
          <w:highlight w:val="none"/>
        </w:rPr>
        <w:t>项目编号：</w:t>
      </w:r>
    </w:p>
    <w:tbl>
      <w:tblPr>
        <w:tblStyle w:val="17"/>
        <w:tblW w:w="88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0"/>
        <w:gridCol w:w="1471"/>
        <w:gridCol w:w="1470"/>
        <w:gridCol w:w="1817"/>
        <w:gridCol w:w="1124"/>
        <w:gridCol w:w="1471"/>
      </w:tblGrid>
      <w:tr w14:paraId="01A19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trPr>
        <w:tc>
          <w:tcPr>
            <w:tcW w:w="8823" w:type="dxa"/>
            <w:gridSpan w:val="6"/>
            <w:vAlign w:val="center"/>
          </w:tcPr>
          <w:p w14:paraId="541C71E3">
            <w:pPr>
              <w:spacing w:line="360" w:lineRule="exact"/>
              <w:rPr>
                <w:rFonts w:ascii="仿宋" w:hAnsi="仿宋" w:eastAsia="仿宋"/>
                <w:sz w:val="24"/>
                <w:highlight w:val="none"/>
              </w:rPr>
            </w:pPr>
            <w:r>
              <w:rPr>
                <w:rFonts w:hint="eastAsia" w:ascii="仿宋" w:hAnsi="仿宋" w:eastAsia="仿宋"/>
                <w:sz w:val="24"/>
                <w:highlight w:val="none"/>
              </w:rPr>
              <w:t>我公司郑重承诺，完全响应竞争性谈判文件规定的所有</w:t>
            </w:r>
            <w:r>
              <w:rPr>
                <w:rFonts w:hint="eastAsia" w:ascii="仿宋" w:hAnsi="仿宋" w:eastAsia="仿宋" w:cs="仿宋"/>
                <w:sz w:val="24"/>
                <w:highlight w:val="none"/>
              </w:rPr>
              <w:t>商务需求</w:t>
            </w:r>
            <w:r>
              <w:rPr>
                <w:rFonts w:hint="eastAsia" w:ascii="仿宋" w:hAnsi="仿宋" w:eastAsia="仿宋"/>
                <w:sz w:val="24"/>
                <w:highlight w:val="none"/>
              </w:rPr>
              <w:t>，并按规定的商务要求进行履约。</w:t>
            </w:r>
          </w:p>
        </w:tc>
      </w:tr>
      <w:tr w14:paraId="0392E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trPr>
        <w:tc>
          <w:tcPr>
            <w:tcW w:w="8823" w:type="dxa"/>
            <w:gridSpan w:val="6"/>
            <w:vAlign w:val="center"/>
          </w:tcPr>
          <w:p w14:paraId="2E596C6E">
            <w:pPr>
              <w:spacing w:line="360" w:lineRule="exact"/>
              <w:rPr>
                <w:rFonts w:ascii="仿宋" w:hAnsi="仿宋" w:eastAsia="仿宋"/>
                <w:sz w:val="24"/>
                <w:highlight w:val="none"/>
              </w:rPr>
            </w:pPr>
            <w:r>
              <w:rPr>
                <w:rFonts w:hint="eastAsia" w:ascii="仿宋" w:hAnsi="仿宋" w:eastAsia="仿宋"/>
                <w:sz w:val="24"/>
                <w:highlight w:val="none"/>
              </w:rPr>
              <w:t>说明：若响应的部分</w:t>
            </w:r>
            <w:r>
              <w:rPr>
                <w:rFonts w:hint="eastAsia" w:ascii="仿宋" w:hAnsi="仿宋" w:eastAsia="仿宋" w:cs="仿宋"/>
                <w:sz w:val="24"/>
                <w:highlight w:val="none"/>
              </w:rPr>
              <w:t>商务需求</w:t>
            </w:r>
            <w:r>
              <w:rPr>
                <w:rFonts w:hint="eastAsia" w:ascii="仿宋" w:hAnsi="仿宋" w:eastAsia="仿宋"/>
                <w:sz w:val="24"/>
                <w:highlight w:val="none"/>
              </w:rPr>
              <w:t>与竞争性谈判文件规定的</w:t>
            </w:r>
            <w:r>
              <w:rPr>
                <w:rFonts w:hint="eastAsia" w:ascii="仿宋" w:hAnsi="仿宋" w:eastAsia="仿宋" w:cs="仿宋"/>
                <w:sz w:val="24"/>
                <w:highlight w:val="none"/>
              </w:rPr>
              <w:t>商务需求</w:t>
            </w:r>
            <w:r>
              <w:rPr>
                <w:rFonts w:hint="eastAsia" w:ascii="仿宋" w:hAnsi="仿宋" w:eastAsia="仿宋"/>
                <w:sz w:val="24"/>
                <w:highlight w:val="none"/>
              </w:rPr>
              <w:t>有偏离，则按下表列出，并标明响应情况，若完全响应，则无需填写下表。只接受正偏离（优于招标文件要求）</w:t>
            </w:r>
            <w:r>
              <w:rPr>
                <w:rFonts w:ascii="仿宋" w:hAnsi="仿宋" w:eastAsia="仿宋"/>
                <w:sz w:val="24"/>
                <w:highlight w:val="none"/>
              </w:rPr>
              <w:t xml:space="preserve"> ，不接受</w:t>
            </w:r>
            <w:r>
              <w:rPr>
                <w:rFonts w:hint="eastAsia" w:ascii="仿宋" w:hAnsi="仿宋" w:eastAsia="仿宋"/>
                <w:sz w:val="24"/>
                <w:highlight w:val="none"/>
              </w:rPr>
              <w:t>负偏离（劣于竞争性谈判文件要求）</w:t>
            </w:r>
            <w:r>
              <w:rPr>
                <w:rFonts w:ascii="仿宋" w:hAnsi="仿宋" w:eastAsia="仿宋"/>
                <w:sz w:val="24"/>
                <w:highlight w:val="none"/>
              </w:rPr>
              <w:t xml:space="preserve"> ，负偏离则无效响应。</w:t>
            </w:r>
          </w:p>
        </w:tc>
      </w:tr>
      <w:tr w14:paraId="66B03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trPr>
        <w:tc>
          <w:tcPr>
            <w:tcW w:w="1470" w:type="dxa"/>
            <w:vAlign w:val="center"/>
          </w:tcPr>
          <w:p w14:paraId="62C00C52">
            <w:pPr>
              <w:spacing w:line="432" w:lineRule="auto"/>
              <w:jc w:val="center"/>
              <w:rPr>
                <w:rFonts w:ascii="仿宋" w:hAnsi="仿宋" w:eastAsia="仿宋" w:cs="仿宋"/>
                <w:sz w:val="24"/>
                <w:highlight w:val="none"/>
              </w:rPr>
            </w:pPr>
            <w:r>
              <w:rPr>
                <w:rFonts w:hint="eastAsia" w:ascii="仿宋" w:hAnsi="仿宋" w:eastAsia="仿宋" w:cs="仿宋"/>
                <w:sz w:val="24"/>
                <w:highlight w:val="none"/>
              </w:rPr>
              <w:t>序号</w:t>
            </w:r>
          </w:p>
        </w:tc>
        <w:tc>
          <w:tcPr>
            <w:tcW w:w="1471" w:type="dxa"/>
            <w:vAlign w:val="center"/>
          </w:tcPr>
          <w:p w14:paraId="2E90B9E0">
            <w:pPr>
              <w:spacing w:line="432" w:lineRule="auto"/>
              <w:jc w:val="center"/>
              <w:rPr>
                <w:rFonts w:ascii="仿宋" w:hAnsi="仿宋" w:eastAsia="仿宋" w:cs="仿宋"/>
                <w:sz w:val="24"/>
                <w:highlight w:val="none"/>
              </w:rPr>
            </w:pPr>
            <w:r>
              <w:rPr>
                <w:rFonts w:hint="eastAsia" w:ascii="仿宋" w:hAnsi="仿宋" w:eastAsia="仿宋" w:cs="仿宋"/>
                <w:sz w:val="24"/>
                <w:highlight w:val="none"/>
              </w:rPr>
              <w:t>谈判文件条目号</w:t>
            </w:r>
          </w:p>
        </w:tc>
        <w:tc>
          <w:tcPr>
            <w:tcW w:w="1470" w:type="dxa"/>
            <w:vAlign w:val="center"/>
          </w:tcPr>
          <w:p w14:paraId="62D6C0F2">
            <w:pPr>
              <w:spacing w:line="432" w:lineRule="auto"/>
              <w:jc w:val="center"/>
              <w:rPr>
                <w:rFonts w:ascii="仿宋" w:hAnsi="仿宋" w:eastAsia="仿宋" w:cs="仿宋"/>
                <w:sz w:val="24"/>
                <w:highlight w:val="none"/>
              </w:rPr>
            </w:pPr>
            <w:r>
              <w:rPr>
                <w:rFonts w:hint="eastAsia" w:ascii="仿宋" w:hAnsi="仿宋" w:eastAsia="仿宋" w:cs="仿宋"/>
                <w:sz w:val="24"/>
                <w:highlight w:val="none"/>
              </w:rPr>
              <w:t>谈判文件的商务需求</w:t>
            </w:r>
          </w:p>
        </w:tc>
        <w:tc>
          <w:tcPr>
            <w:tcW w:w="1817" w:type="dxa"/>
            <w:vAlign w:val="center"/>
          </w:tcPr>
          <w:p w14:paraId="7449C0E9">
            <w:pPr>
              <w:spacing w:line="432" w:lineRule="auto"/>
              <w:jc w:val="center"/>
              <w:rPr>
                <w:rFonts w:ascii="仿宋" w:hAnsi="仿宋" w:eastAsia="仿宋" w:cs="仿宋"/>
                <w:sz w:val="24"/>
                <w:highlight w:val="none"/>
              </w:rPr>
            </w:pPr>
            <w:r>
              <w:rPr>
                <w:rFonts w:hint="eastAsia" w:ascii="仿宋" w:hAnsi="仿宋" w:eastAsia="仿宋" w:cs="仿宋"/>
                <w:sz w:val="24"/>
                <w:highlight w:val="none"/>
              </w:rPr>
              <w:t>响应文件的</w:t>
            </w:r>
          </w:p>
          <w:p w14:paraId="3A66AAA0">
            <w:pPr>
              <w:spacing w:line="432" w:lineRule="auto"/>
              <w:jc w:val="center"/>
              <w:rPr>
                <w:rFonts w:ascii="仿宋" w:hAnsi="仿宋" w:eastAsia="仿宋" w:cs="仿宋"/>
                <w:sz w:val="24"/>
                <w:highlight w:val="none"/>
              </w:rPr>
            </w:pPr>
            <w:r>
              <w:rPr>
                <w:rFonts w:hint="eastAsia" w:ascii="仿宋" w:hAnsi="仿宋" w:eastAsia="仿宋" w:cs="仿宋"/>
                <w:sz w:val="24"/>
                <w:highlight w:val="none"/>
              </w:rPr>
              <w:t>商务需求</w:t>
            </w:r>
          </w:p>
        </w:tc>
        <w:tc>
          <w:tcPr>
            <w:tcW w:w="1124" w:type="dxa"/>
            <w:vAlign w:val="center"/>
          </w:tcPr>
          <w:p w14:paraId="2FE0E717">
            <w:pPr>
              <w:spacing w:line="432" w:lineRule="auto"/>
              <w:jc w:val="center"/>
              <w:rPr>
                <w:rFonts w:ascii="仿宋" w:hAnsi="仿宋" w:eastAsia="仿宋" w:cs="仿宋"/>
                <w:sz w:val="24"/>
                <w:highlight w:val="none"/>
              </w:rPr>
            </w:pPr>
            <w:r>
              <w:rPr>
                <w:rFonts w:hint="eastAsia" w:ascii="仿宋" w:hAnsi="仿宋" w:eastAsia="仿宋" w:cs="仿宋"/>
                <w:sz w:val="24"/>
                <w:highlight w:val="none"/>
              </w:rPr>
              <w:t>响应/偏离</w:t>
            </w:r>
          </w:p>
        </w:tc>
        <w:tc>
          <w:tcPr>
            <w:tcW w:w="1471" w:type="dxa"/>
            <w:vAlign w:val="center"/>
          </w:tcPr>
          <w:p w14:paraId="5B8B409F">
            <w:pPr>
              <w:spacing w:line="432" w:lineRule="auto"/>
              <w:jc w:val="center"/>
              <w:rPr>
                <w:rFonts w:ascii="仿宋" w:hAnsi="仿宋" w:eastAsia="仿宋" w:cs="仿宋"/>
                <w:sz w:val="24"/>
                <w:highlight w:val="none"/>
              </w:rPr>
            </w:pPr>
            <w:r>
              <w:rPr>
                <w:rFonts w:hint="eastAsia" w:ascii="仿宋" w:hAnsi="仿宋" w:eastAsia="仿宋" w:cs="仿宋"/>
                <w:sz w:val="24"/>
                <w:highlight w:val="none"/>
              </w:rPr>
              <w:t>说明</w:t>
            </w:r>
          </w:p>
        </w:tc>
      </w:tr>
      <w:tr w14:paraId="14B6E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trPr>
        <w:tc>
          <w:tcPr>
            <w:tcW w:w="1470" w:type="dxa"/>
          </w:tcPr>
          <w:p w14:paraId="55109C5E">
            <w:pPr>
              <w:spacing w:line="432" w:lineRule="auto"/>
              <w:rPr>
                <w:rFonts w:ascii="仿宋" w:hAnsi="仿宋" w:eastAsia="仿宋" w:cs="宋体"/>
                <w:sz w:val="24"/>
                <w:highlight w:val="none"/>
              </w:rPr>
            </w:pPr>
          </w:p>
        </w:tc>
        <w:tc>
          <w:tcPr>
            <w:tcW w:w="1471" w:type="dxa"/>
          </w:tcPr>
          <w:p w14:paraId="40F16A08">
            <w:pPr>
              <w:spacing w:line="432" w:lineRule="auto"/>
              <w:rPr>
                <w:rFonts w:ascii="仿宋" w:hAnsi="仿宋" w:eastAsia="仿宋" w:cs="宋体"/>
                <w:sz w:val="24"/>
                <w:highlight w:val="none"/>
              </w:rPr>
            </w:pPr>
          </w:p>
        </w:tc>
        <w:tc>
          <w:tcPr>
            <w:tcW w:w="1470" w:type="dxa"/>
          </w:tcPr>
          <w:p w14:paraId="093D7282">
            <w:pPr>
              <w:spacing w:line="432" w:lineRule="auto"/>
              <w:rPr>
                <w:rFonts w:ascii="仿宋" w:hAnsi="仿宋" w:eastAsia="仿宋" w:cs="宋体"/>
                <w:sz w:val="24"/>
                <w:highlight w:val="none"/>
              </w:rPr>
            </w:pPr>
          </w:p>
        </w:tc>
        <w:tc>
          <w:tcPr>
            <w:tcW w:w="1817" w:type="dxa"/>
          </w:tcPr>
          <w:p w14:paraId="4A895D45">
            <w:pPr>
              <w:spacing w:line="432" w:lineRule="auto"/>
              <w:rPr>
                <w:rFonts w:ascii="仿宋" w:hAnsi="仿宋" w:eastAsia="仿宋" w:cs="宋体"/>
                <w:sz w:val="24"/>
                <w:highlight w:val="none"/>
              </w:rPr>
            </w:pPr>
          </w:p>
        </w:tc>
        <w:tc>
          <w:tcPr>
            <w:tcW w:w="1124" w:type="dxa"/>
          </w:tcPr>
          <w:p w14:paraId="1D9793D5">
            <w:pPr>
              <w:spacing w:line="432" w:lineRule="auto"/>
              <w:rPr>
                <w:rFonts w:ascii="仿宋" w:hAnsi="仿宋" w:eastAsia="仿宋" w:cs="宋体"/>
                <w:sz w:val="24"/>
                <w:highlight w:val="none"/>
              </w:rPr>
            </w:pPr>
          </w:p>
        </w:tc>
        <w:tc>
          <w:tcPr>
            <w:tcW w:w="1471" w:type="dxa"/>
          </w:tcPr>
          <w:p w14:paraId="02A44969">
            <w:pPr>
              <w:spacing w:line="432" w:lineRule="auto"/>
              <w:rPr>
                <w:rFonts w:ascii="仿宋" w:hAnsi="仿宋" w:eastAsia="仿宋" w:cs="宋体"/>
                <w:sz w:val="24"/>
                <w:highlight w:val="none"/>
              </w:rPr>
            </w:pPr>
          </w:p>
        </w:tc>
      </w:tr>
      <w:tr w14:paraId="71FBD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trPr>
        <w:tc>
          <w:tcPr>
            <w:tcW w:w="1470" w:type="dxa"/>
          </w:tcPr>
          <w:p w14:paraId="1BCD89B4">
            <w:pPr>
              <w:spacing w:line="432" w:lineRule="auto"/>
              <w:rPr>
                <w:rFonts w:ascii="仿宋" w:hAnsi="仿宋" w:eastAsia="仿宋" w:cs="宋体"/>
                <w:sz w:val="24"/>
                <w:highlight w:val="none"/>
              </w:rPr>
            </w:pPr>
          </w:p>
        </w:tc>
        <w:tc>
          <w:tcPr>
            <w:tcW w:w="1471" w:type="dxa"/>
          </w:tcPr>
          <w:p w14:paraId="7FD4E641">
            <w:pPr>
              <w:spacing w:line="432" w:lineRule="auto"/>
              <w:rPr>
                <w:rFonts w:ascii="仿宋" w:hAnsi="仿宋" w:eastAsia="仿宋" w:cs="宋体"/>
                <w:sz w:val="24"/>
                <w:highlight w:val="none"/>
              </w:rPr>
            </w:pPr>
          </w:p>
        </w:tc>
        <w:tc>
          <w:tcPr>
            <w:tcW w:w="1470" w:type="dxa"/>
          </w:tcPr>
          <w:p w14:paraId="7906854C">
            <w:pPr>
              <w:spacing w:line="432" w:lineRule="auto"/>
              <w:rPr>
                <w:rFonts w:ascii="仿宋" w:hAnsi="仿宋" w:eastAsia="仿宋" w:cs="宋体"/>
                <w:sz w:val="24"/>
                <w:highlight w:val="none"/>
              </w:rPr>
            </w:pPr>
          </w:p>
        </w:tc>
        <w:tc>
          <w:tcPr>
            <w:tcW w:w="1817" w:type="dxa"/>
          </w:tcPr>
          <w:p w14:paraId="2887FC7F">
            <w:pPr>
              <w:spacing w:line="432" w:lineRule="auto"/>
              <w:rPr>
                <w:rFonts w:ascii="仿宋" w:hAnsi="仿宋" w:eastAsia="仿宋" w:cs="宋体"/>
                <w:sz w:val="24"/>
                <w:highlight w:val="none"/>
              </w:rPr>
            </w:pPr>
          </w:p>
        </w:tc>
        <w:tc>
          <w:tcPr>
            <w:tcW w:w="1124" w:type="dxa"/>
          </w:tcPr>
          <w:p w14:paraId="25AE92EE">
            <w:pPr>
              <w:spacing w:line="432" w:lineRule="auto"/>
              <w:rPr>
                <w:rFonts w:ascii="仿宋" w:hAnsi="仿宋" w:eastAsia="仿宋" w:cs="宋体"/>
                <w:sz w:val="24"/>
                <w:highlight w:val="none"/>
              </w:rPr>
            </w:pPr>
          </w:p>
        </w:tc>
        <w:tc>
          <w:tcPr>
            <w:tcW w:w="1471" w:type="dxa"/>
          </w:tcPr>
          <w:p w14:paraId="37445E9E">
            <w:pPr>
              <w:spacing w:line="432" w:lineRule="auto"/>
              <w:rPr>
                <w:rFonts w:ascii="仿宋" w:hAnsi="仿宋" w:eastAsia="仿宋" w:cs="宋体"/>
                <w:sz w:val="24"/>
                <w:highlight w:val="none"/>
              </w:rPr>
            </w:pPr>
          </w:p>
        </w:tc>
      </w:tr>
      <w:tr w14:paraId="74C1A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3" w:hRule="atLeast"/>
        </w:trPr>
        <w:tc>
          <w:tcPr>
            <w:tcW w:w="1470" w:type="dxa"/>
          </w:tcPr>
          <w:p w14:paraId="5C1D440F">
            <w:pPr>
              <w:spacing w:line="432" w:lineRule="auto"/>
              <w:rPr>
                <w:rFonts w:ascii="仿宋" w:hAnsi="仿宋" w:eastAsia="仿宋" w:cs="宋体"/>
                <w:sz w:val="24"/>
                <w:highlight w:val="none"/>
              </w:rPr>
            </w:pPr>
          </w:p>
        </w:tc>
        <w:tc>
          <w:tcPr>
            <w:tcW w:w="1471" w:type="dxa"/>
          </w:tcPr>
          <w:p w14:paraId="3BE5D9BC">
            <w:pPr>
              <w:spacing w:line="432" w:lineRule="auto"/>
              <w:rPr>
                <w:rFonts w:ascii="仿宋" w:hAnsi="仿宋" w:eastAsia="仿宋" w:cs="宋体"/>
                <w:sz w:val="24"/>
                <w:highlight w:val="none"/>
              </w:rPr>
            </w:pPr>
          </w:p>
        </w:tc>
        <w:tc>
          <w:tcPr>
            <w:tcW w:w="1470" w:type="dxa"/>
          </w:tcPr>
          <w:p w14:paraId="52B2521E">
            <w:pPr>
              <w:spacing w:line="432" w:lineRule="auto"/>
              <w:rPr>
                <w:rFonts w:ascii="仿宋" w:hAnsi="仿宋" w:eastAsia="仿宋" w:cs="宋体"/>
                <w:sz w:val="24"/>
                <w:highlight w:val="none"/>
              </w:rPr>
            </w:pPr>
          </w:p>
        </w:tc>
        <w:tc>
          <w:tcPr>
            <w:tcW w:w="1817" w:type="dxa"/>
          </w:tcPr>
          <w:p w14:paraId="31229E67">
            <w:pPr>
              <w:spacing w:line="432" w:lineRule="auto"/>
              <w:rPr>
                <w:rFonts w:ascii="仿宋" w:hAnsi="仿宋" w:eastAsia="仿宋" w:cs="宋体"/>
                <w:sz w:val="24"/>
                <w:highlight w:val="none"/>
              </w:rPr>
            </w:pPr>
          </w:p>
        </w:tc>
        <w:tc>
          <w:tcPr>
            <w:tcW w:w="1124" w:type="dxa"/>
          </w:tcPr>
          <w:p w14:paraId="35FA16C8">
            <w:pPr>
              <w:spacing w:line="432" w:lineRule="auto"/>
              <w:rPr>
                <w:rFonts w:ascii="仿宋" w:hAnsi="仿宋" w:eastAsia="仿宋" w:cs="宋体"/>
                <w:sz w:val="24"/>
                <w:highlight w:val="none"/>
              </w:rPr>
            </w:pPr>
          </w:p>
        </w:tc>
        <w:tc>
          <w:tcPr>
            <w:tcW w:w="1471" w:type="dxa"/>
          </w:tcPr>
          <w:p w14:paraId="1E1F324F">
            <w:pPr>
              <w:spacing w:line="432" w:lineRule="auto"/>
              <w:rPr>
                <w:rFonts w:ascii="仿宋" w:hAnsi="仿宋" w:eastAsia="仿宋" w:cs="宋体"/>
                <w:sz w:val="24"/>
                <w:highlight w:val="none"/>
              </w:rPr>
            </w:pPr>
          </w:p>
        </w:tc>
      </w:tr>
      <w:tr w14:paraId="6A97C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trPr>
        <w:tc>
          <w:tcPr>
            <w:tcW w:w="1470" w:type="dxa"/>
          </w:tcPr>
          <w:p w14:paraId="6A5B4A1F">
            <w:pPr>
              <w:spacing w:line="432" w:lineRule="auto"/>
              <w:rPr>
                <w:rFonts w:ascii="仿宋" w:hAnsi="仿宋" w:eastAsia="仿宋" w:cs="宋体"/>
                <w:sz w:val="24"/>
                <w:highlight w:val="none"/>
              </w:rPr>
            </w:pPr>
          </w:p>
        </w:tc>
        <w:tc>
          <w:tcPr>
            <w:tcW w:w="1471" w:type="dxa"/>
          </w:tcPr>
          <w:p w14:paraId="6B79A21D">
            <w:pPr>
              <w:spacing w:line="432" w:lineRule="auto"/>
              <w:rPr>
                <w:rFonts w:ascii="仿宋" w:hAnsi="仿宋" w:eastAsia="仿宋" w:cs="宋体"/>
                <w:sz w:val="24"/>
                <w:highlight w:val="none"/>
              </w:rPr>
            </w:pPr>
          </w:p>
        </w:tc>
        <w:tc>
          <w:tcPr>
            <w:tcW w:w="1470" w:type="dxa"/>
          </w:tcPr>
          <w:p w14:paraId="014020D4">
            <w:pPr>
              <w:spacing w:line="432" w:lineRule="auto"/>
              <w:rPr>
                <w:rFonts w:ascii="仿宋" w:hAnsi="仿宋" w:eastAsia="仿宋" w:cs="宋体"/>
                <w:sz w:val="24"/>
                <w:highlight w:val="none"/>
              </w:rPr>
            </w:pPr>
          </w:p>
        </w:tc>
        <w:tc>
          <w:tcPr>
            <w:tcW w:w="1817" w:type="dxa"/>
          </w:tcPr>
          <w:p w14:paraId="11A68C7D">
            <w:pPr>
              <w:spacing w:line="432" w:lineRule="auto"/>
              <w:rPr>
                <w:rFonts w:ascii="仿宋" w:hAnsi="仿宋" w:eastAsia="仿宋" w:cs="宋体"/>
                <w:sz w:val="24"/>
                <w:highlight w:val="none"/>
              </w:rPr>
            </w:pPr>
          </w:p>
        </w:tc>
        <w:tc>
          <w:tcPr>
            <w:tcW w:w="1124" w:type="dxa"/>
          </w:tcPr>
          <w:p w14:paraId="536BD04F">
            <w:pPr>
              <w:spacing w:line="432" w:lineRule="auto"/>
              <w:rPr>
                <w:rFonts w:ascii="仿宋" w:hAnsi="仿宋" w:eastAsia="仿宋" w:cs="宋体"/>
                <w:sz w:val="24"/>
                <w:highlight w:val="none"/>
              </w:rPr>
            </w:pPr>
          </w:p>
        </w:tc>
        <w:tc>
          <w:tcPr>
            <w:tcW w:w="1471" w:type="dxa"/>
          </w:tcPr>
          <w:p w14:paraId="2372A82D">
            <w:pPr>
              <w:spacing w:line="432" w:lineRule="auto"/>
              <w:rPr>
                <w:rFonts w:ascii="仿宋" w:hAnsi="仿宋" w:eastAsia="仿宋" w:cs="宋体"/>
                <w:sz w:val="24"/>
                <w:highlight w:val="none"/>
              </w:rPr>
            </w:pPr>
          </w:p>
        </w:tc>
      </w:tr>
      <w:tr w14:paraId="0D08D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trPr>
        <w:tc>
          <w:tcPr>
            <w:tcW w:w="1470" w:type="dxa"/>
          </w:tcPr>
          <w:p w14:paraId="6C33CDF0">
            <w:pPr>
              <w:spacing w:line="432" w:lineRule="auto"/>
              <w:rPr>
                <w:rFonts w:ascii="仿宋" w:hAnsi="仿宋" w:eastAsia="仿宋" w:cs="宋体"/>
                <w:sz w:val="24"/>
                <w:highlight w:val="none"/>
              </w:rPr>
            </w:pPr>
          </w:p>
        </w:tc>
        <w:tc>
          <w:tcPr>
            <w:tcW w:w="1471" w:type="dxa"/>
          </w:tcPr>
          <w:p w14:paraId="2701D4B8">
            <w:pPr>
              <w:spacing w:line="432" w:lineRule="auto"/>
              <w:rPr>
                <w:rFonts w:ascii="仿宋" w:hAnsi="仿宋" w:eastAsia="仿宋" w:cs="宋体"/>
                <w:sz w:val="24"/>
                <w:highlight w:val="none"/>
              </w:rPr>
            </w:pPr>
          </w:p>
        </w:tc>
        <w:tc>
          <w:tcPr>
            <w:tcW w:w="1470" w:type="dxa"/>
          </w:tcPr>
          <w:p w14:paraId="07CDE5C1">
            <w:pPr>
              <w:spacing w:line="432" w:lineRule="auto"/>
              <w:rPr>
                <w:rFonts w:ascii="仿宋" w:hAnsi="仿宋" w:eastAsia="仿宋" w:cs="宋体"/>
                <w:sz w:val="24"/>
                <w:highlight w:val="none"/>
              </w:rPr>
            </w:pPr>
          </w:p>
        </w:tc>
        <w:tc>
          <w:tcPr>
            <w:tcW w:w="1817" w:type="dxa"/>
          </w:tcPr>
          <w:p w14:paraId="579B2303">
            <w:pPr>
              <w:spacing w:line="432" w:lineRule="auto"/>
              <w:rPr>
                <w:rFonts w:ascii="仿宋" w:hAnsi="仿宋" w:eastAsia="仿宋" w:cs="宋体"/>
                <w:sz w:val="24"/>
                <w:highlight w:val="none"/>
              </w:rPr>
            </w:pPr>
          </w:p>
        </w:tc>
        <w:tc>
          <w:tcPr>
            <w:tcW w:w="1124" w:type="dxa"/>
          </w:tcPr>
          <w:p w14:paraId="71EA5EA5">
            <w:pPr>
              <w:spacing w:line="432" w:lineRule="auto"/>
              <w:rPr>
                <w:rFonts w:ascii="仿宋" w:hAnsi="仿宋" w:eastAsia="仿宋" w:cs="宋体"/>
                <w:sz w:val="24"/>
                <w:highlight w:val="none"/>
              </w:rPr>
            </w:pPr>
          </w:p>
        </w:tc>
        <w:tc>
          <w:tcPr>
            <w:tcW w:w="1471" w:type="dxa"/>
          </w:tcPr>
          <w:p w14:paraId="2A3CD6AA">
            <w:pPr>
              <w:spacing w:line="432" w:lineRule="auto"/>
              <w:rPr>
                <w:rFonts w:ascii="仿宋" w:hAnsi="仿宋" w:eastAsia="仿宋" w:cs="宋体"/>
                <w:sz w:val="24"/>
                <w:highlight w:val="none"/>
              </w:rPr>
            </w:pPr>
          </w:p>
        </w:tc>
      </w:tr>
    </w:tbl>
    <w:p w14:paraId="2288BB45">
      <w:pPr>
        <w:spacing w:line="432" w:lineRule="auto"/>
        <w:rPr>
          <w:rFonts w:ascii="仿宋" w:hAnsi="仿宋" w:eastAsia="仿宋" w:cs="仿宋"/>
          <w:sz w:val="24"/>
          <w:highlight w:val="none"/>
        </w:rPr>
      </w:pPr>
      <w:r>
        <w:rPr>
          <w:rFonts w:hint="eastAsia" w:ascii="仿宋" w:hAnsi="仿宋" w:eastAsia="仿宋" w:cs="仿宋"/>
          <w:sz w:val="24"/>
          <w:highlight w:val="none"/>
        </w:rPr>
        <w:t>注：1、</w:t>
      </w:r>
      <w:r>
        <w:rPr>
          <w:rFonts w:hint="eastAsia" w:ascii="仿宋" w:hAnsi="仿宋" w:eastAsia="仿宋" w:cs="仿宋"/>
          <w:sz w:val="24"/>
          <w:szCs w:val="24"/>
          <w:highlight w:val="none"/>
        </w:rPr>
        <w:t>响应/偏离内容应在说明栏中说明该条款在响应文件中（或页码）的依据；</w:t>
      </w:r>
    </w:p>
    <w:p w14:paraId="092E262A">
      <w:pPr>
        <w:spacing w:line="432" w:lineRule="auto"/>
        <w:ind w:firstLine="480" w:firstLineChars="200"/>
        <w:rPr>
          <w:rFonts w:ascii="仿宋" w:hAnsi="仿宋" w:eastAsia="仿宋" w:cs="仿宋"/>
          <w:sz w:val="28"/>
          <w:highlight w:val="none"/>
        </w:rPr>
      </w:pPr>
      <w:r>
        <w:rPr>
          <w:rFonts w:hint="eastAsia" w:ascii="仿宋" w:hAnsi="仿宋" w:eastAsia="仿宋" w:cs="仿宋"/>
          <w:sz w:val="24"/>
          <w:highlight w:val="none"/>
        </w:rPr>
        <w:t>2、供应商不按上述表格填写，所产生的一切后果由供应商承担。</w:t>
      </w:r>
    </w:p>
    <w:p w14:paraId="37F97BB0">
      <w:pPr>
        <w:spacing w:after="156" w:afterLines="50" w:line="320" w:lineRule="exact"/>
        <w:rPr>
          <w:rFonts w:ascii="仿宋" w:hAnsi="仿宋" w:eastAsia="仿宋" w:cs="仿宋"/>
          <w:sz w:val="24"/>
          <w:highlight w:val="none"/>
        </w:rPr>
      </w:pPr>
    </w:p>
    <w:p w14:paraId="0C511D86">
      <w:pPr>
        <w:spacing w:line="432" w:lineRule="auto"/>
        <w:rPr>
          <w:rFonts w:ascii="仿宋" w:hAnsi="仿宋" w:eastAsia="仿宋" w:cs="仿宋"/>
          <w:sz w:val="24"/>
          <w:highlight w:val="none"/>
        </w:rPr>
      </w:pPr>
      <w:r>
        <w:rPr>
          <w:rFonts w:hint="eastAsia" w:ascii="仿宋" w:hAnsi="仿宋" w:eastAsia="仿宋" w:cs="仿宋"/>
          <w:sz w:val="24"/>
          <w:highlight w:val="none"/>
        </w:rPr>
        <w:t>供应商盖章：</w:t>
      </w:r>
    </w:p>
    <w:p w14:paraId="43C0AE99">
      <w:pPr>
        <w:jc w:val="left"/>
        <w:rPr>
          <w:rFonts w:ascii="仿宋" w:hAnsi="仿宋" w:eastAsia="仿宋"/>
          <w:highlight w:val="none"/>
        </w:rPr>
      </w:pPr>
      <w:r>
        <w:rPr>
          <w:rFonts w:hint="eastAsia" w:ascii="仿宋" w:hAnsi="仿宋" w:eastAsia="仿宋"/>
          <w:szCs w:val="21"/>
          <w:highlight w:val="none"/>
        </w:rPr>
        <w:t>日期：年 月 日</w:t>
      </w:r>
    </w:p>
    <w:p w14:paraId="55D9D82B">
      <w:pPr>
        <w:spacing w:line="432" w:lineRule="auto"/>
        <w:rPr>
          <w:rFonts w:ascii="仿宋" w:hAnsi="仿宋" w:eastAsia="仿宋" w:cs="仿宋"/>
          <w:sz w:val="24"/>
          <w:highlight w:val="none"/>
        </w:rPr>
      </w:pPr>
    </w:p>
    <w:p w14:paraId="608B5014">
      <w:pPr>
        <w:pStyle w:val="42"/>
        <w:spacing w:before="312"/>
        <w:rPr>
          <w:rFonts w:hint="default"/>
          <w:highlight w:val="none"/>
        </w:rPr>
      </w:pPr>
      <w:bookmarkStart w:id="73" w:name="_Toc505076484"/>
      <w:bookmarkStart w:id="74" w:name="_Toc13323"/>
      <w:r>
        <w:rPr>
          <w:rFonts w:hint="eastAsia"/>
          <w:highlight w:val="none"/>
          <w:lang w:val="en-US" w:eastAsia="zh-CN"/>
        </w:rPr>
        <w:t>5</w:t>
      </w:r>
      <w:r>
        <w:rPr>
          <w:highlight w:val="none"/>
        </w:rPr>
        <w:t>. 其他证明资料</w:t>
      </w:r>
      <w:bookmarkEnd w:id="73"/>
      <w:bookmarkEnd w:id="74"/>
    </w:p>
    <w:p w14:paraId="143679BB">
      <w:pPr>
        <w:spacing w:line="440" w:lineRule="exact"/>
        <w:jc w:val="center"/>
        <w:rPr>
          <w:rFonts w:ascii="仿宋" w:hAnsi="仿宋" w:eastAsia="仿宋" w:cs="仿宋"/>
          <w:b/>
          <w:sz w:val="24"/>
          <w:szCs w:val="24"/>
          <w:highlight w:val="none"/>
        </w:rPr>
      </w:pPr>
      <w:bookmarkStart w:id="75" w:name="_Toc475970091"/>
      <w:r>
        <w:rPr>
          <w:rFonts w:hint="eastAsia" w:ascii="仿宋" w:hAnsi="仿宋" w:eastAsia="仿宋" w:cs="仿宋"/>
          <w:b/>
          <w:sz w:val="24"/>
          <w:szCs w:val="24"/>
          <w:highlight w:val="none"/>
        </w:rPr>
        <w:t>格式</w:t>
      </w:r>
      <w:r>
        <w:rPr>
          <w:rFonts w:hint="eastAsia" w:ascii="仿宋" w:hAnsi="仿宋" w:eastAsia="仿宋" w:cs="仿宋"/>
          <w:b/>
          <w:sz w:val="24"/>
          <w:szCs w:val="24"/>
          <w:highlight w:val="none"/>
          <w:lang w:val="en-US" w:eastAsia="zh-CN"/>
        </w:rPr>
        <w:t>5</w:t>
      </w:r>
      <w:r>
        <w:rPr>
          <w:rFonts w:hint="eastAsia" w:ascii="仿宋" w:hAnsi="仿宋" w:eastAsia="仿宋" w:cs="仿宋"/>
          <w:b/>
          <w:sz w:val="24"/>
          <w:szCs w:val="24"/>
          <w:highlight w:val="none"/>
        </w:rPr>
        <w:t>-1. 供应商情况一览表</w:t>
      </w:r>
      <w:bookmarkEnd w:id="75"/>
    </w:p>
    <w:p w14:paraId="5E0D6ACA">
      <w:pPr>
        <w:spacing w:line="320" w:lineRule="exact"/>
        <w:jc w:val="center"/>
        <w:rPr>
          <w:rFonts w:ascii="仿宋" w:hAnsi="仿宋" w:eastAsia="仿宋" w:cs="仿宋"/>
          <w:sz w:val="24"/>
          <w:szCs w:val="24"/>
          <w:highlight w:val="none"/>
        </w:rPr>
      </w:pPr>
    </w:p>
    <w:tbl>
      <w:tblPr>
        <w:tblStyle w:val="17"/>
        <w:tblW w:w="9720"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2235"/>
        <w:gridCol w:w="1035"/>
        <w:gridCol w:w="1696"/>
        <w:gridCol w:w="1198"/>
        <w:gridCol w:w="1356"/>
        <w:gridCol w:w="876"/>
        <w:gridCol w:w="1324"/>
      </w:tblGrid>
      <w:tr w14:paraId="1EFA314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235" w:type="dxa"/>
            <w:vAlign w:val="center"/>
          </w:tcPr>
          <w:p w14:paraId="4EC14946">
            <w:pPr>
              <w:jc w:val="center"/>
              <w:rPr>
                <w:rFonts w:ascii="仿宋" w:hAnsi="仿宋" w:eastAsia="仿宋" w:cs="仿宋"/>
                <w:sz w:val="24"/>
                <w:highlight w:val="none"/>
              </w:rPr>
            </w:pPr>
            <w:r>
              <w:rPr>
                <w:rFonts w:hint="eastAsia" w:ascii="仿宋" w:hAnsi="仿宋" w:eastAsia="仿宋" w:cs="仿宋"/>
                <w:sz w:val="24"/>
                <w:highlight w:val="none"/>
              </w:rPr>
              <w:t>供应商名称</w:t>
            </w:r>
          </w:p>
        </w:tc>
        <w:tc>
          <w:tcPr>
            <w:tcW w:w="7485" w:type="dxa"/>
            <w:gridSpan w:val="6"/>
            <w:vAlign w:val="center"/>
          </w:tcPr>
          <w:p w14:paraId="3E77CC27">
            <w:pPr>
              <w:jc w:val="center"/>
              <w:rPr>
                <w:rFonts w:ascii="仿宋" w:hAnsi="仿宋" w:eastAsia="仿宋" w:cs="仿宋"/>
                <w:sz w:val="24"/>
                <w:highlight w:val="none"/>
              </w:rPr>
            </w:pPr>
          </w:p>
        </w:tc>
      </w:tr>
      <w:tr w14:paraId="08720B2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235" w:type="dxa"/>
            <w:vAlign w:val="center"/>
          </w:tcPr>
          <w:p w14:paraId="6012ABE9">
            <w:pPr>
              <w:jc w:val="center"/>
              <w:rPr>
                <w:rFonts w:ascii="仿宋" w:hAnsi="仿宋" w:eastAsia="仿宋" w:cs="仿宋"/>
                <w:sz w:val="24"/>
                <w:highlight w:val="none"/>
              </w:rPr>
            </w:pPr>
            <w:r>
              <w:rPr>
                <w:rFonts w:hint="eastAsia" w:ascii="仿宋" w:hAnsi="仿宋" w:eastAsia="仿宋" w:cs="仿宋"/>
                <w:sz w:val="24"/>
                <w:highlight w:val="none"/>
              </w:rPr>
              <w:t>注册地址</w:t>
            </w:r>
          </w:p>
        </w:tc>
        <w:tc>
          <w:tcPr>
            <w:tcW w:w="3929" w:type="dxa"/>
            <w:gridSpan w:val="3"/>
            <w:vAlign w:val="center"/>
          </w:tcPr>
          <w:p w14:paraId="01DCA4D8">
            <w:pPr>
              <w:jc w:val="center"/>
              <w:rPr>
                <w:rFonts w:ascii="仿宋" w:hAnsi="仿宋" w:eastAsia="仿宋" w:cs="仿宋"/>
                <w:sz w:val="24"/>
                <w:highlight w:val="none"/>
              </w:rPr>
            </w:pPr>
          </w:p>
        </w:tc>
        <w:tc>
          <w:tcPr>
            <w:tcW w:w="1356" w:type="dxa"/>
            <w:vAlign w:val="center"/>
          </w:tcPr>
          <w:p w14:paraId="2B0FD3D0">
            <w:pPr>
              <w:jc w:val="center"/>
              <w:rPr>
                <w:rFonts w:ascii="仿宋" w:hAnsi="仿宋" w:eastAsia="仿宋" w:cs="仿宋"/>
                <w:sz w:val="24"/>
                <w:highlight w:val="none"/>
              </w:rPr>
            </w:pPr>
            <w:r>
              <w:rPr>
                <w:rFonts w:hint="eastAsia" w:ascii="仿宋" w:hAnsi="仿宋" w:eastAsia="仿宋" w:cs="仿宋"/>
                <w:sz w:val="24"/>
                <w:highlight w:val="none"/>
              </w:rPr>
              <w:t>邮政编码</w:t>
            </w:r>
          </w:p>
        </w:tc>
        <w:tc>
          <w:tcPr>
            <w:tcW w:w="2200" w:type="dxa"/>
            <w:gridSpan w:val="2"/>
            <w:vAlign w:val="center"/>
          </w:tcPr>
          <w:p w14:paraId="778E2A1E">
            <w:pPr>
              <w:jc w:val="center"/>
              <w:rPr>
                <w:rFonts w:ascii="仿宋" w:hAnsi="仿宋" w:eastAsia="仿宋" w:cs="仿宋"/>
                <w:sz w:val="24"/>
                <w:highlight w:val="none"/>
              </w:rPr>
            </w:pPr>
          </w:p>
        </w:tc>
      </w:tr>
      <w:tr w14:paraId="4B42D95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235" w:type="dxa"/>
            <w:vMerge w:val="restart"/>
            <w:vAlign w:val="center"/>
          </w:tcPr>
          <w:p w14:paraId="15D9713D">
            <w:pPr>
              <w:jc w:val="center"/>
              <w:rPr>
                <w:rFonts w:ascii="仿宋" w:hAnsi="仿宋" w:eastAsia="仿宋" w:cs="仿宋"/>
                <w:sz w:val="24"/>
                <w:highlight w:val="none"/>
              </w:rPr>
            </w:pPr>
            <w:r>
              <w:rPr>
                <w:rFonts w:hint="eastAsia" w:ascii="仿宋" w:hAnsi="仿宋" w:eastAsia="仿宋" w:cs="仿宋"/>
                <w:sz w:val="24"/>
                <w:highlight w:val="none"/>
              </w:rPr>
              <w:t>联系方式</w:t>
            </w:r>
          </w:p>
        </w:tc>
        <w:tc>
          <w:tcPr>
            <w:tcW w:w="1035" w:type="dxa"/>
            <w:vAlign w:val="center"/>
          </w:tcPr>
          <w:p w14:paraId="6B66688F">
            <w:pPr>
              <w:jc w:val="center"/>
              <w:rPr>
                <w:rFonts w:ascii="仿宋" w:hAnsi="仿宋" w:eastAsia="仿宋" w:cs="仿宋"/>
                <w:sz w:val="24"/>
                <w:highlight w:val="none"/>
              </w:rPr>
            </w:pPr>
            <w:r>
              <w:rPr>
                <w:rFonts w:hint="eastAsia" w:ascii="仿宋" w:hAnsi="仿宋" w:eastAsia="仿宋" w:cs="仿宋"/>
                <w:sz w:val="24"/>
                <w:highlight w:val="none"/>
              </w:rPr>
              <w:t>联系人</w:t>
            </w:r>
          </w:p>
        </w:tc>
        <w:tc>
          <w:tcPr>
            <w:tcW w:w="2894" w:type="dxa"/>
            <w:gridSpan w:val="2"/>
            <w:vAlign w:val="center"/>
          </w:tcPr>
          <w:p w14:paraId="4BC9EAF6">
            <w:pPr>
              <w:jc w:val="center"/>
              <w:rPr>
                <w:rFonts w:ascii="仿宋" w:hAnsi="仿宋" w:eastAsia="仿宋" w:cs="仿宋"/>
                <w:sz w:val="24"/>
                <w:highlight w:val="none"/>
              </w:rPr>
            </w:pPr>
          </w:p>
        </w:tc>
        <w:tc>
          <w:tcPr>
            <w:tcW w:w="1356" w:type="dxa"/>
            <w:vAlign w:val="center"/>
          </w:tcPr>
          <w:p w14:paraId="53350D7A">
            <w:pPr>
              <w:jc w:val="center"/>
              <w:rPr>
                <w:rFonts w:ascii="仿宋" w:hAnsi="仿宋" w:eastAsia="仿宋" w:cs="仿宋"/>
                <w:sz w:val="24"/>
                <w:highlight w:val="none"/>
              </w:rPr>
            </w:pPr>
            <w:r>
              <w:rPr>
                <w:rFonts w:hint="eastAsia" w:ascii="仿宋" w:hAnsi="仿宋" w:eastAsia="仿宋" w:cs="仿宋"/>
                <w:sz w:val="24"/>
                <w:highlight w:val="none"/>
              </w:rPr>
              <w:t>联系电话</w:t>
            </w:r>
          </w:p>
        </w:tc>
        <w:tc>
          <w:tcPr>
            <w:tcW w:w="2200" w:type="dxa"/>
            <w:gridSpan w:val="2"/>
            <w:vAlign w:val="center"/>
          </w:tcPr>
          <w:p w14:paraId="7E8B4810">
            <w:pPr>
              <w:jc w:val="center"/>
              <w:rPr>
                <w:rFonts w:ascii="仿宋" w:hAnsi="仿宋" w:eastAsia="仿宋" w:cs="仿宋"/>
                <w:sz w:val="24"/>
                <w:highlight w:val="none"/>
              </w:rPr>
            </w:pPr>
          </w:p>
        </w:tc>
      </w:tr>
      <w:tr w14:paraId="162DC16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235" w:type="dxa"/>
            <w:vMerge w:val="continue"/>
            <w:vAlign w:val="center"/>
          </w:tcPr>
          <w:p w14:paraId="34A7D369">
            <w:pPr>
              <w:jc w:val="center"/>
              <w:rPr>
                <w:rFonts w:ascii="仿宋" w:hAnsi="仿宋" w:eastAsia="仿宋" w:cs="仿宋"/>
                <w:sz w:val="24"/>
                <w:highlight w:val="none"/>
              </w:rPr>
            </w:pPr>
          </w:p>
        </w:tc>
        <w:tc>
          <w:tcPr>
            <w:tcW w:w="1035" w:type="dxa"/>
            <w:vAlign w:val="center"/>
          </w:tcPr>
          <w:p w14:paraId="25284B67">
            <w:pPr>
              <w:jc w:val="center"/>
              <w:rPr>
                <w:rFonts w:ascii="仿宋" w:hAnsi="仿宋" w:eastAsia="仿宋" w:cs="仿宋"/>
                <w:sz w:val="24"/>
                <w:highlight w:val="none"/>
              </w:rPr>
            </w:pPr>
            <w:r>
              <w:rPr>
                <w:rFonts w:hint="eastAsia" w:ascii="仿宋" w:hAnsi="仿宋" w:eastAsia="仿宋" w:cs="仿宋"/>
                <w:sz w:val="24"/>
                <w:highlight w:val="none"/>
              </w:rPr>
              <w:t>传  真</w:t>
            </w:r>
          </w:p>
        </w:tc>
        <w:tc>
          <w:tcPr>
            <w:tcW w:w="2894" w:type="dxa"/>
            <w:gridSpan w:val="2"/>
            <w:vAlign w:val="center"/>
          </w:tcPr>
          <w:p w14:paraId="2781CF8D">
            <w:pPr>
              <w:jc w:val="center"/>
              <w:rPr>
                <w:rFonts w:ascii="仿宋" w:hAnsi="仿宋" w:eastAsia="仿宋" w:cs="仿宋"/>
                <w:sz w:val="24"/>
                <w:highlight w:val="none"/>
              </w:rPr>
            </w:pPr>
          </w:p>
        </w:tc>
        <w:tc>
          <w:tcPr>
            <w:tcW w:w="1356" w:type="dxa"/>
            <w:vAlign w:val="center"/>
          </w:tcPr>
          <w:p w14:paraId="53D229CF">
            <w:pPr>
              <w:jc w:val="center"/>
              <w:rPr>
                <w:rFonts w:ascii="仿宋" w:hAnsi="仿宋" w:eastAsia="仿宋" w:cs="仿宋"/>
                <w:sz w:val="24"/>
                <w:highlight w:val="none"/>
              </w:rPr>
            </w:pPr>
            <w:r>
              <w:rPr>
                <w:rFonts w:hint="eastAsia" w:ascii="仿宋" w:hAnsi="仿宋" w:eastAsia="仿宋" w:cs="仿宋"/>
                <w:sz w:val="24"/>
                <w:highlight w:val="none"/>
              </w:rPr>
              <w:t>网址/邮箱</w:t>
            </w:r>
          </w:p>
        </w:tc>
        <w:tc>
          <w:tcPr>
            <w:tcW w:w="2200" w:type="dxa"/>
            <w:gridSpan w:val="2"/>
            <w:vAlign w:val="center"/>
          </w:tcPr>
          <w:p w14:paraId="2B6C4AA0">
            <w:pPr>
              <w:jc w:val="center"/>
              <w:rPr>
                <w:rFonts w:ascii="仿宋" w:hAnsi="仿宋" w:eastAsia="仿宋" w:cs="仿宋"/>
                <w:sz w:val="24"/>
                <w:highlight w:val="none"/>
              </w:rPr>
            </w:pPr>
          </w:p>
        </w:tc>
      </w:tr>
      <w:tr w14:paraId="4D3173C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235" w:type="dxa"/>
            <w:vAlign w:val="center"/>
          </w:tcPr>
          <w:p w14:paraId="6257F60E">
            <w:pPr>
              <w:jc w:val="center"/>
              <w:rPr>
                <w:rFonts w:ascii="仿宋" w:hAnsi="仿宋" w:eastAsia="仿宋" w:cs="仿宋"/>
                <w:sz w:val="24"/>
                <w:highlight w:val="none"/>
              </w:rPr>
            </w:pPr>
            <w:r>
              <w:rPr>
                <w:rFonts w:hint="eastAsia" w:ascii="仿宋" w:hAnsi="仿宋" w:eastAsia="仿宋" w:cs="仿宋"/>
                <w:sz w:val="24"/>
                <w:highlight w:val="none"/>
              </w:rPr>
              <w:t>企业性质</w:t>
            </w:r>
          </w:p>
        </w:tc>
        <w:tc>
          <w:tcPr>
            <w:tcW w:w="7485" w:type="dxa"/>
            <w:gridSpan w:val="6"/>
            <w:vAlign w:val="center"/>
          </w:tcPr>
          <w:p w14:paraId="16ECF0A9">
            <w:pPr>
              <w:jc w:val="center"/>
              <w:rPr>
                <w:rFonts w:ascii="仿宋" w:hAnsi="仿宋" w:eastAsia="仿宋" w:cs="仿宋"/>
                <w:sz w:val="24"/>
                <w:highlight w:val="none"/>
              </w:rPr>
            </w:pPr>
          </w:p>
        </w:tc>
      </w:tr>
      <w:tr w14:paraId="50E17138">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235" w:type="dxa"/>
            <w:vAlign w:val="center"/>
          </w:tcPr>
          <w:p w14:paraId="6F4F382B">
            <w:pPr>
              <w:jc w:val="center"/>
              <w:rPr>
                <w:rFonts w:ascii="仿宋" w:hAnsi="仿宋" w:eastAsia="仿宋" w:cs="仿宋"/>
                <w:sz w:val="24"/>
                <w:highlight w:val="none"/>
              </w:rPr>
            </w:pPr>
            <w:r>
              <w:rPr>
                <w:rFonts w:hint="eastAsia" w:ascii="仿宋" w:hAnsi="仿宋" w:eastAsia="仿宋" w:cs="仿宋"/>
                <w:sz w:val="24"/>
                <w:highlight w:val="none"/>
              </w:rPr>
              <w:t>法定代表人（负责人）</w:t>
            </w:r>
          </w:p>
        </w:tc>
        <w:tc>
          <w:tcPr>
            <w:tcW w:w="1035" w:type="dxa"/>
            <w:vAlign w:val="center"/>
          </w:tcPr>
          <w:p w14:paraId="7DCBB79A">
            <w:pPr>
              <w:jc w:val="center"/>
              <w:rPr>
                <w:rFonts w:ascii="仿宋" w:hAnsi="仿宋" w:eastAsia="仿宋" w:cs="仿宋"/>
                <w:sz w:val="24"/>
                <w:highlight w:val="none"/>
              </w:rPr>
            </w:pPr>
            <w:r>
              <w:rPr>
                <w:rFonts w:hint="eastAsia" w:ascii="仿宋" w:hAnsi="仿宋" w:eastAsia="仿宋" w:cs="仿宋"/>
                <w:sz w:val="24"/>
                <w:highlight w:val="none"/>
              </w:rPr>
              <w:t>姓名</w:t>
            </w:r>
          </w:p>
        </w:tc>
        <w:tc>
          <w:tcPr>
            <w:tcW w:w="1696" w:type="dxa"/>
            <w:vAlign w:val="center"/>
          </w:tcPr>
          <w:p w14:paraId="47049B73">
            <w:pPr>
              <w:jc w:val="center"/>
              <w:rPr>
                <w:rFonts w:ascii="仿宋" w:hAnsi="仿宋" w:eastAsia="仿宋" w:cs="仿宋"/>
                <w:sz w:val="24"/>
                <w:highlight w:val="none"/>
              </w:rPr>
            </w:pPr>
          </w:p>
        </w:tc>
        <w:tc>
          <w:tcPr>
            <w:tcW w:w="1198" w:type="dxa"/>
            <w:vAlign w:val="center"/>
          </w:tcPr>
          <w:p w14:paraId="5D3738A6">
            <w:pPr>
              <w:jc w:val="center"/>
              <w:rPr>
                <w:rFonts w:ascii="仿宋" w:hAnsi="仿宋" w:eastAsia="仿宋" w:cs="仿宋"/>
                <w:sz w:val="24"/>
                <w:highlight w:val="none"/>
              </w:rPr>
            </w:pPr>
            <w:r>
              <w:rPr>
                <w:rFonts w:hint="eastAsia" w:ascii="仿宋" w:hAnsi="仿宋" w:eastAsia="仿宋" w:cs="仿宋"/>
                <w:sz w:val="24"/>
                <w:highlight w:val="none"/>
              </w:rPr>
              <w:t>技术职称</w:t>
            </w:r>
          </w:p>
        </w:tc>
        <w:tc>
          <w:tcPr>
            <w:tcW w:w="1356" w:type="dxa"/>
            <w:vAlign w:val="center"/>
          </w:tcPr>
          <w:p w14:paraId="06432C53">
            <w:pPr>
              <w:jc w:val="center"/>
              <w:rPr>
                <w:rFonts w:ascii="仿宋" w:hAnsi="仿宋" w:eastAsia="仿宋" w:cs="仿宋"/>
                <w:sz w:val="24"/>
                <w:highlight w:val="none"/>
              </w:rPr>
            </w:pPr>
          </w:p>
        </w:tc>
        <w:tc>
          <w:tcPr>
            <w:tcW w:w="876" w:type="dxa"/>
            <w:vAlign w:val="center"/>
          </w:tcPr>
          <w:p w14:paraId="43DF48B8">
            <w:pPr>
              <w:jc w:val="center"/>
              <w:rPr>
                <w:rFonts w:ascii="仿宋" w:hAnsi="仿宋" w:eastAsia="仿宋" w:cs="仿宋"/>
                <w:sz w:val="24"/>
                <w:highlight w:val="none"/>
              </w:rPr>
            </w:pPr>
            <w:r>
              <w:rPr>
                <w:rFonts w:hint="eastAsia" w:ascii="仿宋" w:hAnsi="仿宋" w:eastAsia="仿宋" w:cs="仿宋"/>
                <w:sz w:val="24"/>
                <w:highlight w:val="none"/>
              </w:rPr>
              <w:t>电话</w:t>
            </w:r>
          </w:p>
        </w:tc>
        <w:tc>
          <w:tcPr>
            <w:tcW w:w="1324" w:type="dxa"/>
            <w:vAlign w:val="center"/>
          </w:tcPr>
          <w:p w14:paraId="26AA2EF9">
            <w:pPr>
              <w:jc w:val="center"/>
              <w:rPr>
                <w:rFonts w:ascii="仿宋" w:hAnsi="仿宋" w:eastAsia="仿宋" w:cs="仿宋"/>
                <w:sz w:val="24"/>
                <w:highlight w:val="none"/>
              </w:rPr>
            </w:pPr>
          </w:p>
        </w:tc>
      </w:tr>
      <w:tr w14:paraId="33B4B54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235" w:type="dxa"/>
            <w:vAlign w:val="center"/>
          </w:tcPr>
          <w:p w14:paraId="5202E482">
            <w:pPr>
              <w:jc w:val="center"/>
              <w:rPr>
                <w:rFonts w:ascii="仿宋" w:hAnsi="仿宋" w:eastAsia="仿宋" w:cs="仿宋"/>
                <w:sz w:val="24"/>
                <w:highlight w:val="none"/>
              </w:rPr>
            </w:pPr>
            <w:r>
              <w:rPr>
                <w:rFonts w:hint="eastAsia" w:ascii="仿宋" w:hAnsi="仿宋" w:eastAsia="仿宋" w:cs="仿宋"/>
                <w:sz w:val="24"/>
                <w:highlight w:val="none"/>
              </w:rPr>
              <w:t>专项负责人</w:t>
            </w:r>
          </w:p>
        </w:tc>
        <w:tc>
          <w:tcPr>
            <w:tcW w:w="1035" w:type="dxa"/>
            <w:vAlign w:val="center"/>
          </w:tcPr>
          <w:p w14:paraId="7A05D52F">
            <w:pPr>
              <w:jc w:val="center"/>
              <w:rPr>
                <w:rFonts w:ascii="仿宋" w:hAnsi="仿宋" w:eastAsia="仿宋" w:cs="仿宋"/>
                <w:sz w:val="24"/>
                <w:highlight w:val="none"/>
              </w:rPr>
            </w:pPr>
            <w:r>
              <w:rPr>
                <w:rFonts w:hint="eastAsia" w:ascii="仿宋" w:hAnsi="仿宋" w:eastAsia="仿宋" w:cs="仿宋"/>
                <w:sz w:val="24"/>
                <w:highlight w:val="none"/>
              </w:rPr>
              <w:t>姓名</w:t>
            </w:r>
          </w:p>
        </w:tc>
        <w:tc>
          <w:tcPr>
            <w:tcW w:w="1696" w:type="dxa"/>
            <w:vAlign w:val="center"/>
          </w:tcPr>
          <w:p w14:paraId="02C87DB9">
            <w:pPr>
              <w:jc w:val="center"/>
              <w:rPr>
                <w:rFonts w:ascii="仿宋" w:hAnsi="仿宋" w:eastAsia="仿宋" w:cs="仿宋"/>
                <w:sz w:val="24"/>
                <w:highlight w:val="none"/>
              </w:rPr>
            </w:pPr>
          </w:p>
        </w:tc>
        <w:tc>
          <w:tcPr>
            <w:tcW w:w="1198" w:type="dxa"/>
            <w:vAlign w:val="center"/>
          </w:tcPr>
          <w:p w14:paraId="2CA9B7C2">
            <w:pPr>
              <w:jc w:val="center"/>
              <w:rPr>
                <w:rFonts w:ascii="仿宋" w:hAnsi="仿宋" w:eastAsia="仿宋" w:cs="仿宋"/>
                <w:sz w:val="24"/>
                <w:highlight w:val="none"/>
              </w:rPr>
            </w:pPr>
            <w:r>
              <w:rPr>
                <w:rFonts w:hint="eastAsia" w:ascii="仿宋" w:hAnsi="仿宋" w:eastAsia="仿宋" w:cs="仿宋"/>
                <w:sz w:val="24"/>
                <w:highlight w:val="none"/>
              </w:rPr>
              <w:t>技术职称</w:t>
            </w:r>
          </w:p>
        </w:tc>
        <w:tc>
          <w:tcPr>
            <w:tcW w:w="1356" w:type="dxa"/>
            <w:vAlign w:val="center"/>
          </w:tcPr>
          <w:p w14:paraId="65BC7C60">
            <w:pPr>
              <w:jc w:val="center"/>
              <w:rPr>
                <w:rFonts w:ascii="仿宋" w:hAnsi="仿宋" w:eastAsia="仿宋" w:cs="仿宋"/>
                <w:sz w:val="24"/>
                <w:highlight w:val="none"/>
              </w:rPr>
            </w:pPr>
          </w:p>
        </w:tc>
        <w:tc>
          <w:tcPr>
            <w:tcW w:w="876" w:type="dxa"/>
            <w:vAlign w:val="center"/>
          </w:tcPr>
          <w:p w14:paraId="4594415B">
            <w:pPr>
              <w:jc w:val="center"/>
              <w:rPr>
                <w:rFonts w:ascii="仿宋" w:hAnsi="仿宋" w:eastAsia="仿宋" w:cs="仿宋"/>
                <w:sz w:val="24"/>
                <w:highlight w:val="none"/>
              </w:rPr>
            </w:pPr>
            <w:r>
              <w:rPr>
                <w:rFonts w:hint="eastAsia" w:ascii="仿宋" w:hAnsi="仿宋" w:eastAsia="仿宋" w:cs="仿宋"/>
                <w:sz w:val="24"/>
                <w:highlight w:val="none"/>
              </w:rPr>
              <w:t>电话</w:t>
            </w:r>
          </w:p>
        </w:tc>
        <w:tc>
          <w:tcPr>
            <w:tcW w:w="1324" w:type="dxa"/>
            <w:vAlign w:val="center"/>
          </w:tcPr>
          <w:p w14:paraId="548795D0">
            <w:pPr>
              <w:jc w:val="center"/>
              <w:rPr>
                <w:rFonts w:ascii="仿宋" w:hAnsi="仿宋" w:eastAsia="仿宋" w:cs="仿宋"/>
                <w:sz w:val="24"/>
                <w:highlight w:val="none"/>
              </w:rPr>
            </w:pPr>
          </w:p>
        </w:tc>
      </w:tr>
      <w:tr w14:paraId="5410F8B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2235" w:type="dxa"/>
            <w:vAlign w:val="center"/>
          </w:tcPr>
          <w:p w14:paraId="184D0720">
            <w:pPr>
              <w:jc w:val="center"/>
              <w:rPr>
                <w:rFonts w:ascii="仿宋" w:hAnsi="仿宋" w:eastAsia="仿宋" w:cs="仿宋"/>
                <w:sz w:val="24"/>
                <w:highlight w:val="none"/>
              </w:rPr>
            </w:pPr>
            <w:r>
              <w:rPr>
                <w:rFonts w:hint="eastAsia" w:ascii="仿宋" w:hAnsi="仿宋" w:eastAsia="仿宋" w:cs="仿宋"/>
                <w:sz w:val="24"/>
                <w:highlight w:val="none"/>
              </w:rPr>
              <w:t>成立时间</w:t>
            </w:r>
          </w:p>
        </w:tc>
        <w:tc>
          <w:tcPr>
            <w:tcW w:w="2731" w:type="dxa"/>
            <w:gridSpan w:val="2"/>
            <w:vAlign w:val="center"/>
          </w:tcPr>
          <w:p w14:paraId="1644F94C">
            <w:pPr>
              <w:jc w:val="center"/>
              <w:rPr>
                <w:rFonts w:ascii="仿宋" w:hAnsi="仿宋" w:eastAsia="仿宋" w:cs="仿宋"/>
                <w:sz w:val="24"/>
                <w:highlight w:val="none"/>
              </w:rPr>
            </w:pPr>
          </w:p>
        </w:tc>
        <w:tc>
          <w:tcPr>
            <w:tcW w:w="4754" w:type="dxa"/>
            <w:gridSpan w:val="4"/>
            <w:vAlign w:val="center"/>
          </w:tcPr>
          <w:p w14:paraId="3FC3E36E">
            <w:pPr>
              <w:rPr>
                <w:rFonts w:ascii="仿宋" w:hAnsi="仿宋" w:eastAsia="仿宋" w:cs="仿宋"/>
                <w:sz w:val="24"/>
                <w:highlight w:val="none"/>
              </w:rPr>
            </w:pPr>
            <w:r>
              <w:rPr>
                <w:rFonts w:hint="eastAsia" w:ascii="仿宋" w:hAnsi="仿宋" w:eastAsia="仿宋" w:cs="仿宋"/>
                <w:sz w:val="24"/>
                <w:highlight w:val="none"/>
              </w:rPr>
              <w:t>员工总人数：</w:t>
            </w:r>
          </w:p>
        </w:tc>
      </w:tr>
      <w:tr w14:paraId="336F0B8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00" w:hRule="atLeast"/>
          <w:jc w:val="center"/>
        </w:trPr>
        <w:tc>
          <w:tcPr>
            <w:tcW w:w="2235" w:type="dxa"/>
            <w:vAlign w:val="center"/>
          </w:tcPr>
          <w:p w14:paraId="5085ABAE">
            <w:pPr>
              <w:jc w:val="center"/>
              <w:rPr>
                <w:rFonts w:ascii="仿宋" w:hAnsi="仿宋" w:eastAsia="仿宋" w:cs="仿宋"/>
                <w:sz w:val="24"/>
                <w:highlight w:val="none"/>
              </w:rPr>
            </w:pPr>
            <w:r>
              <w:rPr>
                <w:rFonts w:hint="eastAsia" w:ascii="仿宋" w:hAnsi="仿宋" w:eastAsia="仿宋" w:cs="仿宋"/>
                <w:sz w:val="24"/>
                <w:highlight w:val="none"/>
              </w:rPr>
              <w:t>营业执照号</w:t>
            </w:r>
          </w:p>
        </w:tc>
        <w:tc>
          <w:tcPr>
            <w:tcW w:w="7485" w:type="dxa"/>
            <w:gridSpan w:val="6"/>
            <w:tcBorders>
              <w:bottom w:val="single" w:color="auto" w:sz="4" w:space="0"/>
            </w:tcBorders>
            <w:vAlign w:val="center"/>
          </w:tcPr>
          <w:p w14:paraId="49224398">
            <w:pPr>
              <w:jc w:val="center"/>
              <w:rPr>
                <w:rFonts w:ascii="仿宋" w:hAnsi="仿宋" w:eastAsia="仿宋" w:cs="仿宋"/>
                <w:sz w:val="24"/>
                <w:highlight w:val="none"/>
              </w:rPr>
            </w:pPr>
          </w:p>
        </w:tc>
      </w:tr>
      <w:tr w14:paraId="308EB06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00" w:hRule="atLeast"/>
          <w:jc w:val="center"/>
        </w:trPr>
        <w:tc>
          <w:tcPr>
            <w:tcW w:w="2235" w:type="dxa"/>
            <w:vAlign w:val="center"/>
          </w:tcPr>
          <w:p w14:paraId="2A75249F">
            <w:pPr>
              <w:jc w:val="center"/>
              <w:rPr>
                <w:rFonts w:ascii="仿宋" w:hAnsi="仿宋" w:eastAsia="仿宋" w:cs="仿宋"/>
                <w:sz w:val="24"/>
                <w:highlight w:val="none"/>
              </w:rPr>
            </w:pPr>
            <w:r>
              <w:rPr>
                <w:rFonts w:hint="eastAsia" w:ascii="仿宋" w:hAnsi="仿宋" w:eastAsia="仿宋" w:cs="仿宋"/>
                <w:sz w:val="24"/>
                <w:highlight w:val="none"/>
              </w:rPr>
              <w:t>注册资金</w:t>
            </w:r>
          </w:p>
        </w:tc>
        <w:tc>
          <w:tcPr>
            <w:tcW w:w="7485" w:type="dxa"/>
            <w:gridSpan w:val="6"/>
            <w:tcBorders>
              <w:top w:val="single" w:color="auto" w:sz="4" w:space="0"/>
              <w:bottom w:val="single" w:color="auto" w:sz="4" w:space="0"/>
            </w:tcBorders>
            <w:vAlign w:val="center"/>
          </w:tcPr>
          <w:p w14:paraId="2DA3CDDD">
            <w:pPr>
              <w:jc w:val="center"/>
              <w:rPr>
                <w:rFonts w:ascii="仿宋" w:hAnsi="仿宋" w:eastAsia="仿宋" w:cs="仿宋"/>
                <w:sz w:val="24"/>
                <w:highlight w:val="none"/>
              </w:rPr>
            </w:pPr>
          </w:p>
        </w:tc>
      </w:tr>
      <w:tr w14:paraId="2F3B617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00" w:hRule="atLeast"/>
          <w:jc w:val="center"/>
        </w:trPr>
        <w:tc>
          <w:tcPr>
            <w:tcW w:w="2235" w:type="dxa"/>
            <w:vAlign w:val="center"/>
          </w:tcPr>
          <w:p w14:paraId="1AF20AA5">
            <w:pPr>
              <w:jc w:val="center"/>
              <w:rPr>
                <w:rFonts w:ascii="仿宋" w:hAnsi="仿宋" w:eastAsia="仿宋" w:cs="仿宋"/>
                <w:sz w:val="24"/>
                <w:highlight w:val="none"/>
              </w:rPr>
            </w:pPr>
            <w:r>
              <w:rPr>
                <w:rFonts w:hint="eastAsia" w:ascii="仿宋" w:hAnsi="仿宋" w:eastAsia="仿宋" w:cs="仿宋"/>
                <w:sz w:val="24"/>
                <w:highlight w:val="none"/>
              </w:rPr>
              <w:t>开户银行</w:t>
            </w:r>
          </w:p>
        </w:tc>
        <w:tc>
          <w:tcPr>
            <w:tcW w:w="7485" w:type="dxa"/>
            <w:gridSpan w:val="6"/>
            <w:tcBorders>
              <w:top w:val="single" w:color="auto" w:sz="4" w:space="0"/>
              <w:bottom w:val="single" w:color="auto" w:sz="4" w:space="0"/>
            </w:tcBorders>
            <w:vAlign w:val="center"/>
          </w:tcPr>
          <w:p w14:paraId="59FD5678">
            <w:pPr>
              <w:jc w:val="center"/>
              <w:rPr>
                <w:rFonts w:ascii="仿宋" w:hAnsi="仿宋" w:eastAsia="仿宋" w:cs="仿宋"/>
                <w:sz w:val="24"/>
                <w:highlight w:val="none"/>
              </w:rPr>
            </w:pPr>
          </w:p>
        </w:tc>
      </w:tr>
      <w:tr w14:paraId="638ED09B">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00" w:hRule="atLeast"/>
          <w:jc w:val="center"/>
        </w:trPr>
        <w:tc>
          <w:tcPr>
            <w:tcW w:w="2235" w:type="dxa"/>
            <w:vAlign w:val="center"/>
          </w:tcPr>
          <w:p w14:paraId="18D36189">
            <w:pPr>
              <w:jc w:val="center"/>
              <w:rPr>
                <w:rFonts w:ascii="仿宋" w:hAnsi="仿宋" w:eastAsia="仿宋" w:cs="仿宋"/>
                <w:sz w:val="24"/>
                <w:highlight w:val="none"/>
              </w:rPr>
            </w:pPr>
            <w:r>
              <w:rPr>
                <w:rFonts w:hint="eastAsia" w:ascii="仿宋" w:hAnsi="仿宋" w:eastAsia="仿宋" w:cs="仿宋"/>
                <w:sz w:val="24"/>
                <w:highlight w:val="none"/>
              </w:rPr>
              <w:t>银行账号</w:t>
            </w:r>
          </w:p>
        </w:tc>
        <w:tc>
          <w:tcPr>
            <w:tcW w:w="7485" w:type="dxa"/>
            <w:gridSpan w:val="6"/>
            <w:tcBorders>
              <w:top w:val="single" w:color="auto" w:sz="4" w:space="0"/>
            </w:tcBorders>
            <w:vAlign w:val="center"/>
          </w:tcPr>
          <w:p w14:paraId="62B86B05">
            <w:pPr>
              <w:jc w:val="center"/>
              <w:rPr>
                <w:rFonts w:ascii="仿宋" w:hAnsi="仿宋" w:eastAsia="仿宋" w:cs="仿宋"/>
                <w:sz w:val="24"/>
                <w:highlight w:val="none"/>
              </w:rPr>
            </w:pPr>
          </w:p>
        </w:tc>
      </w:tr>
      <w:tr w14:paraId="04E447B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3302" w:hRule="atLeast"/>
          <w:jc w:val="center"/>
        </w:trPr>
        <w:tc>
          <w:tcPr>
            <w:tcW w:w="2235" w:type="dxa"/>
            <w:vAlign w:val="center"/>
          </w:tcPr>
          <w:p w14:paraId="499AA90A">
            <w:pPr>
              <w:jc w:val="center"/>
              <w:rPr>
                <w:rFonts w:ascii="仿宋" w:hAnsi="仿宋" w:eastAsia="仿宋" w:cs="仿宋"/>
                <w:sz w:val="24"/>
                <w:highlight w:val="none"/>
              </w:rPr>
            </w:pPr>
            <w:r>
              <w:rPr>
                <w:rFonts w:hint="eastAsia" w:ascii="仿宋" w:hAnsi="仿宋" w:eastAsia="仿宋" w:cs="仿宋"/>
                <w:sz w:val="24"/>
                <w:highlight w:val="none"/>
              </w:rPr>
              <w:t>经营范围备注</w:t>
            </w:r>
          </w:p>
        </w:tc>
        <w:tc>
          <w:tcPr>
            <w:tcW w:w="7485" w:type="dxa"/>
            <w:gridSpan w:val="6"/>
            <w:vAlign w:val="center"/>
          </w:tcPr>
          <w:p w14:paraId="3C88C564">
            <w:pPr>
              <w:jc w:val="center"/>
              <w:rPr>
                <w:rFonts w:ascii="仿宋" w:hAnsi="仿宋" w:eastAsia="仿宋" w:cs="仿宋"/>
                <w:sz w:val="24"/>
                <w:highlight w:val="none"/>
              </w:rPr>
            </w:pPr>
          </w:p>
        </w:tc>
      </w:tr>
    </w:tbl>
    <w:p w14:paraId="29605CD0">
      <w:pPr>
        <w:spacing w:line="440" w:lineRule="exact"/>
        <w:rPr>
          <w:rFonts w:ascii="仿宋" w:hAnsi="仿宋" w:eastAsia="仿宋" w:cs="仿宋"/>
          <w:sz w:val="24"/>
          <w:highlight w:val="none"/>
        </w:rPr>
      </w:pPr>
      <w:r>
        <w:rPr>
          <w:rFonts w:hint="eastAsia" w:ascii="仿宋" w:hAnsi="仿宋" w:eastAsia="仿宋" w:cs="仿宋"/>
          <w:sz w:val="24"/>
          <w:highlight w:val="none"/>
        </w:rPr>
        <w:t>供应商签章：</w:t>
      </w:r>
    </w:p>
    <w:p w14:paraId="729E127A">
      <w:pPr>
        <w:spacing w:line="440" w:lineRule="exact"/>
        <w:rPr>
          <w:rFonts w:ascii="仿宋" w:hAnsi="仿宋" w:eastAsia="仿宋" w:cs="仿宋"/>
          <w:sz w:val="24"/>
          <w:highlight w:val="none"/>
          <w:u w:val="single"/>
        </w:rPr>
      </w:pPr>
    </w:p>
    <w:p w14:paraId="531ADA53">
      <w:pPr>
        <w:spacing w:line="432" w:lineRule="auto"/>
        <w:rPr>
          <w:rFonts w:ascii="仿宋" w:hAnsi="仿宋" w:eastAsia="仿宋" w:cs="仿宋"/>
          <w:sz w:val="24"/>
          <w:highlight w:val="none"/>
          <w:u w:val="single"/>
        </w:rPr>
      </w:pPr>
      <w:r>
        <w:rPr>
          <w:rFonts w:hint="eastAsia" w:ascii="仿宋" w:hAnsi="仿宋" w:eastAsia="仿宋"/>
          <w:szCs w:val="21"/>
          <w:highlight w:val="none"/>
        </w:rPr>
        <w:t>日期：年 月 日</w:t>
      </w:r>
      <w:r>
        <w:rPr>
          <w:rFonts w:hint="eastAsia" w:ascii="仿宋" w:hAnsi="仿宋" w:eastAsia="仿宋" w:cs="仿宋"/>
          <w:sz w:val="24"/>
          <w:highlight w:val="none"/>
        </w:rPr>
        <w:t>：</w:t>
      </w:r>
    </w:p>
    <w:p w14:paraId="670F36F6">
      <w:pPr>
        <w:pStyle w:val="3"/>
        <w:ind w:left="964" w:hanging="964" w:hangingChars="400"/>
        <w:jc w:val="center"/>
        <w:rPr>
          <w:rFonts w:ascii="仿宋" w:hAnsi="仿宋" w:eastAsia="仿宋" w:cs="仿宋"/>
          <w:sz w:val="24"/>
          <w:highlight w:val="none"/>
        </w:rPr>
        <w:sectPr>
          <w:footerReference r:id="rId11" w:type="default"/>
          <w:footerReference r:id="rId12" w:type="even"/>
          <w:pgSz w:w="11906" w:h="16838"/>
          <w:pgMar w:top="1418" w:right="1247" w:bottom="1418" w:left="1814" w:header="851" w:footer="992" w:gutter="0"/>
          <w:cols w:space="425" w:num="1"/>
          <w:docGrid w:type="lines" w:linePitch="312" w:charSpace="0"/>
        </w:sectPr>
      </w:pPr>
    </w:p>
    <w:p w14:paraId="106B0AB6">
      <w:pPr>
        <w:pStyle w:val="42"/>
        <w:spacing w:before="312"/>
        <w:rPr>
          <w:rFonts w:hint="default"/>
          <w:highlight w:val="none"/>
        </w:rPr>
      </w:pPr>
      <w:bookmarkStart w:id="76" w:name="_Toc6256"/>
      <w:r>
        <w:rPr>
          <w:rFonts w:hint="eastAsia"/>
          <w:highlight w:val="none"/>
          <w:lang w:val="en-US" w:eastAsia="zh-CN"/>
        </w:rPr>
        <w:t>6</w:t>
      </w:r>
      <w:r>
        <w:rPr>
          <w:highlight w:val="none"/>
        </w:rPr>
        <w:t>. 技术文件</w:t>
      </w:r>
      <w:bookmarkEnd w:id="76"/>
    </w:p>
    <w:p w14:paraId="68C1473D">
      <w:pPr>
        <w:spacing w:line="432" w:lineRule="auto"/>
        <w:rPr>
          <w:rFonts w:ascii="仿宋" w:hAnsi="仿宋" w:eastAsia="仿宋" w:cs="仿宋"/>
          <w:sz w:val="24"/>
          <w:highlight w:val="none"/>
        </w:rPr>
      </w:pPr>
      <w:r>
        <w:rPr>
          <w:rFonts w:hint="eastAsia" w:ascii="仿宋" w:hAnsi="仿宋" w:eastAsia="仿宋" w:cs="仿宋"/>
          <w:sz w:val="24"/>
          <w:highlight w:val="none"/>
        </w:rPr>
        <w:t>内容包括：</w:t>
      </w:r>
    </w:p>
    <w:p w14:paraId="2D9E5D34">
      <w:pPr>
        <w:spacing w:line="432" w:lineRule="auto"/>
        <w:rPr>
          <w:rFonts w:ascii="仿宋" w:hAnsi="仿宋" w:eastAsia="仿宋" w:cs="仿宋"/>
          <w:sz w:val="24"/>
          <w:highlight w:val="none"/>
        </w:rPr>
      </w:pPr>
      <w:r>
        <w:rPr>
          <w:rFonts w:hint="eastAsia" w:ascii="仿宋" w:hAnsi="仿宋" w:eastAsia="仿宋" w:cs="仿宋"/>
          <w:sz w:val="24"/>
          <w:highlight w:val="none"/>
        </w:rPr>
        <w:t>1、承包方案（如果有）</w:t>
      </w:r>
    </w:p>
    <w:p w14:paraId="0946DA78">
      <w:pPr>
        <w:spacing w:line="400" w:lineRule="exact"/>
        <w:rPr>
          <w:rFonts w:ascii="仿宋" w:hAnsi="仿宋" w:eastAsia="仿宋" w:cs="仿宋"/>
          <w:sz w:val="24"/>
          <w:highlight w:val="none"/>
          <w:u w:val="single"/>
        </w:rPr>
      </w:pPr>
      <w:r>
        <w:rPr>
          <w:rFonts w:hint="eastAsia" w:ascii="仿宋" w:hAnsi="仿宋" w:eastAsia="仿宋" w:cs="仿宋"/>
          <w:sz w:val="24"/>
          <w:highlight w:val="none"/>
        </w:rPr>
        <w:t>2、供应商认为需要说明的其他内容（供应商视需要自行编写）</w:t>
      </w:r>
    </w:p>
    <w:p w14:paraId="26E20390">
      <w:pPr>
        <w:spacing w:line="432" w:lineRule="auto"/>
        <w:rPr>
          <w:rFonts w:ascii="仿宋" w:hAnsi="仿宋" w:eastAsia="仿宋" w:cs="仿宋"/>
          <w:sz w:val="24"/>
          <w:highlight w:val="none"/>
        </w:rPr>
        <w:sectPr>
          <w:pgSz w:w="11906" w:h="16838"/>
          <w:pgMar w:top="1418" w:right="1247" w:bottom="1418" w:left="1814" w:header="851" w:footer="992" w:gutter="0"/>
          <w:cols w:space="425" w:num="1"/>
          <w:docGrid w:type="lines" w:linePitch="312" w:charSpace="0"/>
        </w:sectPr>
      </w:pPr>
    </w:p>
    <w:p w14:paraId="20CC72A6">
      <w:pPr>
        <w:pStyle w:val="42"/>
        <w:spacing w:before="240"/>
        <w:rPr>
          <w:rFonts w:hint="default"/>
          <w:highlight w:val="none"/>
        </w:rPr>
      </w:pPr>
      <w:bookmarkStart w:id="77" w:name="_Toc31961"/>
      <w:bookmarkStart w:id="78" w:name="_Toc293934829"/>
      <w:r>
        <w:rPr>
          <w:rFonts w:hint="eastAsia"/>
          <w:highlight w:val="none"/>
          <w:lang w:val="en-US" w:eastAsia="zh-CN"/>
        </w:rPr>
        <w:t>7</w:t>
      </w:r>
      <w:r>
        <w:rPr>
          <w:highlight w:val="none"/>
        </w:rPr>
        <w:t>. 资格证明文件</w:t>
      </w:r>
      <w:bookmarkEnd w:id="77"/>
      <w:bookmarkEnd w:id="78"/>
    </w:p>
    <w:p w14:paraId="17F533F9">
      <w:pPr>
        <w:pStyle w:val="10"/>
        <w:rPr>
          <w:rFonts w:hint="eastAsia"/>
          <w:highlight w:val="none"/>
        </w:rPr>
      </w:pPr>
    </w:p>
    <w:p w14:paraId="5DCCFF69">
      <w:pPr>
        <w:pStyle w:val="42"/>
        <w:spacing w:before="240"/>
        <w:rPr>
          <w:highlight w:val="none"/>
        </w:rPr>
      </w:pPr>
      <w:bookmarkStart w:id="79" w:name="_Toc12738"/>
      <w:bookmarkStart w:id="80" w:name="_Toc157775629"/>
      <w:r>
        <w:rPr>
          <w:rFonts w:hint="eastAsia"/>
          <w:highlight w:val="none"/>
          <w:lang w:val="en-US" w:eastAsia="zh-CN"/>
        </w:rPr>
        <w:t>7</w:t>
      </w:r>
      <w:r>
        <w:rPr>
          <w:highlight w:val="none"/>
        </w:rPr>
        <w:t>.1</w:t>
      </w:r>
      <w:r>
        <w:rPr>
          <w:rFonts w:hint="eastAsia"/>
          <w:highlight w:val="none"/>
        </w:rPr>
        <w:t>、江西省政府采购供应商资格信用承诺函</w:t>
      </w:r>
      <w:bookmarkEnd w:id="79"/>
      <w:bookmarkEnd w:id="80"/>
    </w:p>
    <w:p w14:paraId="7B1377C9">
      <w:pPr>
        <w:pStyle w:val="53"/>
        <w:spacing w:line="610" w:lineRule="exact"/>
        <w:ind w:firstLine="0"/>
        <w:jc w:val="both"/>
        <w:rPr>
          <w:rFonts w:hint="eastAsia" w:ascii="仿宋" w:hAnsi="仿宋" w:eastAsia="仿宋" w:cs="仿宋"/>
          <w:color w:val="auto"/>
          <w:sz w:val="24"/>
          <w:szCs w:val="24"/>
          <w:highlight w:val="none"/>
          <w:u w:val="single"/>
          <w:lang w:val="en-US" w:eastAsia="zh-CN"/>
        </w:rPr>
      </w:pPr>
      <w:r>
        <w:rPr>
          <w:rFonts w:hint="eastAsia" w:ascii="仿宋" w:hAnsi="仿宋" w:eastAsia="仿宋" w:cs="仿宋"/>
          <w:color w:val="auto"/>
          <w:sz w:val="24"/>
          <w:szCs w:val="24"/>
          <w:highlight w:val="none"/>
        </w:rPr>
        <w:t>致（采购人或政府采购代理机构）:</w:t>
      </w:r>
    </w:p>
    <w:p w14:paraId="74DB68E8">
      <w:pPr>
        <w:pStyle w:val="53"/>
        <w:spacing w:line="610" w:lineRule="exact"/>
        <w:ind w:firstLine="480" w:firstLineChars="200"/>
        <w:jc w:val="both"/>
        <w:rPr>
          <w:rFonts w:hint="eastAsia" w:ascii="仿宋" w:hAnsi="仿宋" w:eastAsia="仿宋" w:cs="仿宋"/>
          <w:color w:val="auto"/>
          <w:sz w:val="24"/>
          <w:szCs w:val="24"/>
          <w:highlight w:val="none"/>
          <w:u w:val="single"/>
          <w:lang w:val="en-US" w:eastAsia="zh-CN"/>
        </w:rPr>
      </w:pPr>
      <w:r>
        <w:rPr>
          <w:rFonts w:hint="eastAsia" w:ascii="仿宋" w:hAnsi="仿宋" w:eastAsia="仿宋" w:cs="仿宋"/>
          <w:color w:val="auto"/>
          <w:sz w:val="24"/>
          <w:szCs w:val="24"/>
          <w:highlight w:val="none"/>
        </w:rPr>
        <w:t>单位名称（自然人姓名）:</w:t>
      </w:r>
    </w:p>
    <w:p w14:paraId="44C287B9">
      <w:pPr>
        <w:pStyle w:val="53"/>
        <w:spacing w:line="610" w:lineRule="exact"/>
        <w:ind w:firstLine="480" w:firstLineChars="200"/>
        <w:jc w:val="both"/>
        <w:rPr>
          <w:rFonts w:hint="eastAsia" w:ascii="仿宋" w:hAnsi="仿宋" w:eastAsia="仿宋" w:cs="仿宋"/>
          <w:color w:val="auto"/>
          <w:sz w:val="24"/>
          <w:szCs w:val="24"/>
          <w:highlight w:val="none"/>
          <w:u w:val="single"/>
          <w:lang w:val="en-US" w:eastAsia="zh-CN"/>
        </w:rPr>
      </w:pPr>
      <w:r>
        <w:rPr>
          <w:rFonts w:hint="eastAsia" w:ascii="仿宋" w:hAnsi="仿宋" w:eastAsia="仿宋" w:cs="仿宋"/>
          <w:color w:val="auto"/>
          <w:sz w:val="24"/>
          <w:szCs w:val="24"/>
          <w:highlight w:val="none"/>
        </w:rPr>
        <w:t>统一社会信用代码（身份证号码）：</w:t>
      </w:r>
    </w:p>
    <w:p w14:paraId="60CC24B2">
      <w:pPr>
        <w:pStyle w:val="53"/>
        <w:spacing w:line="610" w:lineRule="exact"/>
        <w:ind w:firstLine="480" w:firstLineChars="200"/>
        <w:jc w:val="both"/>
        <w:rPr>
          <w:rFonts w:hint="eastAsia" w:ascii="仿宋" w:hAnsi="仿宋" w:eastAsia="仿宋" w:cs="仿宋"/>
          <w:color w:val="auto"/>
          <w:sz w:val="24"/>
          <w:szCs w:val="24"/>
          <w:highlight w:val="none"/>
          <w:u w:val="single"/>
          <w:lang w:val="en-US" w:eastAsia="zh-CN"/>
        </w:rPr>
      </w:pPr>
      <w:r>
        <w:rPr>
          <w:rFonts w:hint="eastAsia" w:ascii="仿宋" w:hAnsi="仿宋" w:eastAsia="仿宋" w:cs="仿宋"/>
          <w:color w:val="auto"/>
          <w:sz w:val="24"/>
          <w:szCs w:val="24"/>
          <w:highlight w:val="none"/>
        </w:rPr>
        <w:t>法定代表人（负责人）：</w:t>
      </w:r>
    </w:p>
    <w:p w14:paraId="60A80405">
      <w:pPr>
        <w:pStyle w:val="53"/>
        <w:spacing w:line="610" w:lineRule="exact"/>
        <w:ind w:firstLine="480" w:firstLineChars="200"/>
        <w:jc w:val="both"/>
        <w:rPr>
          <w:rFonts w:hint="eastAsia" w:ascii="仿宋" w:hAnsi="仿宋" w:eastAsia="仿宋" w:cs="仿宋"/>
          <w:color w:val="auto"/>
          <w:sz w:val="24"/>
          <w:szCs w:val="24"/>
          <w:highlight w:val="none"/>
          <w:u w:val="single"/>
          <w:lang w:val="en-US" w:eastAsia="zh-CN"/>
        </w:rPr>
      </w:pPr>
      <w:r>
        <w:rPr>
          <w:rFonts w:hint="eastAsia" w:ascii="仿宋" w:hAnsi="仿宋" w:eastAsia="仿宋" w:cs="仿宋"/>
          <w:color w:val="auto"/>
          <w:sz w:val="24"/>
          <w:szCs w:val="24"/>
          <w:highlight w:val="none"/>
        </w:rPr>
        <w:t>联系地址和电话：</w:t>
      </w:r>
    </w:p>
    <w:p w14:paraId="2125C0AD">
      <w:pPr>
        <w:pStyle w:val="53"/>
        <w:spacing w:line="600" w:lineRule="exact"/>
        <w:ind w:firstLine="480" w:firstLineChars="20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我单位（本人）自愿参加本次政府采购活动，严格遵守《中华人民共和国政府采购法》及相关法律法规，坚守公开、公平、公正和诚实信用等原则，依法诚信经营，并郑重承诺：</w:t>
      </w:r>
    </w:p>
    <w:p w14:paraId="1A9C97ED">
      <w:pPr>
        <w:pStyle w:val="53"/>
        <w:spacing w:line="610" w:lineRule="exact"/>
        <w:ind w:firstLine="480" w:firstLineChars="20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（一）我单位（本人）符合采购文件要求以及《中华人民共和国政府采购法》第二十二条规定的条件：</w:t>
      </w:r>
    </w:p>
    <w:p w14:paraId="51B9B9E8">
      <w:pPr>
        <w:pStyle w:val="53"/>
        <w:tabs>
          <w:tab w:val="left" w:pos="977"/>
        </w:tabs>
        <w:spacing w:line="610" w:lineRule="exact"/>
        <w:ind w:left="580" w:firstLine="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rPr>
        <w:t>具有独立承担民事责任的能力；</w:t>
      </w:r>
    </w:p>
    <w:p w14:paraId="2864F1FC">
      <w:pPr>
        <w:pStyle w:val="53"/>
        <w:tabs>
          <w:tab w:val="left" w:pos="977"/>
        </w:tabs>
        <w:spacing w:line="610" w:lineRule="exact"/>
        <w:ind w:left="580" w:firstLine="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具有良好的商业信誉和健全的财务会计制度；</w:t>
      </w:r>
    </w:p>
    <w:p w14:paraId="1EFC44A4">
      <w:pPr>
        <w:pStyle w:val="53"/>
        <w:tabs>
          <w:tab w:val="left" w:pos="977"/>
        </w:tabs>
        <w:spacing w:line="610" w:lineRule="exact"/>
        <w:ind w:left="580" w:firstLine="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rPr>
        <w:t>具有履行合同所必需的设备和专业技术能力；</w:t>
      </w:r>
    </w:p>
    <w:p w14:paraId="78E59683">
      <w:pPr>
        <w:pStyle w:val="53"/>
        <w:tabs>
          <w:tab w:val="left" w:pos="977"/>
        </w:tabs>
        <w:spacing w:line="610" w:lineRule="exact"/>
        <w:ind w:left="580" w:firstLine="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4、</w:t>
      </w:r>
      <w:r>
        <w:rPr>
          <w:rFonts w:hint="eastAsia" w:ascii="仿宋" w:hAnsi="仿宋" w:eastAsia="仿宋" w:cs="仿宋"/>
          <w:color w:val="auto"/>
          <w:sz w:val="24"/>
          <w:szCs w:val="24"/>
          <w:highlight w:val="none"/>
        </w:rPr>
        <w:t>有依法缴纳税收和社会保障资金的良好记录；</w:t>
      </w:r>
    </w:p>
    <w:p w14:paraId="4AE76928">
      <w:pPr>
        <w:pStyle w:val="53"/>
        <w:tabs>
          <w:tab w:val="left" w:pos="977"/>
        </w:tabs>
        <w:spacing w:line="610" w:lineRule="exact"/>
        <w:ind w:left="580" w:firstLine="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参加政府采购活动前三年内，在经营活动中没有重大违法记录；</w:t>
      </w:r>
    </w:p>
    <w:p w14:paraId="49FCDAFC">
      <w:pPr>
        <w:pStyle w:val="53"/>
        <w:tabs>
          <w:tab w:val="left" w:pos="977"/>
        </w:tabs>
        <w:spacing w:line="610" w:lineRule="exact"/>
        <w:ind w:left="580" w:firstLine="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6、</w:t>
      </w:r>
      <w:r>
        <w:rPr>
          <w:rFonts w:hint="eastAsia" w:ascii="仿宋" w:hAnsi="仿宋" w:eastAsia="仿宋" w:cs="仿宋"/>
          <w:color w:val="auto"/>
          <w:sz w:val="24"/>
          <w:szCs w:val="24"/>
          <w:highlight w:val="none"/>
        </w:rPr>
        <w:t>符合法律、行政法规规定的其他条件。</w:t>
      </w:r>
    </w:p>
    <w:p w14:paraId="1BB29E4D">
      <w:pPr>
        <w:pStyle w:val="53"/>
        <w:spacing w:line="653" w:lineRule="exact"/>
        <w:ind w:firstLine="480" w:firstLineChars="20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（二）我单位（本人）未被列入严重失信主体名单、失信被执行人、</w:t>
      </w:r>
      <w:r>
        <w:rPr>
          <w:rFonts w:hint="eastAsia" w:ascii="仿宋" w:hAnsi="仿宋" w:eastAsia="仿宋" w:cs="仿宋"/>
          <w:color w:val="auto"/>
          <w:sz w:val="24"/>
          <w:szCs w:val="24"/>
          <w:highlight w:val="none"/>
          <w:lang w:val="en-US" w:eastAsia="zh-CN"/>
        </w:rPr>
        <w:t>税收违法黑名单</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lang w:val="en-US" w:eastAsia="zh-CN"/>
        </w:rPr>
        <w:t>重大</w:t>
      </w:r>
      <w:r>
        <w:rPr>
          <w:rFonts w:hint="eastAsia" w:ascii="仿宋" w:hAnsi="仿宋" w:eastAsia="仿宋" w:cs="仿宋"/>
          <w:color w:val="auto"/>
          <w:sz w:val="24"/>
          <w:szCs w:val="24"/>
          <w:highlight w:val="none"/>
        </w:rPr>
        <w:t>税收违法</w:t>
      </w:r>
      <w:r>
        <w:rPr>
          <w:rFonts w:hint="eastAsia" w:ascii="仿宋" w:hAnsi="仿宋" w:eastAsia="仿宋" w:cs="仿宋"/>
          <w:color w:val="auto"/>
          <w:sz w:val="24"/>
          <w:szCs w:val="24"/>
          <w:highlight w:val="none"/>
          <w:lang w:val="en-US" w:eastAsia="zh-CN"/>
        </w:rPr>
        <w:t>失信主体）</w:t>
      </w:r>
      <w:r>
        <w:rPr>
          <w:rFonts w:hint="eastAsia" w:ascii="仿宋" w:hAnsi="仿宋" w:eastAsia="仿宋" w:cs="仿宋"/>
          <w:color w:val="auto"/>
          <w:sz w:val="24"/>
          <w:szCs w:val="24"/>
          <w:highlight w:val="none"/>
        </w:rPr>
        <w:t>、政府采购严重违法失信行为记录名单。</w:t>
      </w:r>
    </w:p>
    <w:p w14:paraId="335E1B1D">
      <w:pPr>
        <w:pStyle w:val="53"/>
        <w:spacing w:after="580" w:line="605" w:lineRule="exact"/>
        <w:ind w:firstLine="480" w:firstLineChars="20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我单位（本人）对本承诺函及所承诺事项的真实性、合法性及有效性负责，并已知晓如所作信用承诺不实，可能涉嫌《中华人民共和国政府采购法》第七十七条第一款第（一）项规定的 </w:t>
      </w:r>
      <w:r>
        <w:rPr>
          <w:rFonts w:hint="eastAsia" w:ascii="仿宋" w:hAnsi="仿宋" w:eastAsia="仿宋" w:cs="仿宋"/>
          <w:color w:val="auto"/>
          <w:sz w:val="24"/>
          <w:szCs w:val="24"/>
          <w:highlight w:val="none"/>
          <w:lang w:val="zh-CN" w:eastAsia="zh-CN" w:bidi="zh-CN"/>
        </w:rPr>
        <w:t>“提供</w:t>
      </w:r>
      <w:r>
        <w:rPr>
          <w:rFonts w:hint="eastAsia" w:ascii="仿宋" w:hAnsi="仿宋" w:eastAsia="仿宋" w:cs="仿宋"/>
          <w:color w:val="auto"/>
          <w:sz w:val="24"/>
          <w:szCs w:val="24"/>
          <w:highlight w:val="none"/>
        </w:rPr>
        <w:t>虚假材料谋取中标、成交”违法情形。经调查属实的，自觉接受政府采购行政监管部门按照《中华人民共和国政府采购法》第七十七条：</w:t>
      </w:r>
      <w:r>
        <w:rPr>
          <w:rFonts w:hint="eastAsia" w:ascii="仿宋" w:hAnsi="仿宋" w:eastAsia="仿宋" w:cs="仿宋"/>
          <w:color w:val="auto"/>
          <w:sz w:val="24"/>
          <w:szCs w:val="24"/>
          <w:highlight w:val="none"/>
          <w:lang w:val="zh-CN" w:eastAsia="zh-CN" w:bidi="zh-CN"/>
        </w:rPr>
        <w:t>“处</w:t>
      </w:r>
      <w:r>
        <w:rPr>
          <w:rFonts w:hint="eastAsia" w:ascii="仿宋" w:hAnsi="仿宋" w:eastAsia="仿宋" w:cs="仿宋"/>
          <w:color w:val="auto"/>
          <w:sz w:val="24"/>
          <w:szCs w:val="24"/>
          <w:highlight w:val="none"/>
        </w:rPr>
        <w:t>以采购金额千分之五以上千分之十以下的罚款，列入不良行为记录名单，在一至三年内禁止参加政府采购活动，有违法所得的，并处没收违法所得，情节严重的，由市场监管部门吊销营业执照；构成犯罪的，依法追究刑事责任”处理。</w:t>
      </w:r>
    </w:p>
    <w:p w14:paraId="21DAC06C">
      <w:pPr>
        <w:pStyle w:val="53"/>
        <w:spacing w:line="605" w:lineRule="exact"/>
        <w:ind w:firstLine="0"/>
        <w:jc w:val="center"/>
        <w:rPr>
          <w:rFonts w:hint="eastAsia" w:ascii="仿宋" w:hAnsi="仿宋" w:eastAsia="仿宋" w:cs="仿宋"/>
          <w:color w:val="auto"/>
          <w:sz w:val="24"/>
          <w:szCs w:val="24"/>
          <w:highlight w:val="none"/>
          <w:u w:val="single"/>
          <w:lang w:val="en-US" w:eastAsia="zh-CN"/>
        </w:rPr>
      </w:pPr>
      <w:r>
        <w:rPr>
          <w:rFonts w:hint="eastAsia" w:ascii="仿宋" w:hAnsi="仿宋" w:eastAsia="仿宋" w:cs="仿宋"/>
          <w:color w:val="auto"/>
          <w:sz w:val="24"/>
          <w:szCs w:val="24"/>
          <w:highlight w:val="none"/>
        </w:rPr>
        <w:t>供应商名称（单位公章）：</w:t>
      </w:r>
    </w:p>
    <w:p w14:paraId="5059B944">
      <w:pPr>
        <w:pStyle w:val="53"/>
        <w:spacing w:line="605" w:lineRule="exact"/>
        <w:ind w:firstLine="0"/>
        <w:jc w:val="center"/>
        <w:rPr>
          <w:rFonts w:hint="eastAsia" w:ascii="仿宋" w:hAnsi="仿宋" w:eastAsia="仿宋" w:cs="仿宋"/>
          <w:color w:val="auto"/>
          <w:sz w:val="24"/>
          <w:szCs w:val="24"/>
          <w:highlight w:val="none"/>
          <w:u w:val="single"/>
          <w:lang w:val="en-US" w:eastAsia="zh-CN"/>
        </w:rPr>
      </w:pPr>
      <w:r>
        <w:rPr>
          <w:rFonts w:hint="eastAsia" w:ascii="仿宋" w:hAnsi="仿宋" w:eastAsia="仿宋" w:cs="仿宋"/>
          <w:color w:val="auto"/>
          <w:sz w:val="24"/>
          <w:szCs w:val="24"/>
          <w:highlight w:val="none"/>
        </w:rPr>
        <w:t>或自然人（签字）：</w:t>
      </w:r>
    </w:p>
    <w:p w14:paraId="0192926C">
      <w:pPr>
        <w:pStyle w:val="53"/>
        <w:spacing w:after="520" w:line="605" w:lineRule="exact"/>
        <w:ind w:firstLine="0"/>
        <w:jc w:val="right"/>
        <w:rPr>
          <w:rFonts w:hint="eastAsia" w:ascii="仿宋" w:hAnsi="仿宋" w:eastAsia="仿宋" w:cs="仿宋"/>
          <w:color w:val="auto"/>
          <w:sz w:val="24"/>
          <w:szCs w:val="24"/>
          <w:highlight w:val="none"/>
          <w:lang w:val="en-US" w:eastAsia="zh-CN"/>
        </w:rPr>
      </w:pPr>
    </w:p>
    <w:p w14:paraId="0BCC9ACA">
      <w:pPr>
        <w:pStyle w:val="53"/>
        <w:spacing w:after="520" w:line="605" w:lineRule="exact"/>
        <w:ind w:firstLine="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年月日</w:t>
      </w:r>
    </w:p>
    <w:p w14:paraId="243C1B83">
      <w:pPr>
        <w:pStyle w:val="53"/>
        <w:keepNext w:val="0"/>
        <w:keepLines w:val="0"/>
        <w:pageBreakBefore w:val="0"/>
        <w:widowControl w:val="0"/>
        <w:kinsoku w:val="0"/>
        <w:wordWrap/>
        <w:overflowPunct/>
        <w:topLinePunct w:val="0"/>
        <w:autoSpaceDE w:val="0"/>
        <w:autoSpaceDN w:val="0"/>
        <w:bidi w:val="0"/>
        <w:adjustRightInd w:val="0"/>
        <w:snapToGrid w:val="0"/>
        <w:spacing w:line="605" w:lineRule="exact"/>
        <w:ind w:firstLine="480" w:firstLineChars="200"/>
        <w:jc w:val="both"/>
        <w:textAlignment w:val="baseline"/>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w:t>
      </w:r>
    </w:p>
    <w:p w14:paraId="1E68DB0C">
      <w:pPr>
        <w:pStyle w:val="53"/>
        <w:keepNext w:val="0"/>
        <w:keepLines w:val="0"/>
        <w:pageBreakBefore w:val="0"/>
        <w:widowControl w:val="0"/>
        <w:kinsoku w:val="0"/>
        <w:wordWrap/>
        <w:overflowPunct/>
        <w:topLinePunct w:val="0"/>
        <w:autoSpaceDE w:val="0"/>
        <w:autoSpaceDN w:val="0"/>
        <w:bidi w:val="0"/>
        <w:adjustRightInd w:val="0"/>
        <w:snapToGrid w:val="0"/>
        <w:spacing w:line="605" w:lineRule="exact"/>
        <w:ind w:firstLine="480" w:firstLineChars="200"/>
        <w:jc w:val="both"/>
        <w:textAlignment w:val="baseline"/>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rPr>
        <w:t>我单位（本人）专指参加政府采购活动的供应商（含自然人）</w:t>
      </w:r>
    </w:p>
    <w:p w14:paraId="62F509FC">
      <w:pPr>
        <w:pStyle w:val="53"/>
        <w:keepNext w:val="0"/>
        <w:keepLines w:val="0"/>
        <w:pageBreakBefore w:val="0"/>
        <w:widowControl w:val="0"/>
        <w:kinsoku w:val="0"/>
        <w:wordWrap/>
        <w:overflowPunct/>
        <w:topLinePunct w:val="0"/>
        <w:autoSpaceDE w:val="0"/>
        <w:autoSpaceDN w:val="0"/>
        <w:bidi w:val="0"/>
        <w:adjustRightInd w:val="0"/>
        <w:snapToGrid w:val="0"/>
        <w:spacing w:line="605" w:lineRule="exact"/>
        <w:ind w:firstLine="480" w:firstLineChars="200"/>
        <w:jc w:val="both"/>
        <w:textAlignment w:val="baseline"/>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2、供应商须在投标文件中按此模板提供承诺函，既未提供上述承诺函又未提供对应事项证明材料的，视为未实质响应招标文件要求，按无效投标处理。</w:t>
      </w:r>
    </w:p>
    <w:p w14:paraId="190404D4">
      <w:pPr>
        <w:pStyle w:val="53"/>
        <w:keepNext w:val="0"/>
        <w:keepLines w:val="0"/>
        <w:pageBreakBefore w:val="0"/>
        <w:widowControl w:val="0"/>
        <w:kinsoku w:val="0"/>
        <w:wordWrap/>
        <w:overflowPunct/>
        <w:topLinePunct w:val="0"/>
        <w:autoSpaceDE w:val="0"/>
        <w:autoSpaceDN w:val="0"/>
        <w:bidi w:val="0"/>
        <w:adjustRightInd w:val="0"/>
        <w:snapToGrid w:val="0"/>
        <w:spacing w:line="605" w:lineRule="exact"/>
        <w:ind w:firstLine="480" w:firstLineChars="200"/>
        <w:jc w:val="both"/>
        <w:textAlignment w:val="baseline"/>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3、采购人可以在公告中标结果后、签订政府采购合同前, 核实中标供应商所作信用承诺事项的真实性。</w:t>
      </w:r>
    </w:p>
    <w:p w14:paraId="2548216B">
      <w:pPr>
        <w:pStyle w:val="53"/>
        <w:spacing w:after="580" w:line="605" w:lineRule="exact"/>
        <w:ind w:firstLine="480" w:firstLineChars="20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br w:type="page"/>
      </w:r>
    </w:p>
    <w:p w14:paraId="3750BA10">
      <w:pPr>
        <w:spacing w:before="78" w:line="360" w:lineRule="auto"/>
        <w:ind w:firstLine="482" w:firstLineChars="200"/>
        <w:outlineLvl w:val="1"/>
        <w:rPr>
          <w:rFonts w:hint="eastAsia" w:ascii="仿宋" w:hAnsi="仿宋" w:eastAsia="仿宋" w:cs="仿宋"/>
          <w:b/>
          <w:bCs/>
          <w:sz w:val="24"/>
          <w:highlight w:val="none"/>
        </w:rPr>
      </w:pPr>
      <w:bookmarkStart w:id="81" w:name="_Toc157775630"/>
      <w:bookmarkStart w:id="82" w:name="_Toc26568"/>
      <w:r>
        <w:rPr>
          <w:rFonts w:hint="eastAsia" w:ascii="仿宋" w:hAnsi="仿宋" w:eastAsia="仿宋" w:cs="仿宋"/>
          <w:b/>
          <w:bCs/>
          <w:sz w:val="24"/>
          <w:highlight w:val="none"/>
        </w:rPr>
        <w:t>说明：如投标人提供了《江西省政府采购供应商资格信用承诺函》的，视同提供了“满足《中华人民共和国政府采购法》第二十二条规定须提供的证明文件”中</w:t>
      </w:r>
      <w:r>
        <w:rPr>
          <w:rFonts w:hint="eastAsia" w:ascii="仿宋" w:hAnsi="仿宋" w:eastAsia="仿宋" w:cs="仿宋"/>
          <w:b/>
          <w:bCs/>
          <w:sz w:val="24"/>
          <w:highlight w:val="none"/>
          <w:lang w:val="en-US" w:eastAsia="zh-CN"/>
        </w:rPr>
        <w:t>7.2</w:t>
      </w:r>
      <w:r>
        <w:rPr>
          <w:rFonts w:hint="eastAsia" w:ascii="仿宋" w:hAnsi="仿宋" w:eastAsia="仿宋" w:cs="仿宋"/>
          <w:b/>
          <w:bCs/>
          <w:sz w:val="24"/>
          <w:highlight w:val="none"/>
        </w:rPr>
        <w:t>～</w:t>
      </w:r>
      <w:r>
        <w:rPr>
          <w:rFonts w:hint="eastAsia" w:ascii="仿宋" w:hAnsi="仿宋" w:eastAsia="仿宋" w:cs="仿宋"/>
          <w:b/>
          <w:sz w:val="24"/>
          <w:highlight w:val="none"/>
          <w:lang w:val="en-US" w:eastAsia="zh-CN"/>
        </w:rPr>
        <w:t>7.</w:t>
      </w:r>
      <w:r>
        <w:rPr>
          <w:rFonts w:hint="eastAsia" w:ascii="仿宋" w:hAnsi="仿宋" w:eastAsia="仿宋" w:cs="仿宋"/>
          <w:b/>
          <w:bCs/>
          <w:sz w:val="24"/>
          <w:highlight w:val="none"/>
          <w:lang w:val="en-US" w:eastAsia="zh-CN"/>
        </w:rPr>
        <w:t>6</w:t>
      </w:r>
      <w:r>
        <w:rPr>
          <w:rFonts w:hint="eastAsia" w:ascii="仿宋" w:hAnsi="仿宋" w:eastAsia="仿宋" w:cs="仿宋"/>
          <w:b/>
          <w:bCs/>
          <w:sz w:val="24"/>
          <w:highlight w:val="none"/>
        </w:rPr>
        <w:t>资格要求的证明材料，无需再提供下列项证明文件。</w:t>
      </w:r>
      <w:bookmarkEnd w:id="81"/>
      <w:bookmarkEnd w:id="82"/>
    </w:p>
    <w:p w14:paraId="281D25FA">
      <w:pPr>
        <w:spacing w:line="360" w:lineRule="auto"/>
        <w:ind w:firstLine="482" w:firstLineChars="200"/>
        <w:rPr>
          <w:rFonts w:ascii="仿宋" w:hAnsi="仿宋" w:eastAsia="仿宋" w:cs="仿宋"/>
          <w:b/>
          <w:sz w:val="24"/>
          <w:highlight w:val="none"/>
        </w:rPr>
      </w:pPr>
      <w:r>
        <w:rPr>
          <w:rFonts w:hint="eastAsia" w:ascii="仿宋" w:hAnsi="仿宋" w:eastAsia="仿宋" w:cs="仿宋"/>
          <w:b/>
          <w:sz w:val="24"/>
          <w:highlight w:val="none"/>
          <w:lang w:val="en-US" w:eastAsia="zh-CN"/>
        </w:rPr>
        <w:t>7.2</w:t>
      </w:r>
      <w:r>
        <w:rPr>
          <w:rFonts w:hint="eastAsia" w:ascii="仿宋" w:hAnsi="仿宋" w:eastAsia="仿宋" w:cs="仿宋"/>
          <w:b/>
          <w:sz w:val="24"/>
          <w:highlight w:val="none"/>
        </w:rPr>
        <w:t>、</w:t>
      </w:r>
      <w:r>
        <w:rPr>
          <w:rFonts w:hint="eastAsia" w:ascii="仿宋" w:hAnsi="仿宋" w:eastAsia="仿宋" w:cs="仿宋"/>
          <w:b/>
          <w:bCs/>
          <w:sz w:val="24"/>
          <w:highlight w:val="none"/>
        </w:rPr>
        <w:t>具有独立承担民事责任的能力的资格证明文件</w:t>
      </w:r>
    </w:p>
    <w:p w14:paraId="7B9F6734">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如供应商是企业的（包括合伙企业）应提供有效的“企业法人营业执照”或“营业执照”；如供应商是事业单位的应提供“事业单位法人证书”；如供应商是非企业专业服务机构的应提供执业许可证等证明文件；供应商是个体工商户的应提供有效的“个体工商户营业执照”、组织机构代码证证明文件（实行“统一社会信用代码”的不需单独提供组织机构代码证）；如供应商是自然人的，应提供有效的自然人的身份证明(中国公民)。</w:t>
      </w:r>
    </w:p>
    <w:p w14:paraId="0F57945D">
      <w:pPr>
        <w:spacing w:line="360" w:lineRule="auto"/>
        <w:ind w:firstLine="482" w:firstLineChars="200"/>
        <w:rPr>
          <w:rFonts w:ascii="仿宋" w:hAnsi="仿宋" w:eastAsia="仿宋" w:cs="仿宋"/>
          <w:b/>
          <w:sz w:val="24"/>
          <w:szCs w:val="24"/>
          <w:highlight w:val="none"/>
        </w:rPr>
      </w:pPr>
      <w:r>
        <w:rPr>
          <w:rFonts w:hint="eastAsia" w:ascii="仿宋" w:hAnsi="仿宋" w:eastAsia="仿宋" w:cs="仿宋"/>
          <w:b/>
          <w:sz w:val="24"/>
          <w:highlight w:val="none"/>
          <w:lang w:val="en-US" w:eastAsia="zh-CN"/>
        </w:rPr>
        <w:t>7.3</w:t>
      </w:r>
      <w:r>
        <w:rPr>
          <w:rFonts w:hint="eastAsia" w:ascii="仿宋" w:hAnsi="仿宋" w:eastAsia="仿宋" w:cs="仿宋"/>
          <w:b/>
          <w:sz w:val="24"/>
          <w:szCs w:val="24"/>
          <w:highlight w:val="none"/>
        </w:rPr>
        <w:t>、具有良好的商业信誉和健全的财务会计制度的证明文件</w:t>
      </w:r>
    </w:p>
    <w:p w14:paraId="3E6A1F35">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供应商是法人的，提供谈判前</w:t>
      </w:r>
      <w:r>
        <w:rPr>
          <w:rFonts w:hint="eastAsia" w:ascii="仿宋" w:hAnsi="仿宋" w:eastAsia="仿宋" w:cs="仿宋"/>
          <w:sz w:val="24"/>
          <w:highlight w:val="none"/>
        </w:rPr>
        <w:t>二</w:t>
      </w:r>
      <w:r>
        <w:rPr>
          <w:rFonts w:hint="eastAsia" w:ascii="仿宋" w:hAnsi="仿宋" w:eastAsia="仿宋" w:cs="仿宋"/>
          <w:sz w:val="24"/>
          <w:szCs w:val="24"/>
          <w:highlight w:val="none"/>
        </w:rPr>
        <w:t>个年度内任一年度经审计的财务状况报告，或在谈判前</w:t>
      </w:r>
      <w:r>
        <w:rPr>
          <w:rFonts w:hint="eastAsia" w:ascii="仿宋" w:hAnsi="仿宋" w:eastAsia="仿宋" w:cs="仿宋"/>
          <w:sz w:val="24"/>
          <w:highlight w:val="none"/>
        </w:rPr>
        <w:t>三</w:t>
      </w:r>
      <w:r>
        <w:rPr>
          <w:rFonts w:hint="eastAsia" w:ascii="仿宋" w:hAnsi="仿宋" w:eastAsia="仿宋" w:cs="仿宋"/>
          <w:sz w:val="24"/>
          <w:szCs w:val="24"/>
          <w:highlight w:val="none"/>
        </w:rPr>
        <w:t>个月内其基本开户银行出具的资信证明；其他组织和自然人，没有经审计的财务报告，可以提供在谈判前</w:t>
      </w:r>
      <w:r>
        <w:rPr>
          <w:rFonts w:hint="eastAsia" w:ascii="仿宋" w:hAnsi="仿宋" w:eastAsia="仿宋" w:cs="仿宋"/>
          <w:sz w:val="24"/>
          <w:highlight w:val="none"/>
        </w:rPr>
        <w:t>三</w:t>
      </w:r>
      <w:r>
        <w:rPr>
          <w:rFonts w:hint="eastAsia" w:ascii="仿宋" w:hAnsi="仿宋" w:eastAsia="仿宋" w:cs="仿宋"/>
          <w:sz w:val="24"/>
          <w:szCs w:val="24"/>
          <w:highlight w:val="none"/>
        </w:rPr>
        <w:t>个月内银行出具的资信证明；个体工商户提供谈判前</w:t>
      </w:r>
      <w:r>
        <w:rPr>
          <w:rFonts w:hint="eastAsia" w:ascii="仿宋" w:hAnsi="仿宋" w:eastAsia="仿宋" w:cs="仿宋"/>
          <w:sz w:val="24"/>
          <w:highlight w:val="none"/>
        </w:rPr>
        <w:t>三</w:t>
      </w:r>
      <w:r>
        <w:rPr>
          <w:rFonts w:hint="eastAsia" w:ascii="仿宋" w:hAnsi="仿宋" w:eastAsia="仿宋" w:cs="仿宋"/>
          <w:sz w:val="24"/>
          <w:szCs w:val="24"/>
          <w:highlight w:val="none"/>
        </w:rPr>
        <w:t xml:space="preserve">个月内中国人民银行征信中心开具个人信用报告。 </w:t>
      </w:r>
    </w:p>
    <w:p w14:paraId="373DA3C8">
      <w:pPr>
        <w:spacing w:line="360" w:lineRule="auto"/>
        <w:ind w:firstLine="482" w:firstLineChars="200"/>
        <w:rPr>
          <w:rFonts w:ascii="仿宋" w:hAnsi="仿宋" w:eastAsia="仿宋" w:cs="仿宋"/>
          <w:b/>
          <w:sz w:val="24"/>
          <w:szCs w:val="24"/>
          <w:highlight w:val="none"/>
        </w:rPr>
      </w:pPr>
      <w:r>
        <w:rPr>
          <w:rFonts w:hint="eastAsia" w:ascii="仿宋" w:hAnsi="仿宋" w:eastAsia="仿宋" w:cs="仿宋"/>
          <w:b/>
          <w:sz w:val="24"/>
          <w:highlight w:val="none"/>
          <w:lang w:val="en-US" w:eastAsia="zh-CN"/>
        </w:rPr>
        <w:t>7.4</w:t>
      </w:r>
      <w:r>
        <w:rPr>
          <w:rFonts w:hint="eastAsia" w:ascii="仿宋" w:hAnsi="仿宋" w:eastAsia="仿宋" w:cs="仿宋"/>
          <w:b/>
          <w:sz w:val="24"/>
          <w:szCs w:val="24"/>
          <w:highlight w:val="none"/>
        </w:rPr>
        <w:t>、具有履行合同所必须的设备和专业技术能力的证明文件</w:t>
      </w:r>
    </w:p>
    <w:p w14:paraId="4B2B7170">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供应商提供具有履行合同所必须的设备和专业技术能力的承诺函；</w:t>
      </w:r>
      <w:r>
        <w:rPr>
          <w:rFonts w:hint="eastAsia" w:ascii="仿宋" w:hAnsi="仿宋" w:eastAsia="仿宋" w:cs="仿宋"/>
          <w:kern w:val="0"/>
          <w:sz w:val="24"/>
          <w:szCs w:val="24"/>
          <w:highlight w:val="none"/>
        </w:rPr>
        <w:t>（格式自拟）</w:t>
      </w:r>
    </w:p>
    <w:p w14:paraId="275C9965">
      <w:pPr>
        <w:spacing w:line="360" w:lineRule="auto"/>
        <w:ind w:firstLine="482" w:firstLineChars="200"/>
        <w:rPr>
          <w:rFonts w:ascii="仿宋" w:hAnsi="仿宋" w:eastAsia="仿宋" w:cs="仿宋"/>
          <w:sz w:val="24"/>
          <w:szCs w:val="24"/>
          <w:highlight w:val="none"/>
        </w:rPr>
      </w:pPr>
      <w:r>
        <w:rPr>
          <w:rFonts w:hint="eastAsia" w:ascii="仿宋" w:hAnsi="仿宋" w:eastAsia="仿宋" w:cs="仿宋"/>
          <w:b/>
          <w:sz w:val="24"/>
          <w:highlight w:val="none"/>
          <w:lang w:val="en-US" w:eastAsia="zh-CN"/>
        </w:rPr>
        <w:t>7.5</w:t>
      </w:r>
      <w:r>
        <w:rPr>
          <w:rFonts w:hint="eastAsia" w:ascii="仿宋" w:hAnsi="仿宋" w:eastAsia="仿宋" w:cs="仿宋"/>
          <w:b/>
          <w:sz w:val="24"/>
          <w:szCs w:val="24"/>
          <w:highlight w:val="none"/>
        </w:rPr>
        <w:t>、有依法缴纳税收和社会保障资金的良好记录的证明文件</w:t>
      </w:r>
    </w:p>
    <w:p w14:paraId="2B571F6F">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税务登记证（实行“统一社会信用代码”的不需单独提供）和谈判前</w:t>
      </w:r>
      <w:r>
        <w:rPr>
          <w:rFonts w:hint="eastAsia" w:ascii="仿宋" w:hAnsi="仿宋" w:eastAsia="仿宋" w:cs="仿宋"/>
          <w:sz w:val="24"/>
          <w:highlight w:val="none"/>
        </w:rPr>
        <w:t>六</w:t>
      </w:r>
      <w:r>
        <w:rPr>
          <w:rFonts w:hint="eastAsia" w:ascii="仿宋" w:hAnsi="仿宋" w:eastAsia="仿宋" w:cs="仿宋"/>
          <w:sz w:val="24"/>
          <w:szCs w:val="24"/>
          <w:highlight w:val="none"/>
        </w:rPr>
        <w:t>个月内任意一个月的企业缴税凭证或证明；</w:t>
      </w:r>
    </w:p>
    <w:p w14:paraId="12919AB2">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谈判前</w:t>
      </w:r>
      <w:r>
        <w:rPr>
          <w:rFonts w:hint="eastAsia" w:ascii="仿宋" w:hAnsi="仿宋" w:eastAsia="仿宋" w:cs="仿宋"/>
          <w:sz w:val="24"/>
          <w:highlight w:val="none"/>
        </w:rPr>
        <w:t>六</w:t>
      </w:r>
      <w:r>
        <w:rPr>
          <w:rFonts w:hint="eastAsia" w:ascii="仿宋" w:hAnsi="仿宋" w:eastAsia="仿宋" w:cs="仿宋"/>
          <w:sz w:val="24"/>
          <w:szCs w:val="24"/>
          <w:highlight w:val="none"/>
        </w:rPr>
        <w:t>个月内任意一个月的缴纳社会保障资金的凭证或当地社会保障局出具的缴纳明细。依法免税或不需要缴纳社会保障资金的供应商，应当提供相关文件证明其依法免税或不需要缴纳社会保障资金。</w:t>
      </w:r>
    </w:p>
    <w:p w14:paraId="2CB9018A">
      <w:pPr>
        <w:spacing w:line="360" w:lineRule="auto"/>
        <w:ind w:firstLine="482" w:firstLineChars="200"/>
        <w:rPr>
          <w:rFonts w:ascii="仿宋" w:hAnsi="仿宋" w:eastAsia="仿宋" w:cs="仿宋"/>
          <w:sz w:val="24"/>
          <w:szCs w:val="24"/>
          <w:highlight w:val="none"/>
        </w:rPr>
      </w:pPr>
      <w:r>
        <w:rPr>
          <w:rFonts w:hint="eastAsia" w:ascii="仿宋" w:hAnsi="仿宋" w:eastAsia="仿宋" w:cs="仿宋"/>
          <w:b/>
          <w:sz w:val="24"/>
          <w:highlight w:val="none"/>
          <w:lang w:val="en-US" w:eastAsia="zh-CN"/>
        </w:rPr>
        <w:t>7.6</w:t>
      </w:r>
      <w:r>
        <w:rPr>
          <w:rFonts w:hint="eastAsia" w:ascii="仿宋" w:hAnsi="仿宋" w:eastAsia="仿宋" w:cs="仿宋"/>
          <w:b/>
          <w:sz w:val="24"/>
          <w:szCs w:val="24"/>
          <w:highlight w:val="none"/>
        </w:rPr>
        <w:t>、参加采购前三年内,在经营活动中没有重大违法记录的证明文件</w:t>
      </w:r>
    </w:p>
    <w:p w14:paraId="44ADF777">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参加采购前三年内,在经营活动中没有重大违法记录承诺函；</w:t>
      </w:r>
      <w:r>
        <w:rPr>
          <w:rFonts w:hint="eastAsia" w:ascii="仿宋" w:hAnsi="仿宋" w:eastAsia="仿宋" w:cs="仿宋"/>
          <w:kern w:val="0"/>
          <w:sz w:val="24"/>
          <w:szCs w:val="24"/>
          <w:highlight w:val="none"/>
        </w:rPr>
        <w:t>（格式自拟）</w:t>
      </w:r>
    </w:p>
    <w:p w14:paraId="257CE6BB">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重大违法记录，是指供应商因违法经营受到刑事处罚或者责令停产停业、吊销许可证或者执照、较大罚款等行政处罚。</w:t>
      </w:r>
    </w:p>
    <w:p w14:paraId="79B15048">
      <w:pPr>
        <w:widowControl w:val="0"/>
        <w:spacing w:line="560" w:lineRule="exact"/>
        <w:ind w:left="323" w:leftChars="154" w:right="99" w:firstLine="482" w:firstLineChars="200"/>
        <w:jc w:val="both"/>
        <w:outlineLvl w:val="9"/>
        <w:rPr>
          <w:rFonts w:ascii="宋体" w:hAnsi="宋体" w:eastAsia="宋体" w:cs="宋体"/>
          <w:color w:val="auto"/>
          <w:sz w:val="24"/>
          <w:szCs w:val="24"/>
          <w:lang w:eastAsia="zh-CN"/>
        </w:rPr>
      </w:pPr>
      <w:r>
        <w:rPr>
          <w:rFonts w:hint="eastAsia" w:ascii="宋体" w:hAnsi="宋体" w:eastAsia="宋体" w:cs="宋体"/>
          <w:b/>
          <w:bCs/>
          <w:color w:val="auto"/>
          <w:sz w:val="24"/>
          <w:szCs w:val="24"/>
          <w:lang w:eastAsia="zh-CN"/>
        </w:rPr>
        <w:t>备注：本项目对特定资格要求有规定并需要提供证明材料的，从其规定，与本条款不冲突。</w:t>
      </w:r>
    </w:p>
    <w:p w14:paraId="5C2631F0">
      <w:pPr>
        <w:rPr>
          <w:rFonts w:hint="eastAsia" w:ascii="仿宋" w:hAnsi="仿宋" w:eastAsia="仿宋" w:cs="仿宋"/>
          <w:b/>
          <w:bCs/>
          <w:sz w:val="28"/>
          <w:szCs w:val="28"/>
          <w:highlight w:val="none"/>
        </w:rPr>
      </w:pPr>
    </w:p>
    <w:p w14:paraId="4DE962A3">
      <w:pPr>
        <w:spacing w:line="360" w:lineRule="auto"/>
        <w:jc w:val="center"/>
        <w:rPr>
          <w:rFonts w:hint="eastAsia" w:ascii="仿宋" w:hAnsi="仿宋" w:eastAsia="仿宋" w:cs="仿宋"/>
          <w:b/>
          <w:bCs/>
          <w:sz w:val="28"/>
          <w:szCs w:val="28"/>
          <w:highlight w:val="none"/>
        </w:rPr>
      </w:pPr>
    </w:p>
    <w:p w14:paraId="3F44504E">
      <w:pPr>
        <w:spacing w:line="360" w:lineRule="auto"/>
        <w:jc w:val="center"/>
        <w:rPr>
          <w:rFonts w:ascii="仿宋" w:hAnsi="仿宋" w:eastAsia="仿宋" w:cs="仿宋"/>
          <w:sz w:val="24"/>
          <w:highlight w:val="none"/>
        </w:rPr>
      </w:pPr>
      <w:r>
        <w:rPr>
          <w:rFonts w:hint="eastAsia" w:ascii="仿宋" w:hAnsi="仿宋" w:eastAsia="仿宋" w:cs="仿宋"/>
          <w:b/>
          <w:bCs/>
          <w:sz w:val="28"/>
          <w:szCs w:val="28"/>
          <w:highlight w:val="none"/>
        </w:rPr>
        <w:t>格式</w:t>
      </w:r>
      <w:r>
        <w:rPr>
          <w:rFonts w:hint="eastAsia" w:ascii="仿宋" w:hAnsi="仿宋" w:eastAsia="仿宋" w:cs="仿宋"/>
          <w:b/>
          <w:bCs/>
          <w:sz w:val="28"/>
          <w:szCs w:val="28"/>
          <w:highlight w:val="none"/>
          <w:lang w:val="en-US" w:eastAsia="zh-CN"/>
        </w:rPr>
        <w:t>7</w:t>
      </w:r>
      <w:r>
        <w:rPr>
          <w:rFonts w:hint="eastAsia" w:ascii="仿宋" w:hAnsi="仿宋" w:eastAsia="仿宋" w:cs="仿宋"/>
          <w:b/>
          <w:bCs/>
          <w:sz w:val="28"/>
          <w:szCs w:val="28"/>
          <w:highlight w:val="none"/>
        </w:rPr>
        <w:t>-</w:t>
      </w:r>
      <w:r>
        <w:rPr>
          <w:rFonts w:hint="eastAsia" w:ascii="仿宋" w:hAnsi="仿宋" w:eastAsia="仿宋" w:cs="仿宋"/>
          <w:b/>
          <w:bCs/>
          <w:sz w:val="28"/>
          <w:szCs w:val="28"/>
          <w:highlight w:val="none"/>
          <w:lang w:val="en-US" w:eastAsia="zh-CN"/>
        </w:rPr>
        <w:t>7</w:t>
      </w:r>
      <w:r>
        <w:rPr>
          <w:rFonts w:hint="eastAsia" w:ascii="仿宋" w:hAnsi="仿宋" w:eastAsia="仿宋" w:cs="仿宋"/>
          <w:b/>
          <w:bCs/>
          <w:sz w:val="28"/>
          <w:szCs w:val="28"/>
          <w:highlight w:val="none"/>
        </w:rPr>
        <w:t>.  法定代表人授权书</w:t>
      </w:r>
    </w:p>
    <w:p w14:paraId="303C4DF0">
      <w:pPr>
        <w:spacing w:line="440" w:lineRule="exac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致：</w:t>
      </w:r>
      <w:r>
        <w:rPr>
          <w:rFonts w:hint="eastAsia" w:ascii="仿宋" w:hAnsi="仿宋" w:eastAsia="仿宋" w:cs="仿宋"/>
          <w:sz w:val="24"/>
          <w:szCs w:val="24"/>
          <w:highlight w:val="none"/>
          <w:lang w:eastAsia="zh-CN"/>
        </w:rPr>
        <w:t>江西中铖工程管理有限公司</w:t>
      </w:r>
    </w:p>
    <w:p w14:paraId="75B6F0A9">
      <w:pPr>
        <w:spacing w:line="440" w:lineRule="exact"/>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（供应商全称）法定代表人授权（全权代表姓名）为全权代表,参加贵处组织的（项目编号）项目谈判活动，全权代表我方处理谈判活动中的一切事宜。</w:t>
      </w:r>
    </w:p>
    <w:p w14:paraId="21C027B7">
      <w:pPr>
        <w:spacing w:line="440" w:lineRule="exact"/>
        <w:rPr>
          <w:rFonts w:ascii="仿宋" w:hAnsi="仿宋" w:eastAsia="仿宋" w:cs="仿宋"/>
          <w:sz w:val="24"/>
          <w:szCs w:val="24"/>
          <w:highlight w:val="none"/>
        </w:rPr>
      </w:pPr>
    </w:p>
    <w:p w14:paraId="604EFF7B">
      <w:pPr>
        <w:spacing w:line="440" w:lineRule="exact"/>
        <w:rPr>
          <w:rFonts w:ascii="仿宋" w:hAnsi="仿宋" w:eastAsia="仿宋" w:cs="仿宋"/>
          <w:sz w:val="24"/>
          <w:szCs w:val="24"/>
          <w:highlight w:val="none"/>
        </w:rPr>
      </w:pPr>
    </w:p>
    <w:p w14:paraId="732AA076">
      <w:pPr>
        <w:spacing w:line="440" w:lineRule="exact"/>
        <w:rPr>
          <w:rFonts w:ascii="仿宋" w:hAnsi="仿宋" w:eastAsia="仿宋" w:cs="仿宋"/>
          <w:sz w:val="24"/>
          <w:szCs w:val="24"/>
          <w:highlight w:val="none"/>
        </w:rPr>
      </w:pPr>
    </w:p>
    <w:p w14:paraId="27902FA0">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法定代表人签字或签章：</w:t>
      </w:r>
    </w:p>
    <w:p w14:paraId="03D916FE">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供应商盖章：</w:t>
      </w:r>
    </w:p>
    <w:p w14:paraId="34A16432">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日期：</w:t>
      </w:r>
    </w:p>
    <w:p w14:paraId="131D4ADE">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附：</w:t>
      </w:r>
    </w:p>
    <w:p w14:paraId="14310885">
      <w:pPr>
        <w:spacing w:line="360" w:lineRule="auto"/>
        <w:ind w:firstLine="480" w:firstLineChars="200"/>
        <w:rPr>
          <w:rFonts w:ascii="仿宋" w:hAnsi="仿宋" w:eastAsia="仿宋" w:cs="仿宋"/>
          <w:sz w:val="24"/>
          <w:szCs w:val="24"/>
          <w:highlight w:val="none"/>
          <w:u w:val="single"/>
        </w:rPr>
      </w:pPr>
      <w:r>
        <w:rPr>
          <w:rFonts w:hint="eastAsia" w:ascii="仿宋" w:hAnsi="仿宋" w:eastAsia="仿宋" w:cs="仿宋"/>
          <w:sz w:val="24"/>
          <w:szCs w:val="24"/>
          <w:highlight w:val="none"/>
        </w:rPr>
        <w:t>全权代表姓名：</w:t>
      </w:r>
    </w:p>
    <w:p w14:paraId="4AC449D3">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职务：</w:t>
      </w:r>
    </w:p>
    <w:p w14:paraId="572D58B5">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电话：</w:t>
      </w:r>
    </w:p>
    <w:p w14:paraId="2B1218E6">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详细通讯地址：</w:t>
      </w:r>
    </w:p>
    <w:p w14:paraId="25C635FF">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邮政编码：</w:t>
      </w:r>
    </w:p>
    <w:p w14:paraId="4A933307">
      <w:pPr>
        <w:rPr>
          <w:rFonts w:ascii="仿宋" w:hAnsi="仿宋" w:eastAsia="仿宋" w:cs="仿宋"/>
          <w:sz w:val="24"/>
          <w:szCs w:val="24"/>
          <w:highlight w:val="none"/>
        </w:rPr>
      </w:pPr>
    </w:p>
    <w:p w14:paraId="5E9B4B98">
      <w:pPr>
        <w:spacing w:line="440" w:lineRule="exact"/>
        <w:rPr>
          <w:rFonts w:ascii="仿宋" w:hAnsi="仿宋" w:eastAsia="仿宋" w:cs="仿宋"/>
          <w:sz w:val="24"/>
          <w:szCs w:val="24"/>
          <w:highlight w:val="none"/>
        </w:rPr>
      </w:pPr>
    </w:p>
    <w:p w14:paraId="21224B3D">
      <w:pPr>
        <w:spacing w:line="440" w:lineRule="exact"/>
        <w:rPr>
          <w:rFonts w:ascii="仿宋" w:hAnsi="仿宋" w:eastAsia="仿宋" w:cs="仿宋"/>
          <w:sz w:val="24"/>
          <w:szCs w:val="24"/>
          <w:highlight w:val="none"/>
        </w:rPr>
      </w:pPr>
    </w:p>
    <w:p w14:paraId="22E0DBB2">
      <w:pPr>
        <w:spacing w:line="440" w:lineRule="exact"/>
        <w:rPr>
          <w:rFonts w:ascii="仿宋" w:hAnsi="仿宋" w:eastAsia="仿宋" w:cs="仿宋"/>
          <w:sz w:val="24"/>
          <w:szCs w:val="24"/>
          <w:highlight w:val="none"/>
        </w:rPr>
      </w:pPr>
    </w:p>
    <w:p w14:paraId="7983269C">
      <w:pPr>
        <w:keepNext w:val="0"/>
        <w:keepLines w:val="0"/>
        <w:pageBreakBefore w:val="0"/>
        <w:widowControl w:val="0"/>
        <w:shd w:val="clear"/>
        <w:kinsoku w:val="0"/>
        <w:wordWrap/>
        <w:overflowPunct/>
        <w:topLinePunct w:val="0"/>
        <w:autoSpaceDE w:val="0"/>
        <w:autoSpaceDN w:val="0"/>
        <w:bidi w:val="0"/>
        <w:adjustRightInd w:val="0"/>
        <w:snapToGrid w:val="0"/>
        <w:spacing w:before="79" w:line="360" w:lineRule="auto"/>
        <w:textAlignment w:val="baseline"/>
        <w:rPr>
          <w:rFonts w:hint="eastAsia" w:ascii="仿宋" w:hAnsi="仿宋" w:eastAsia="仿宋" w:cs="仿宋"/>
          <w:color w:val="auto"/>
          <w:highlight w:val="none"/>
          <w:lang w:eastAsia="zh-CN"/>
        </w:rPr>
      </w:pPr>
      <w:bookmarkStart w:id="83" w:name="_Toc262628298"/>
      <w:bookmarkStart w:id="84" w:name="_Toc262628299"/>
      <w:r>
        <w:rPr>
          <w:rFonts w:hint="eastAsia" w:ascii="仿宋" w:hAnsi="仿宋" w:eastAsia="仿宋" w:cs="仿宋"/>
          <w:color w:val="auto"/>
          <w:spacing w:val="-2"/>
          <w:sz w:val="24"/>
          <w:szCs w:val="24"/>
          <w:highlight w:val="none"/>
          <w:lang w:eastAsia="zh-CN"/>
        </w:rPr>
        <w:t>附：法定代表人</w:t>
      </w:r>
      <w:r>
        <w:rPr>
          <w:rFonts w:hint="eastAsia" w:ascii="仿宋" w:hAnsi="仿宋" w:eastAsia="仿宋" w:cs="仿宋"/>
          <w:color w:val="auto"/>
          <w:spacing w:val="-2"/>
          <w:sz w:val="24"/>
          <w:szCs w:val="24"/>
          <w:highlight w:val="none"/>
          <w:lang w:val="en-US" w:eastAsia="zh-CN"/>
        </w:rPr>
        <w:t>及全权代表</w:t>
      </w:r>
      <w:r>
        <w:rPr>
          <w:rFonts w:hint="eastAsia" w:ascii="仿宋" w:hAnsi="仿宋" w:eastAsia="仿宋" w:cs="仿宋"/>
          <w:color w:val="auto"/>
          <w:spacing w:val="-2"/>
          <w:sz w:val="24"/>
          <w:szCs w:val="24"/>
          <w:highlight w:val="none"/>
          <w:lang w:eastAsia="zh-CN"/>
        </w:rPr>
        <w:t>身份证扫描件（正、反面）</w:t>
      </w:r>
    </w:p>
    <w:p w14:paraId="2798ABE5">
      <w:pPr>
        <w:keepNext w:val="0"/>
        <w:keepLines w:val="0"/>
        <w:pageBreakBefore w:val="0"/>
        <w:widowControl w:val="0"/>
        <w:shd w:val="clear"/>
        <w:kinsoku w:val="0"/>
        <w:wordWrap/>
        <w:overflowPunct/>
        <w:topLinePunct w:val="0"/>
        <w:autoSpaceDE w:val="0"/>
        <w:autoSpaceDN w:val="0"/>
        <w:bidi w:val="0"/>
        <w:adjustRightInd w:val="0"/>
        <w:snapToGrid w:val="0"/>
        <w:spacing w:before="78" w:line="360" w:lineRule="auto"/>
        <w:ind w:left="40"/>
        <w:textAlignment w:val="baseline"/>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14:textOutline w14:w="4356" w14:cap="sq" w14:cmpd="sng" w14:algn="ctr">
            <w14:solidFill>
              <w14:srgbClr w14:val="000000"/>
            </w14:solidFill>
            <w14:prstDash w14:val="solid"/>
            <w14:bevel/>
          </w14:textOutline>
        </w:rPr>
        <w:t>说明：法定代表人参加采购，不用提供授权书。</w:t>
      </w:r>
    </w:p>
    <w:p w14:paraId="3E74BA6E">
      <w:pPr>
        <w:tabs>
          <w:tab w:val="left" w:pos="1470"/>
        </w:tabs>
        <w:spacing w:line="432" w:lineRule="auto"/>
        <w:rPr>
          <w:rFonts w:hint="eastAsia" w:ascii="仿宋" w:hAnsi="仿宋" w:eastAsia="仿宋" w:cs="仿宋"/>
          <w:b/>
          <w:sz w:val="24"/>
          <w:szCs w:val="24"/>
          <w:highlight w:val="none"/>
        </w:rPr>
      </w:pPr>
    </w:p>
    <w:p w14:paraId="40C0F659">
      <w:pPr>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br w:type="page"/>
      </w:r>
    </w:p>
    <w:p w14:paraId="763CB96D">
      <w:pPr>
        <w:shd w:val="clear"/>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pacing w:val="-2"/>
          <w:sz w:val="24"/>
          <w:szCs w:val="24"/>
          <w:highlight w:val="none"/>
          <w:lang w:eastAsia="zh-CN"/>
          <w14:textOutline w14:w="4356" w14:cap="sq" w14:cmpd="sng" w14:algn="ctr">
            <w14:solidFill>
              <w14:srgbClr w14:val="000000"/>
            </w14:solidFill>
            <w14:prstDash w14:val="solid"/>
            <w14:bevel/>
          </w14:textOutline>
        </w:rPr>
        <w:t>法定代表人（</w:t>
      </w:r>
      <w:r>
        <w:rPr>
          <w:rFonts w:hint="eastAsia" w:ascii="仿宋" w:hAnsi="仿宋" w:eastAsia="仿宋" w:cs="仿宋"/>
          <w:color w:val="auto"/>
          <w:spacing w:val="-2"/>
          <w:sz w:val="24"/>
          <w:szCs w:val="24"/>
          <w:highlight w:val="none"/>
          <w:lang w:val="en-US" w:eastAsia="zh-CN"/>
          <w14:textOutline w14:w="4356" w14:cap="sq" w14:cmpd="sng" w14:algn="ctr">
            <w14:solidFill>
              <w14:srgbClr w14:val="000000"/>
            </w14:solidFill>
            <w14:prstDash w14:val="solid"/>
            <w14:bevel/>
          </w14:textOutline>
        </w:rPr>
        <w:t>单位负责人）资格声明</w:t>
      </w:r>
    </w:p>
    <w:p w14:paraId="0E957E74">
      <w:pPr>
        <w:pageBreakBefore w:val="0"/>
        <w:widowControl w:val="0"/>
        <w:shd w:val="clear"/>
        <w:wordWrap/>
        <w:overflowPunct/>
        <w:topLinePunct w:val="0"/>
        <w:bidi w:val="0"/>
        <w:spacing w:line="276" w:lineRule="auto"/>
        <w:rPr>
          <w:rFonts w:hint="eastAsia" w:ascii="仿宋" w:hAnsi="仿宋" w:eastAsia="仿宋" w:cs="仿宋"/>
          <w:color w:val="auto"/>
          <w:highlight w:val="none"/>
          <w:lang w:eastAsia="zh-CN"/>
        </w:rPr>
      </w:pPr>
    </w:p>
    <w:p w14:paraId="57AE3F41">
      <w:pPr>
        <w:pageBreakBefore w:val="0"/>
        <w:widowControl w:val="0"/>
        <w:shd w:val="clear"/>
        <w:wordWrap/>
        <w:overflowPunct/>
        <w:topLinePunct w:val="0"/>
        <w:bidi w:val="0"/>
        <w:spacing w:line="276" w:lineRule="auto"/>
        <w:rPr>
          <w:rFonts w:hint="eastAsia" w:ascii="仿宋" w:hAnsi="仿宋" w:eastAsia="仿宋" w:cs="仿宋"/>
          <w:color w:val="auto"/>
          <w:highlight w:val="none"/>
          <w:lang w:eastAsia="zh-CN"/>
        </w:rPr>
      </w:pPr>
    </w:p>
    <w:p w14:paraId="7628A66E">
      <w:pPr>
        <w:keepNext w:val="0"/>
        <w:keepLines w:val="0"/>
        <w:pageBreakBefore w:val="0"/>
        <w:widowControl w:val="0"/>
        <w:shd w:val="clear"/>
        <w:kinsoku w:val="0"/>
        <w:wordWrap/>
        <w:overflowPunct/>
        <w:topLinePunct w:val="0"/>
        <w:autoSpaceDE w:val="0"/>
        <w:autoSpaceDN w:val="0"/>
        <w:bidi w:val="0"/>
        <w:adjustRightInd w:val="0"/>
        <w:snapToGrid w:val="0"/>
        <w:spacing w:before="78" w:line="360" w:lineRule="auto"/>
        <w:ind w:left="37"/>
        <w:textAlignment w:val="baseline"/>
        <w:rPr>
          <w:rFonts w:hint="eastAsia" w:ascii="仿宋" w:hAnsi="仿宋" w:eastAsia="仿宋" w:cs="仿宋"/>
          <w:color w:val="auto"/>
          <w:highlight w:val="none"/>
          <w:u w:val="single"/>
          <w:lang w:val="en-US" w:eastAsia="zh-CN"/>
        </w:rPr>
      </w:pPr>
      <w:r>
        <w:rPr>
          <w:rFonts w:hint="eastAsia" w:ascii="仿宋" w:hAnsi="仿宋" w:eastAsia="仿宋" w:cs="仿宋"/>
          <w:color w:val="auto"/>
          <w:spacing w:val="-1"/>
          <w:sz w:val="24"/>
          <w:szCs w:val="24"/>
          <w:highlight w:val="none"/>
          <w:lang w:eastAsia="zh-CN"/>
        </w:rPr>
        <w:t>致：</w:t>
      </w:r>
      <w:r>
        <w:rPr>
          <w:rFonts w:hint="eastAsia" w:ascii="仿宋" w:hAnsi="仿宋" w:eastAsia="仿宋" w:cs="仿宋"/>
          <w:color w:val="auto"/>
          <w:spacing w:val="-1"/>
          <w:sz w:val="24"/>
          <w:szCs w:val="24"/>
          <w:highlight w:val="none"/>
          <w:u w:val="single"/>
          <w:lang w:eastAsia="zh-CN"/>
        </w:rPr>
        <w:t>采购代理机构名称</w:t>
      </w:r>
      <w:r>
        <w:rPr>
          <w:rFonts w:hint="eastAsia" w:ascii="仿宋" w:hAnsi="仿宋" w:eastAsia="仿宋" w:cs="仿宋"/>
          <w:color w:val="auto"/>
          <w:spacing w:val="-1"/>
          <w:sz w:val="24"/>
          <w:szCs w:val="24"/>
          <w:highlight w:val="none"/>
          <w:u w:val="single"/>
          <w:lang w:val="en-US" w:eastAsia="zh-CN"/>
        </w:rPr>
        <w:t xml:space="preserve">  </w:t>
      </w:r>
    </w:p>
    <w:p w14:paraId="7F5B8FE7">
      <w:pPr>
        <w:keepNext w:val="0"/>
        <w:keepLines w:val="0"/>
        <w:pageBreakBefore w:val="0"/>
        <w:widowControl w:val="0"/>
        <w:shd w:val="clear"/>
        <w:tabs>
          <w:tab w:val="left" w:pos="2548"/>
        </w:tabs>
        <w:kinsoku w:val="0"/>
        <w:wordWrap/>
        <w:overflowPunct/>
        <w:topLinePunct w:val="0"/>
        <w:autoSpaceDE w:val="0"/>
        <w:autoSpaceDN w:val="0"/>
        <w:bidi w:val="0"/>
        <w:adjustRightInd w:val="0"/>
        <w:snapToGrid w:val="0"/>
        <w:spacing w:before="78" w:line="480" w:lineRule="auto"/>
        <w:jc w:val="both"/>
        <w:textAlignment w:val="baseline"/>
        <w:rPr>
          <w:rFonts w:hint="eastAsia"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兹证明：</w:t>
      </w:r>
    </w:p>
    <w:p w14:paraId="35CFC1D0">
      <w:pPr>
        <w:keepNext w:val="0"/>
        <w:keepLines w:val="0"/>
        <w:pageBreakBefore w:val="0"/>
        <w:widowControl w:val="0"/>
        <w:shd w:val="clear"/>
        <w:tabs>
          <w:tab w:val="left" w:pos="2548"/>
        </w:tabs>
        <w:kinsoku w:val="0"/>
        <w:wordWrap/>
        <w:overflowPunct/>
        <w:topLinePunct w:val="0"/>
        <w:autoSpaceDE w:val="0"/>
        <w:autoSpaceDN w:val="0"/>
        <w:bidi w:val="0"/>
        <w:adjustRightInd w:val="0"/>
        <w:snapToGrid w:val="0"/>
        <w:spacing w:before="78" w:line="480" w:lineRule="auto"/>
        <w:jc w:val="both"/>
        <w:textAlignment w:val="baseline"/>
        <w:rPr>
          <w:rFonts w:hint="eastAsia"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u w:val="none"/>
          <w:lang w:val="en-US" w:eastAsia="zh-CN"/>
        </w:rPr>
        <w:t>姓名：</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none"/>
          <w:lang w:val="en-US" w:eastAsia="zh-CN"/>
        </w:rPr>
        <w:t>性别：</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none"/>
          <w:lang w:val="en-US" w:eastAsia="zh-CN"/>
        </w:rPr>
        <w:t>年龄：</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none"/>
          <w:lang w:val="en-US" w:eastAsia="zh-CN"/>
        </w:rPr>
        <w:t>职务：</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u w:val="none"/>
          <w:lang w:val="en-US" w:eastAsia="zh-CN"/>
        </w:rPr>
        <w:t>系</w:t>
      </w:r>
      <w:r>
        <w:rPr>
          <w:rFonts w:hint="eastAsia" w:ascii="仿宋" w:hAnsi="仿宋" w:eastAsia="仿宋" w:cs="仿宋"/>
          <w:color w:val="auto"/>
          <w:sz w:val="24"/>
          <w:szCs w:val="24"/>
          <w:highlight w:val="none"/>
          <w:u w:val="single"/>
          <w:lang w:val="en-US" w:eastAsia="zh-CN"/>
        </w:rPr>
        <w:t xml:space="preserve">      （供应商名称） </w:t>
      </w:r>
      <w:r>
        <w:rPr>
          <w:rFonts w:hint="eastAsia" w:ascii="仿宋" w:hAnsi="仿宋" w:eastAsia="仿宋" w:cs="仿宋"/>
          <w:color w:val="auto"/>
          <w:sz w:val="24"/>
          <w:szCs w:val="24"/>
          <w:highlight w:val="none"/>
          <w:u w:val="none"/>
          <w:lang w:val="en-US" w:eastAsia="zh-CN"/>
        </w:rPr>
        <w:t>的法定代表人（单位负责人）。</w:t>
      </w:r>
    </w:p>
    <w:p w14:paraId="65283F3B">
      <w:pPr>
        <w:keepNext w:val="0"/>
        <w:keepLines w:val="0"/>
        <w:pageBreakBefore w:val="0"/>
        <w:widowControl w:val="0"/>
        <w:shd w:val="clear"/>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color w:val="auto"/>
          <w:highlight w:val="none"/>
          <w:lang w:eastAsia="zh-CN"/>
        </w:rPr>
      </w:pPr>
    </w:p>
    <w:p w14:paraId="04E31D94">
      <w:pPr>
        <w:keepNext w:val="0"/>
        <w:keepLines w:val="0"/>
        <w:pageBreakBefore w:val="0"/>
        <w:widowControl w:val="0"/>
        <w:shd w:val="clear"/>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color w:val="auto"/>
          <w:highlight w:val="none"/>
          <w:lang w:eastAsia="zh-CN"/>
        </w:rPr>
      </w:pPr>
    </w:p>
    <w:p w14:paraId="2D67AC07">
      <w:pPr>
        <w:keepNext w:val="0"/>
        <w:keepLines w:val="0"/>
        <w:pageBreakBefore w:val="0"/>
        <w:widowControl w:val="0"/>
        <w:shd w:val="clear"/>
        <w:kinsoku w:val="0"/>
        <w:wordWrap/>
        <w:overflowPunct/>
        <w:topLinePunct w:val="0"/>
        <w:autoSpaceDE w:val="0"/>
        <w:autoSpaceDN w:val="0"/>
        <w:bidi w:val="0"/>
        <w:adjustRightInd w:val="0"/>
        <w:snapToGrid w:val="0"/>
        <w:spacing w:before="78" w:line="360" w:lineRule="auto"/>
        <w:jc w:val="both"/>
        <w:textAlignment w:val="baseline"/>
        <w:rPr>
          <w:rFonts w:hint="eastAsia" w:ascii="仿宋" w:hAnsi="仿宋" w:eastAsia="仿宋" w:cs="仿宋"/>
          <w:color w:val="auto"/>
          <w:sz w:val="24"/>
          <w:szCs w:val="24"/>
          <w:highlight w:val="none"/>
          <w:lang w:eastAsia="zh-CN"/>
        </w:rPr>
      </w:pPr>
      <w:r>
        <w:rPr>
          <w:rFonts w:hint="eastAsia" w:ascii="仿宋" w:hAnsi="仿宋" w:eastAsia="仿宋" w:cs="仿宋"/>
          <w:color w:val="auto"/>
          <w:spacing w:val="-1"/>
          <w:sz w:val="24"/>
          <w:szCs w:val="24"/>
          <w:highlight w:val="none"/>
          <w:lang w:eastAsia="zh-CN"/>
        </w:rPr>
        <w:t>法定代表人（</w:t>
      </w:r>
      <w:r>
        <w:rPr>
          <w:rFonts w:hint="eastAsia" w:ascii="仿宋" w:hAnsi="仿宋" w:eastAsia="仿宋" w:cs="仿宋"/>
          <w:color w:val="auto"/>
          <w:spacing w:val="-1"/>
          <w:sz w:val="24"/>
          <w:szCs w:val="24"/>
          <w:highlight w:val="none"/>
          <w:lang w:val="en-US" w:eastAsia="zh-CN"/>
        </w:rPr>
        <w:t>单位负责人）</w:t>
      </w:r>
      <w:r>
        <w:rPr>
          <w:rFonts w:hint="eastAsia" w:ascii="仿宋" w:hAnsi="仿宋" w:eastAsia="仿宋" w:cs="仿宋"/>
          <w:color w:val="auto"/>
          <w:spacing w:val="-1"/>
          <w:sz w:val="24"/>
          <w:szCs w:val="24"/>
          <w:highlight w:val="none"/>
          <w:lang w:eastAsia="zh-CN"/>
        </w:rPr>
        <w:t>签字或签章：</w:t>
      </w:r>
    </w:p>
    <w:p w14:paraId="0BA7B2E0">
      <w:pPr>
        <w:keepNext w:val="0"/>
        <w:keepLines w:val="0"/>
        <w:pageBreakBefore w:val="0"/>
        <w:widowControl w:val="0"/>
        <w:shd w:val="clear"/>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color w:val="auto"/>
          <w:highlight w:val="none"/>
          <w:lang w:eastAsia="zh-CN"/>
        </w:rPr>
      </w:pPr>
    </w:p>
    <w:p w14:paraId="4BD68DA2">
      <w:pPr>
        <w:keepNext w:val="0"/>
        <w:keepLines w:val="0"/>
        <w:pageBreakBefore w:val="0"/>
        <w:widowControl w:val="0"/>
        <w:shd w:val="clear"/>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color w:val="auto"/>
          <w:highlight w:val="none"/>
          <w:lang w:eastAsia="zh-CN"/>
        </w:rPr>
      </w:pPr>
    </w:p>
    <w:p w14:paraId="4D617D6C">
      <w:pPr>
        <w:keepNext w:val="0"/>
        <w:keepLines w:val="0"/>
        <w:pageBreakBefore w:val="0"/>
        <w:widowControl w:val="0"/>
        <w:shd w:val="clear"/>
        <w:kinsoku w:val="0"/>
        <w:wordWrap/>
        <w:overflowPunct/>
        <w:topLinePunct w:val="0"/>
        <w:autoSpaceDE w:val="0"/>
        <w:autoSpaceDN w:val="0"/>
        <w:bidi w:val="0"/>
        <w:adjustRightInd w:val="0"/>
        <w:snapToGrid w:val="0"/>
        <w:spacing w:before="79" w:line="360" w:lineRule="auto"/>
        <w:textAlignment w:val="baseline"/>
        <w:rPr>
          <w:rFonts w:hint="eastAsia" w:ascii="仿宋" w:hAnsi="仿宋" w:eastAsia="仿宋" w:cs="仿宋"/>
          <w:color w:val="auto"/>
          <w:sz w:val="24"/>
          <w:szCs w:val="24"/>
          <w:highlight w:val="none"/>
          <w:lang w:eastAsia="zh-CN"/>
        </w:rPr>
      </w:pPr>
      <w:r>
        <w:rPr>
          <w:rFonts w:hint="eastAsia" w:ascii="仿宋" w:hAnsi="仿宋" w:eastAsia="仿宋" w:cs="仿宋"/>
          <w:color w:val="auto"/>
          <w:spacing w:val="-3"/>
          <w:sz w:val="24"/>
          <w:szCs w:val="24"/>
          <w:highlight w:val="none"/>
          <w:lang w:eastAsia="zh-CN"/>
        </w:rPr>
        <w:t>供应商盖章：</w:t>
      </w:r>
    </w:p>
    <w:p w14:paraId="6718986A">
      <w:pPr>
        <w:keepNext w:val="0"/>
        <w:keepLines w:val="0"/>
        <w:pageBreakBefore w:val="0"/>
        <w:widowControl w:val="0"/>
        <w:shd w:val="clear"/>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color w:val="auto"/>
          <w:highlight w:val="none"/>
          <w:lang w:eastAsia="zh-CN"/>
        </w:rPr>
      </w:pPr>
    </w:p>
    <w:p w14:paraId="47CD8692">
      <w:pPr>
        <w:keepNext w:val="0"/>
        <w:keepLines w:val="0"/>
        <w:pageBreakBefore w:val="0"/>
        <w:widowControl w:val="0"/>
        <w:shd w:val="clear"/>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color w:val="auto"/>
          <w:highlight w:val="none"/>
          <w:lang w:eastAsia="zh-CN"/>
        </w:rPr>
      </w:pPr>
    </w:p>
    <w:p w14:paraId="689411E0">
      <w:pPr>
        <w:pStyle w:val="53"/>
        <w:keepNext w:val="0"/>
        <w:keepLines w:val="0"/>
        <w:pageBreakBefore w:val="0"/>
        <w:widowControl w:val="0"/>
        <w:shd w:val="clear" w:color="auto"/>
        <w:wordWrap/>
        <w:overflowPunct/>
        <w:topLinePunct w:val="0"/>
        <w:bidi w:val="0"/>
        <w:spacing w:before="0" w:after="520" w:line="605" w:lineRule="exact"/>
        <w:ind w:left="0" w:right="0" w:firstLine="0"/>
        <w:jc w:val="left"/>
        <w:rPr>
          <w:rFonts w:hint="eastAsia" w:ascii="仿宋" w:hAnsi="仿宋" w:eastAsia="仿宋" w:cs="仿宋"/>
          <w:color w:val="auto"/>
          <w:highlight w:val="none"/>
          <w:lang w:eastAsia="zh-CN"/>
        </w:rPr>
      </w:pPr>
      <w:r>
        <w:rPr>
          <w:rFonts w:hint="eastAsia" w:ascii="仿宋" w:hAnsi="仿宋" w:eastAsia="仿宋" w:cs="仿宋"/>
          <w:color w:val="auto"/>
          <w:spacing w:val="-21"/>
          <w:sz w:val="24"/>
          <w:szCs w:val="24"/>
          <w:highlight w:val="none"/>
          <w:lang w:val="en-US" w:eastAsia="zh-CN"/>
        </w:rPr>
        <w:t xml:space="preserve"> </w:t>
      </w:r>
      <w:r>
        <w:rPr>
          <w:rFonts w:hint="eastAsia" w:ascii="仿宋" w:hAnsi="仿宋" w:eastAsia="仿宋" w:cs="仿宋"/>
          <w:color w:val="auto"/>
          <w:spacing w:val="-21"/>
          <w:sz w:val="24"/>
          <w:szCs w:val="24"/>
          <w:highlight w:val="none"/>
          <w:lang w:eastAsia="zh-CN"/>
        </w:rPr>
        <w:t>日</w:t>
      </w:r>
      <w:r>
        <w:rPr>
          <w:rFonts w:hint="eastAsia" w:ascii="仿宋" w:hAnsi="仿宋" w:eastAsia="仿宋" w:cs="仿宋"/>
          <w:color w:val="auto"/>
          <w:spacing w:val="6"/>
          <w:sz w:val="24"/>
          <w:szCs w:val="24"/>
          <w:highlight w:val="none"/>
          <w:lang w:eastAsia="zh-CN"/>
        </w:rPr>
        <w:t xml:space="preserve">  </w:t>
      </w:r>
      <w:r>
        <w:rPr>
          <w:rFonts w:hint="eastAsia" w:ascii="仿宋" w:hAnsi="仿宋" w:eastAsia="仿宋" w:cs="仿宋"/>
          <w:color w:val="auto"/>
          <w:spacing w:val="-21"/>
          <w:sz w:val="24"/>
          <w:szCs w:val="24"/>
          <w:highlight w:val="none"/>
          <w:lang w:eastAsia="zh-CN"/>
        </w:rPr>
        <w:t>期：</w:t>
      </w:r>
      <w:r>
        <w:rPr>
          <w:rFonts w:hint="eastAsia" w:ascii="仿宋" w:hAnsi="仿宋" w:eastAsia="仿宋" w:cs="仿宋"/>
          <w:color w:val="auto"/>
          <w:spacing w:val="0"/>
          <w:w w:val="100"/>
          <w:position w:val="0"/>
          <w:sz w:val="24"/>
          <w:szCs w:val="24"/>
          <w:highlight w:val="none"/>
          <w:u w:val="none"/>
          <w:lang w:val="en-US" w:eastAsia="zh-CN"/>
        </w:rPr>
        <w:t xml:space="preserve"> </w:t>
      </w:r>
      <w:r>
        <w:rPr>
          <w:rFonts w:hint="eastAsia" w:ascii="仿宋" w:hAnsi="仿宋" w:eastAsia="仿宋" w:cs="仿宋"/>
          <w:color w:val="auto"/>
          <w:spacing w:val="0"/>
          <w:w w:val="100"/>
          <w:position w:val="0"/>
          <w:sz w:val="24"/>
          <w:szCs w:val="24"/>
          <w:highlight w:val="none"/>
          <w:u w:val="single"/>
          <w:lang w:val="en-US" w:eastAsia="zh-CN"/>
        </w:rPr>
        <w:t xml:space="preserve">      </w:t>
      </w:r>
      <w:r>
        <w:rPr>
          <w:rFonts w:hint="eastAsia" w:ascii="仿宋" w:hAnsi="仿宋" w:eastAsia="仿宋" w:cs="仿宋"/>
          <w:color w:val="auto"/>
          <w:spacing w:val="0"/>
          <w:w w:val="100"/>
          <w:position w:val="0"/>
          <w:sz w:val="24"/>
          <w:szCs w:val="24"/>
          <w:highlight w:val="none"/>
        </w:rPr>
        <w:t>年</w:t>
      </w:r>
      <w:r>
        <w:rPr>
          <w:rFonts w:hint="eastAsia" w:ascii="仿宋" w:hAnsi="仿宋" w:eastAsia="仿宋" w:cs="仿宋"/>
          <w:color w:val="auto"/>
          <w:spacing w:val="0"/>
          <w:w w:val="100"/>
          <w:position w:val="0"/>
          <w:sz w:val="24"/>
          <w:szCs w:val="24"/>
          <w:highlight w:val="none"/>
          <w:u w:val="single"/>
          <w:lang w:val="en-US" w:eastAsia="zh-CN"/>
        </w:rPr>
        <w:t xml:space="preserve">    </w:t>
      </w:r>
      <w:r>
        <w:rPr>
          <w:rFonts w:hint="eastAsia" w:ascii="仿宋" w:hAnsi="仿宋" w:eastAsia="仿宋" w:cs="仿宋"/>
          <w:color w:val="auto"/>
          <w:spacing w:val="0"/>
          <w:w w:val="100"/>
          <w:position w:val="0"/>
          <w:sz w:val="24"/>
          <w:szCs w:val="24"/>
          <w:highlight w:val="none"/>
          <w:u w:val="single"/>
        </w:rPr>
        <w:t xml:space="preserve"> </w:t>
      </w:r>
      <w:r>
        <w:rPr>
          <w:rFonts w:hint="eastAsia" w:ascii="仿宋" w:hAnsi="仿宋" w:eastAsia="仿宋" w:cs="仿宋"/>
          <w:color w:val="auto"/>
          <w:spacing w:val="0"/>
          <w:w w:val="100"/>
          <w:position w:val="0"/>
          <w:sz w:val="24"/>
          <w:szCs w:val="24"/>
          <w:highlight w:val="none"/>
        </w:rPr>
        <w:t>月</w:t>
      </w:r>
      <w:r>
        <w:rPr>
          <w:rFonts w:hint="eastAsia" w:ascii="仿宋" w:hAnsi="仿宋" w:eastAsia="仿宋" w:cs="仿宋"/>
          <w:color w:val="auto"/>
          <w:spacing w:val="0"/>
          <w:w w:val="100"/>
          <w:position w:val="0"/>
          <w:sz w:val="24"/>
          <w:szCs w:val="24"/>
          <w:highlight w:val="none"/>
          <w:u w:val="single"/>
        </w:rPr>
        <w:t xml:space="preserve"> </w:t>
      </w:r>
      <w:r>
        <w:rPr>
          <w:rFonts w:hint="eastAsia" w:ascii="仿宋" w:hAnsi="仿宋" w:eastAsia="仿宋" w:cs="仿宋"/>
          <w:color w:val="auto"/>
          <w:spacing w:val="0"/>
          <w:w w:val="100"/>
          <w:position w:val="0"/>
          <w:sz w:val="24"/>
          <w:szCs w:val="24"/>
          <w:highlight w:val="none"/>
          <w:u w:val="single"/>
          <w:lang w:val="en-US" w:eastAsia="zh-CN"/>
        </w:rPr>
        <w:t xml:space="preserve">   </w:t>
      </w:r>
      <w:r>
        <w:rPr>
          <w:rFonts w:hint="eastAsia" w:ascii="仿宋" w:hAnsi="仿宋" w:eastAsia="仿宋" w:cs="仿宋"/>
          <w:color w:val="auto"/>
          <w:spacing w:val="0"/>
          <w:w w:val="100"/>
          <w:position w:val="0"/>
          <w:sz w:val="24"/>
          <w:szCs w:val="24"/>
          <w:highlight w:val="none"/>
        </w:rPr>
        <w:t>日</w:t>
      </w:r>
    </w:p>
    <w:p w14:paraId="2F40E356">
      <w:pPr>
        <w:keepNext w:val="0"/>
        <w:keepLines w:val="0"/>
        <w:pageBreakBefore w:val="0"/>
        <w:widowControl w:val="0"/>
        <w:shd w:val="clear"/>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color w:val="auto"/>
          <w:highlight w:val="none"/>
          <w:lang w:eastAsia="zh-CN"/>
        </w:rPr>
      </w:pPr>
    </w:p>
    <w:p w14:paraId="61D52F62">
      <w:pPr>
        <w:keepNext w:val="0"/>
        <w:keepLines w:val="0"/>
        <w:pageBreakBefore w:val="0"/>
        <w:widowControl w:val="0"/>
        <w:shd w:val="clear"/>
        <w:kinsoku w:val="0"/>
        <w:wordWrap/>
        <w:overflowPunct/>
        <w:topLinePunct w:val="0"/>
        <w:autoSpaceDE w:val="0"/>
        <w:autoSpaceDN w:val="0"/>
        <w:bidi w:val="0"/>
        <w:adjustRightInd w:val="0"/>
        <w:snapToGrid w:val="0"/>
        <w:spacing w:before="79" w:line="360" w:lineRule="auto"/>
        <w:ind w:left="56"/>
        <w:textAlignment w:val="baseline"/>
        <w:rPr>
          <w:rFonts w:hint="eastAsia" w:ascii="仿宋" w:hAnsi="仿宋" w:eastAsia="仿宋" w:cs="仿宋"/>
          <w:color w:val="auto"/>
          <w:highlight w:val="none"/>
          <w:lang w:eastAsia="zh-CN"/>
        </w:rPr>
      </w:pPr>
      <w:r>
        <w:rPr>
          <w:rFonts w:hint="eastAsia" w:ascii="仿宋" w:hAnsi="仿宋" w:eastAsia="仿宋" w:cs="仿宋"/>
          <w:color w:val="auto"/>
          <w:spacing w:val="-15"/>
          <w:sz w:val="24"/>
          <w:szCs w:val="24"/>
          <w:highlight w:val="none"/>
          <w:lang w:eastAsia="zh-CN"/>
        </w:rPr>
        <w:t>附：</w:t>
      </w:r>
      <w:r>
        <w:rPr>
          <w:rFonts w:hint="eastAsia" w:ascii="仿宋" w:hAnsi="仿宋" w:eastAsia="仿宋" w:cs="仿宋"/>
          <w:color w:val="auto"/>
          <w:spacing w:val="-2"/>
          <w:sz w:val="24"/>
          <w:szCs w:val="24"/>
          <w:highlight w:val="none"/>
          <w:lang w:eastAsia="zh-CN"/>
        </w:rPr>
        <w:t>法定代表人</w:t>
      </w:r>
      <w:r>
        <w:rPr>
          <w:rFonts w:hint="eastAsia" w:ascii="仿宋" w:hAnsi="仿宋" w:eastAsia="仿宋" w:cs="仿宋"/>
          <w:color w:val="auto"/>
          <w:spacing w:val="-2"/>
          <w:sz w:val="24"/>
          <w:szCs w:val="24"/>
          <w:highlight w:val="none"/>
          <w:lang w:val="en-US" w:eastAsia="zh-CN"/>
        </w:rPr>
        <w:t>（单位负责人）</w:t>
      </w:r>
      <w:r>
        <w:rPr>
          <w:rFonts w:hint="eastAsia" w:ascii="仿宋" w:hAnsi="仿宋" w:eastAsia="仿宋" w:cs="仿宋"/>
          <w:color w:val="auto"/>
          <w:spacing w:val="-2"/>
          <w:sz w:val="24"/>
          <w:szCs w:val="24"/>
          <w:highlight w:val="none"/>
          <w:lang w:eastAsia="zh-CN"/>
        </w:rPr>
        <w:t>身份证扫描件（正、反面）</w:t>
      </w:r>
    </w:p>
    <w:p w14:paraId="33774C96">
      <w:pPr>
        <w:keepNext w:val="0"/>
        <w:keepLines w:val="0"/>
        <w:pageBreakBefore w:val="0"/>
        <w:widowControl w:val="0"/>
        <w:shd w:val="clear"/>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color w:val="auto"/>
          <w:sz w:val="24"/>
          <w:szCs w:val="24"/>
          <w:highlight w:val="none"/>
          <w:lang w:val="en-US" w:eastAsia="zh-CN"/>
        </w:rPr>
        <w:sectPr>
          <w:footerReference r:id="rId13" w:type="default"/>
          <w:pgSz w:w="11906" w:h="16839"/>
          <w:pgMar w:top="1431" w:right="1587" w:bottom="1429" w:left="1582" w:header="0" w:footer="994" w:gutter="0"/>
          <w:cols w:space="720" w:num="1"/>
        </w:sectPr>
      </w:pPr>
    </w:p>
    <w:p w14:paraId="42F7CAE6">
      <w:pPr>
        <w:spacing w:after="312" w:afterLines="100"/>
        <w:jc w:val="center"/>
        <w:rPr>
          <w:rFonts w:ascii="仿宋" w:hAnsi="仿宋" w:eastAsia="仿宋" w:cs="仿宋"/>
          <w:sz w:val="28"/>
          <w:szCs w:val="28"/>
          <w:highlight w:val="none"/>
        </w:rPr>
      </w:pPr>
      <w:r>
        <w:rPr>
          <w:rFonts w:hint="eastAsia" w:ascii="仿宋" w:hAnsi="仿宋" w:eastAsia="仿宋" w:cs="仿宋"/>
          <w:b/>
          <w:bCs/>
          <w:sz w:val="28"/>
          <w:szCs w:val="28"/>
          <w:highlight w:val="none"/>
        </w:rPr>
        <w:t>格式</w:t>
      </w:r>
      <w:r>
        <w:rPr>
          <w:rFonts w:hint="eastAsia" w:ascii="仿宋" w:hAnsi="仿宋" w:eastAsia="仿宋" w:cs="仿宋"/>
          <w:b/>
          <w:bCs/>
          <w:sz w:val="28"/>
          <w:szCs w:val="28"/>
          <w:highlight w:val="none"/>
          <w:lang w:val="en-US" w:eastAsia="zh-CN"/>
        </w:rPr>
        <w:t>7</w:t>
      </w:r>
      <w:r>
        <w:rPr>
          <w:rFonts w:hint="eastAsia" w:ascii="仿宋" w:hAnsi="仿宋" w:eastAsia="仿宋" w:cs="仿宋"/>
          <w:b/>
          <w:bCs/>
          <w:sz w:val="28"/>
          <w:szCs w:val="28"/>
          <w:highlight w:val="none"/>
        </w:rPr>
        <w:t>-</w:t>
      </w:r>
      <w:r>
        <w:rPr>
          <w:rFonts w:hint="eastAsia" w:ascii="仿宋" w:hAnsi="仿宋" w:eastAsia="仿宋" w:cs="仿宋"/>
          <w:b/>
          <w:bCs/>
          <w:sz w:val="28"/>
          <w:szCs w:val="28"/>
          <w:highlight w:val="none"/>
          <w:lang w:val="en-US" w:eastAsia="zh-CN"/>
        </w:rPr>
        <w:t>8</w:t>
      </w:r>
      <w:r>
        <w:rPr>
          <w:rFonts w:hint="eastAsia" w:ascii="仿宋" w:hAnsi="仿宋" w:eastAsia="仿宋" w:cs="仿宋"/>
          <w:b/>
          <w:bCs/>
          <w:sz w:val="28"/>
          <w:szCs w:val="28"/>
          <w:highlight w:val="none"/>
        </w:rPr>
        <w:t>．供应商的资格声明</w:t>
      </w:r>
      <w:bookmarkEnd w:id="83"/>
    </w:p>
    <w:p w14:paraId="4A8BBE42">
      <w:pPr>
        <w:spacing w:line="360" w:lineRule="auto"/>
        <w:rPr>
          <w:rFonts w:hint="eastAsia" w:ascii="仿宋" w:hAnsi="仿宋" w:eastAsia="仿宋" w:cs="仿宋"/>
          <w:spacing w:val="-2"/>
          <w:sz w:val="24"/>
          <w:szCs w:val="24"/>
          <w:highlight w:val="none"/>
          <w:lang w:eastAsia="zh-CN"/>
        </w:rPr>
      </w:pPr>
      <w:r>
        <w:rPr>
          <w:rFonts w:hint="eastAsia" w:ascii="仿宋" w:hAnsi="仿宋" w:eastAsia="仿宋" w:cs="仿宋"/>
          <w:sz w:val="24"/>
          <w:szCs w:val="24"/>
          <w:highlight w:val="none"/>
        </w:rPr>
        <w:t>致：</w:t>
      </w:r>
      <w:r>
        <w:rPr>
          <w:rFonts w:hint="eastAsia" w:ascii="仿宋" w:hAnsi="仿宋" w:eastAsia="仿宋" w:cs="仿宋"/>
          <w:sz w:val="24"/>
          <w:szCs w:val="24"/>
          <w:highlight w:val="none"/>
          <w:lang w:eastAsia="zh-CN"/>
        </w:rPr>
        <w:t>江西中铖工程管理有限公司</w:t>
      </w:r>
    </w:p>
    <w:p w14:paraId="4E357451">
      <w:pPr>
        <w:spacing w:line="360" w:lineRule="auto"/>
        <w:ind w:firstLine="472" w:firstLineChars="200"/>
        <w:rPr>
          <w:rFonts w:ascii="仿宋" w:hAnsi="仿宋" w:eastAsia="仿宋" w:cs="仿宋"/>
          <w:sz w:val="24"/>
          <w:szCs w:val="24"/>
          <w:highlight w:val="none"/>
        </w:rPr>
      </w:pPr>
      <w:r>
        <w:rPr>
          <w:rFonts w:hint="eastAsia" w:ascii="仿宋" w:hAnsi="仿宋" w:eastAsia="仿宋" w:cs="仿宋"/>
          <w:spacing w:val="-2"/>
          <w:sz w:val="24"/>
          <w:szCs w:val="24"/>
          <w:highlight w:val="none"/>
        </w:rPr>
        <w:t>为响应贵方</w:t>
      </w:r>
      <w:r>
        <w:rPr>
          <w:rFonts w:hint="eastAsia" w:ascii="仿宋" w:hAnsi="仿宋" w:eastAsia="仿宋" w:cs="仿宋"/>
          <w:spacing w:val="-2"/>
          <w:sz w:val="24"/>
          <w:szCs w:val="24"/>
          <w:highlight w:val="none"/>
          <w:u w:val="single"/>
        </w:rPr>
        <w:t>（项目名称、项目编号）</w:t>
      </w:r>
      <w:r>
        <w:rPr>
          <w:rFonts w:hint="eastAsia" w:ascii="仿宋" w:hAnsi="仿宋" w:eastAsia="仿宋" w:cs="仿宋"/>
          <w:spacing w:val="-2"/>
          <w:sz w:val="24"/>
          <w:szCs w:val="24"/>
          <w:highlight w:val="none"/>
        </w:rPr>
        <w:t>谈判邀请，下述签字人愿参与谈判，提供采购需求一览表和技术要求</w:t>
      </w:r>
      <w:r>
        <w:rPr>
          <w:rFonts w:hint="eastAsia" w:ascii="仿宋" w:hAnsi="仿宋" w:eastAsia="仿宋" w:cs="仿宋"/>
          <w:sz w:val="24"/>
          <w:szCs w:val="24"/>
          <w:highlight w:val="none"/>
        </w:rPr>
        <w:t>规定的工程和有关服务</w:t>
      </w:r>
      <w:r>
        <w:rPr>
          <w:rFonts w:hint="eastAsia" w:ascii="仿宋" w:hAnsi="仿宋" w:eastAsia="仿宋" w:cs="仿宋"/>
          <w:spacing w:val="-2"/>
          <w:sz w:val="24"/>
          <w:szCs w:val="24"/>
          <w:highlight w:val="none"/>
        </w:rPr>
        <w:t>，提交下述文件并声明全</w:t>
      </w:r>
      <w:r>
        <w:rPr>
          <w:rFonts w:hint="eastAsia" w:ascii="仿宋" w:hAnsi="仿宋" w:eastAsia="仿宋" w:cs="仿宋"/>
          <w:sz w:val="24"/>
          <w:szCs w:val="24"/>
          <w:highlight w:val="none"/>
        </w:rPr>
        <w:t>部说明是真实的和正确的。</w:t>
      </w:r>
    </w:p>
    <w:p w14:paraId="02B29E8F">
      <w:pPr>
        <w:numPr>
          <w:ilvl w:val="0"/>
          <w:numId w:val="1"/>
        </w:numPr>
        <w:spacing w:line="360" w:lineRule="auto"/>
        <w:ind w:left="0"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我方具有履行合同所必须的设备和专业技术能力；</w:t>
      </w:r>
    </w:p>
    <w:p w14:paraId="256350D9">
      <w:pPr>
        <w:numPr>
          <w:ilvl w:val="0"/>
          <w:numId w:val="1"/>
        </w:numPr>
        <w:spacing w:line="360" w:lineRule="auto"/>
        <w:ind w:left="0"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我方在参加采购前三年内,在经营活动中没有重大违法记录；</w:t>
      </w:r>
    </w:p>
    <w:p w14:paraId="0FC53DB4">
      <w:pPr>
        <w:numPr>
          <w:ilvl w:val="0"/>
          <w:numId w:val="1"/>
        </w:numPr>
        <w:spacing w:line="360" w:lineRule="auto"/>
        <w:ind w:left="0"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下述签字人在证书中证明本资格文件中的内容是真实的和正确的；</w:t>
      </w:r>
    </w:p>
    <w:p w14:paraId="2CF9A881">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4.我方没有单位负责人为同一人或者存在直接控股、管理关系的不同供应商，参加本项目采购活动的情形；</w:t>
      </w:r>
    </w:p>
    <w:p w14:paraId="161C0D2F">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5.我方没有为本项目提供整体设计、规范编制或者项目管理、监理、检测等服务。</w:t>
      </w:r>
    </w:p>
    <w:p w14:paraId="0A4740F1">
      <w:pPr>
        <w:spacing w:line="360" w:lineRule="auto"/>
        <w:ind w:firstLine="480" w:firstLineChars="200"/>
        <w:rPr>
          <w:rFonts w:ascii="仿宋" w:hAnsi="仿宋" w:eastAsia="仿宋" w:cs="仿宋"/>
          <w:sz w:val="24"/>
          <w:szCs w:val="24"/>
          <w:highlight w:val="none"/>
        </w:rPr>
      </w:pPr>
    </w:p>
    <w:p w14:paraId="6435F005">
      <w:pPr>
        <w:spacing w:line="360" w:lineRule="auto"/>
        <w:ind w:firstLine="480" w:firstLineChars="200"/>
        <w:rPr>
          <w:rFonts w:ascii="仿宋" w:hAnsi="仿宋" w:eastAsia="仿宋" w:cs="仿宋"/>
          <w:sz w:val="24"/>
          <w:szCs w:val="24"/>
          <w:highlight w:val="none"/>
        </w:rPr>
      </w:pPr>
    </w:p>
    <w:p w14:paraId="64E3A50B">
      <w:pPr>
        <w:spacing w:line="360" w:lineRule="auto"/>
        <w:ind w:firstLine="480" w:firstLineChars="200"/>
        <w:rPr>
          <w:rFonts w:ascii="仿宋" w:hAnsi="仿宋" w:eastAsia="仿宋" w:cs="仿宋"/>
          <w:sz w:val="24"/>
          <w:szCs w:val="24"/>
          <w:highlight w:val="none"/>
        </w:rPr>
      </w:pPr>
    </w:p>
    <w:p w14:paraId="532387C7">
      <w:pPr>
        <w:spacing w:line="360" w:lineRule="auto"/>
        <w:ind w:firstLine="480" w:firstLineChars="200"/>
        <w:rPr>
          <w:rFonts w:ascii="仿宋" w:hAnsi="仿宋" w:eastAsia="仿宋" w:cs="仿宋"/>
          <w:sz w:val="24"/>
          <w:szCs w:val="24"/>
          <w:highlight w:val="none"/>
        </w:rPr>
      </w:pPr>
      <w:r>
        <w:rPr>
          <w:rFonts w:hint="eastAsia" w:ascii="仿宋" w:hAnsi="仿宋" w:eastAsia="仿宋" w:cs="仿宋"/>
          <w:sz w:val="24"/>
          <w:szCs w:val="24"/>
          <w:highlight w:val="none"/>
        </w:rPr>
        <w:t>供应商代表签字或签章</w:t>
      </w:r>
    </w:p>
    <w:p w14:paraId="1485219A">
      <w:pPr>
        <w:spacing w:line="360" w:lineRule="auto"/>
        <w:ind w:firstLine="480" w:firstLineChars="200"/>
        <w:rPr>
          <w:rFonts w:ascii="仿宋" w:hAnsi="仿宋" w:eastAsia="仿宋" w:cs="仿宋"/>
          <w:sz w:val="24"/>
          <w:szCs w:val="24"/>
          <w:highlight w:val="none"/>
          <w:u w:val="single"/>
        </w:rPr>
      </w:pPr>
      <w:r>
        <w:rPr>
          <w:rFonts w:hint="eastAsia" w:ascii="仿宋" w:hAnsi="仿宋" w:eastAsia="仿宋" w:cs="仿宋"/>
          <w:sz w:val="24"/>
          <w:szCs w:val="24"/>
          <w:highlight w:val="none"/>
        </w:rPr>
        <w:t>供应商盖章</w:t>
      </w:r>
    </w:p>
    <w:p w14:paraId="53DEC20A">
      <w:pPr>
        <w:spacing w:line="360" w:lineRule="auto"/>
        <w:ind w:firstLine="480" w:firstLineChars="200"/>
        <w:rPr>
          <w:rFonts w:ascii="仿宋" w:hAnsi="仿宋" w:eastAsia="仿宋" w:cs="仿宋"/>
          <w:sz w:val="24"/>
          <w:szCs w:val="24"/>
          <w:highlight w:val="none"/>
          <w:u w:val="single"/>
        </w:rPr>
      </w:pPr>
      <w:r>
        <w:rPr>
          <w:rFonts w:hint="eastAsia" w:ascii="仿宋" w:hAnsi="仿宋" w:eastAsia="仿宋" w:cs="仿宋"/>
          <w:sz w:val="24"/>
          <w:szCs w:val="24"/>
          <w:highlight w:val="none"/>
        </w:rPr>
        <w:t>日期</w:t>
      </w:r>
    </w:p>
    <w:bookmarkEnd w:id="84"/>
    <w:p w14:paraId="643C34AA">
      <w:pPr>
        <w:tabs>
          <w:tab w:val="left" w:pos="1470"/>
        </w:tabs>
        <w:spacing w:line="432" w:lineRule="auto"/>
        <w:rPr>
          <w:rFonts w:ascii="仿宋" w:hAnsi="仿宋" w:eastAsia="仿宋" w:cs="仿宋"/>
          <w:sz w:val="24"/>
          <w:highlight w:val="none"/>
          <w:u w:val="single"/>
        </w:rPr>
      </w:pPr>
    </w:p>
    <w:p w14:paraId="18736355">
      <w:pPr>
        <w:tabs>
          <w:tab w:val="left" w:pos="1470"/>
        </w:tabs>
        <w:spacing w:line="432" w:lineRule="auto"/>
        <w:rPr>
          <w:rFonts w:ascii="仿宋" w:hAnsi="仿宋" w:eastAsia="仿宋" w:cs="仿宋"/>
          <w:sz w:val="24"/>
          <w:highlight w:val="none"/>
          <w:u w:val="single"/>
        </w:rPr>
        <w:sectPr>
          <w:footerReference r:id="rId14" w:type="default"/>
          <w:footerReference r:id="rId15" w:type="even"/>
          <w:pgSz w:w="11906" w:h="16838"/>
          <w:pgMar w:top="1418" w:right="1247" w:bottom="1418" w:left="1814" w:header="851" w:footer="992" w:gutter="0"/>
          <w:cols w:space="425" w:num="1"/>
          <w:docGrid w:type="lines" w:linePitch="312" w:charSpace="0"/>
        </w:sectPr>
      </w:pPr>
    </w:p>
    <w:p w14:paraId="1955EF51">
      <w:pPr>
        <w:spacing w:line="360" w:lineRule="auto"/>
        <w:jc w:val="center"/>
        <w:rPr>
          <w:rFonts w:ascii="仿宋" w:hAnsi="仿宋" w:eastAsia="仿宋" w:cs="仿宋"/>
          <w:b/>
          <w:sz w:val="28"/>
          <w:szCs w:val="28"/>
          <w:highlight w:val="none"/>
        </w:rPr>
      </w:pPr>
      <w:r>
        <w:rPr>
          <w:rFonts w:hint="eastAsia" w:ascii="仿宋" w:hAnsi="仿宋" w:eastAsia="仿宋" w:cs="仿宋"/>
          <w:b/>
          <w:sz w:val="28"/>
          <w:szCs w:val="28"/>
          <w:highlight w:val="none"/>
        </w:rPr>
        <w:t>格式</w:t>
      </w:r>
      <w:r>
        <w:rPr>
          <w:rFonts w:hint="eastAsia" w:ascii="仿宋" w:hAnsi="仿宋" w:eastAsia="仿宋" w:cs="仿宋"/>
          <w:b/>
          <w:sz w:val="28"/>
          <w:szCs w:val="28"/>
          <w:highlight w:val="none"/>
          <w:lang w:val="en-US" w:eastAsia="zh-CN"/>
        </w:rPr>
        <w:t>7</w:t>
      </w:r>
      <w:r>
        <w:rPr>
          <w:rFonts w:hint="eastAsia" w:ascii="仿宋" w:hAnsi="仿宋" w:eastAsia="仿宋" w:cs="仿宋"/>
          <w:b/>
          <w:sz w:val="28"/>
          <w:szCs w:val="28"/>
          <w:highlight w:val="none"/>
        </w:rPr>
        <w:t>-</w:t>
      </w:r>
      <w:r>
        <w:rPr>
          <w:rFonts w:hint="eastAsia" w:ascii="仿宋" w:hAnsi="仿宋" w:eastAsia="仿宋" w:cs="仿宋"/>
          <w:b/>
          <w:sz w:val="28"/>
          <w:szCs w:val="28"/>
          <w:highlight w:val="none"/>
          <w:lang w:val="en-US" w:eastAsia="zh-CN"/>
        </w:rPr>
        <w:t>9</w:t>
      </w:r>
      <w:r>
        <w:rPr>
          <w:rFonts w:hint="eastAsia" w:ascii="仿宋" w:hAnsi="仿宋" w:eastAsia="仿宋" w:cs="仿宋"/>
          <w:b/>
          <w:sz w:val="28"/>
          <w:szCs w:val="28"/>
          <w:highlight w:val="none"/>
        </w:rPr>
        <w:t>.谈判文件第一章“谈判邀请”中要求的证明材料</w:t>
      </w:r>
    </w:p>
    <w:p w14:paraId="6BCAF1F4">
      <w:pPr>
        <w:spacing w:line="432"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附：</w:t>
      </w:r>
    </w:p>
    <w:p w14:paraId="70B7DC3D">
      <w:pPr>
        <w:spacing w:line="432"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1、</w:t>
      </w:r>
      <w:r>
        <w:rPr>
          <w:rFonts w:hint="eastAsia" w:ascii="仿宋" w:hAnsi="仿宋" w:eastAsia="仿宋" w:cs="仿宋"/>
          <w:sz w:val="24"/>
          <w:szCs w:val="24"/>
          <w:highlight w:val="none"/>
        </w:rPr>
        <w:t>投标人盖章的保证金凭证复印件或截图</w:t>
      </w:r>
    </w:p>
    <w:p w14:paraId="192B836A">
      <w:pPr>
        <w:spacing w:line="432" w:lineRule="auto"/>
        <w:ind w:firstLine="480" w:firstLineChars="200"/>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w:t>
      </w:r>
      <w:r>
        <w:rPr>
          <w:rFonts w:hint="eastAsia" w:ascii="仿宋" w:hAnsi="仿宋" w:eastAsia="仿宋" w:cs="仿宋"/>
          <w:sz w:val="24"/>
          <w:szCs w:val="24"/>
          <w:highlight w:val="none"/>
        </w:rPr>
        <w:t>本项目的特定资格要求</w:t>
      </w:r>
    </w:p>
    <w:p w14:paraId="2135A8E4">
      <w:pPr>
        <w:spacing w:line="360" w:lineRule="auto"/>
        <w:jc w:val="center"/>
        <w:rPr>
          <w:rFonts w:ascii="仿宋" w:hAnsi="仿宋" w:eastAsia="仿宋" w:cs="仿宋"/>
          <w:b/>
          <w:sz w:val="28"/>
          <w:szCs w:val="28"/>
          <w:highlight w:val="none"/>
        </w:rPr>
      </w:pPr>
    </w:p>
    <w:p w14:paraId="6F53014B">
      <w:pPr>
        <w:spacing w:line="360" w:lineRule="auto"/>
        <w:jc w:val="center"/>
        <w:rPr>
          <w:rFonts w:ascii="仿宋" w:hAnsi="仿宋" w:eastAsia="仿宋" w:cs="仿宋"/>
          <w:b/>
          <w:sz w:val="28"/>
          <w:szCs w:val="28"/>
          <w:highlight w:val="none"/>
        </w:rPr>
      </w:pPr>
    </w:p>
    <w:p w14:paraId="1A20D605">
      <w:pPr>
        <w:spacing w:line="360" w:lineRule="auto"/>
        <w:jc w:val="center"/>
        <w:rPr>
          <w:rFonts w:ascii="仿宋" w:hAnsi="仿宋" w:eastAsia="仿宋" w:cs="仿宋"/>
          <w:b/>
          <w:sz w:val="28"/>
          <w:szCs w:val="28"/>
          <w:highlight w:val="none"/>
        </w:rPr>
      </w:pPr>
    </w:p>
    <w:p w14:paraId="6A385DE1">
      <w:pPr>
        <w:spacing w:line="360" w:lineRule="auto"/>
        <w:jc w:val="center"/>
        <w:rPr>
          <w:rFonts w:ascii="仿宋" w:hAnsi="仿宋" w:eastAsia="仿宋" w:cs="仿宋"/>
          <w:b/>
          <w:sz w:val="28"/>
          <w:szCs w:val="28"/>
          <w:highlight w:val="none"/>
        </w:rPr>
      </w:pPr>
    </w:p>
    <w:p w14:paraId="5488800C">
      <w:pPr>
        <w:spacing w:line="360" w:lineRule="auto"/>
        <w:jc w:val="center"/>
        <w:rPr>
          <w:rFonts w:ascii="仿宋" w:hAnsi="仿宋" w:eastAsia="仿宋" w:cs="仿宋"/>
          <w:b/>
          <w:sz w:val="28"/>
          <w:szCs w:val="28"/>
          <w:highlight w:val="none"/>
        </w:rPr>
      </w:pPr>
    </w:p>
    <w:p w14:paraId="06F7E5C0">
      <w:pPr>
        <w:spacing w:line="360" w:lineRule="auto"/>
        <w:jc w:val="center"/>
        <w:rPr>
          <w:rFonts w:ascii="仿宋" w:hAnsi="仿宋" w:eastAsia="仿宋" w:cs="仿宋"/>
          <w:b/>
          <w:sz w:val="28"/>
          <w:szCs w:val="28"/>
          <w:highlight w:val="none"/>
        </w:rPr>
      </w:pPr>
    </w:p>
    <w:p w14:paraId="11AC8C59">
      <w:pPr>
        <w:spacing w:line="360" w:lineRule="auto"/>
        <w:jc w:val="center"/>
        <w:rPr>
          <w:rFonts w:ascii="仿宋" w:hAnsi="仿宋" w:eastAsia="仿宋" w:cs="仿宋"/>
          <w:b/>
          <w:sz w:val="28"/>
          <w:szCs w:val="28"/>
          <w:highlight w:val="none"/>
        </w:rPr>
      </w:pPr>
    </w:p>
    <w:p w14:paraId="2B1EE7B9">
      <w:pPr>
        <w:spacing w:line="360" w:lineRule="auto"/>
        <w:jc w:val="center"/>
        <w:rPr>
          <w:rFonts w:ascii="仿宋" w:hAnsi="仿宋" w:eastAsia="仿宋" w:cs="仿宋"/>
          <w:b/>
          <w:sz w:val="28"/>
          <w:szCs w:val="28"/>
          <w:highlight w:val="none"/>
        </w:rPr>
      </w:pPr>
    </w:p>
    <w:p w14:paraId="65DBE23B">
      <w:pPr>
        <w:spacing w:line="360" w:lineRule="auto"/>
        <w:jc w:val="center"/>
        <w:rPr>
          <w:rFonts w:ascii="仿宋" w:hAnsi="仿宋" w:eastAsia="仿宋" w:cs="仿宋"/>
          <w:b/>
          <w:sz w:val="28"/>
          <w:szCs w:val="28"/>
          <w:highlight w:val="none"/>
        </w:rPr>
      </w:pPr>
    </w:p>
    <w:p w14:paraId="3E13865F">
      <w:pPr>
        <w:spacing w:line="360" w:lineRule="auto"/>
        <w:jc w:val="center"/>
        <w:rPr>
          <w:rFonts w:ascii="仿宋" w:hAnsi="仿宋" w:eastAsia="仿宋" w:cs="仿宋"/>
          <w:b/>
          <w:sz w:val="28"/>
          <w:szCs w:val="28"/>
          <w:highlight w:val="none"/>
        </w:rPr>
      </w:pPr>
    </w:p>
    <w:p w14:paraId="03442092">
      <w:pPr>
        <w:spacing w:line="360" w:lineRule="auto"/>
        <w:jc w:val="center"/>
        <w:rPr>
          <w:rFonts w:ascii="仿宋" w:hAnsi="仿宋" w:eastAsia="仿宋" w:cs="仿宋"/>
          <w:b/>
          <w:sz w:val="28"/>
          <w:szCs w:val="28"/>
          <w:highlight w:val="none"/>
        </w:rPr>
      </w:pPr>
    </w:p>
    <w:p w14:paraId="2E3CF065">
      <w:pPr>
        <w:spacing w:line="360" w:lineRule="auto"/>
        <w:jc w:val="center"/>
        <w:rPr>
          <w:rFonts w:ascii="仿宋" w:hAnsi="仿宋" w:eastAsia="仿宋" w:cs="仿宋"/>
          <w:b/>
          <w:sz w:val="28"/>
          <w:szCs w:val="28"/>
          <w:highlight w:val="none"/>
        </w:rPr>
      </w:pPr>
    </w:p>
    <w:p w14:paraId="2A1CFD78">
      <w:pPr>
        <w:spacing w:line="360" w:lineRule="auto"/>
        <w:jc w:val="center"/>
        <w:rPr>
          <w:rFonts w:ascii="仿宋" w:hAnsi="仿宋" w:eastAsia="仿宋" w:cs="仿宋"/>
          <w:b/>
          <w:sz w:val="28"/>
          <w:szCs w:val="28"/>
          <w:highlight w:val="none"/>
        </w:rPr>
      </w:pPr>
    </w:p>
    <w:p w14:paraId="57054D2B">
      <w:pPr>
        <w:spacing w:line="360" w:lineRule="auto"/>
        <w:jc w:val="center"/>
        <w:rPr>
          <w:rFonts w:ascii="仿宋" w:hAnsi="仿宋" w:eastAsia="仿宋" w:cs="仿宋"/>
          <w:b/>
          <w:sz w:val="28"/>
          <w:szCs w:val="28"/>
          <w:highlight w:val="none"/>
        </w:rPr>
      </w:pPr>
    </w:p>
    <w:p w14:paraId="4DD4B94D">
      <w:pPr>
        <w:spacing w:line="360" w:lineRule="auto"/>
        <w:jc w:val="center"/>
        <w:rPr>
          <w:rFonts w:ascii="仿宋" w:hAnsi="仿宋" w:eastAsia="仿宋" w:cs="仿宋"/>
          <w:b/>
          <w:sz w:val="28"/>
          <w:szCs w:val="28"/>
          <w:highlight w:val="none"/>
        </w:rPr>
      </w:pPr>
    </w:p>
    <w:p w14:paraId="7DAAD8A4">
      <w:pPr>
        <w:spacing w:line="360" w:lineRule="auto"/>
        <w:jc w:val="center"/>
        <w:rPr>
          <w:rFonts w:ascii="仿宋" w:hAnsi="仿宋" w:eastAsia="仿宋" w:cs="仿宋"/>
          <w:b/>
          <w:sz w:val="28"/>
          <w:szCs w:val="28"/>
          <w:highlight w:val="none"/>
        </w:rPr>
      </w:pPr>
    </w:p>
    <w:p w14:paraId="2E6E5D1C">
      <w:pPr>
        <w:spacing w:line="360" w:lineRule="auto"/>
        <w:jc w:val="center"/>
        <w:rPr>
          <w:rFonts w:ascii="仿宋" w:hAnsi="仿宋" w:eastAsia="仿宋" w:cs="仿宋"/>
          <w:b/>
          <w:sz w:val="28"/>
          <w:szCs w:val="28"/>
          <w:highlight w:val="none"/>
        </w:rPr>
      </w:pPr>
    </w:p>
    <w:p w14:paraId="465C0735">
      <w:pPr>
        <w:spacing w:line="360" w:lineRule="auto"/>
        <w:jc w:val="center"/>
        <w:rPr>
          <w:rFonts w:ascii="仿宋" w:hAnsi="仿宋" w:eastAsia="仿宋" w:cs="仿宋"/>
          <w:b/>
          <w:sz w:val="28"/>
          <w:szCs w:val="28"/>
          <w:highlight w:val="none"/>
        </w:rPr>
      </w:pPr>
    </w:p>
    <w:p w14:paraId="6D28749B">
      <w:pPr>
        <w:spacing w:line="360" w:lineRule="auto"/>
        <w:jc w:val="center"/>
        <w:rPr>
          <w:rFonts w:ascii="仿宋" w:hAnsi="仿宋" w:eastAsia="仿宋" w:cs="仿宋"/>
          <w:b/>
          <w:sz w:val="28"/>
          <w:szCs w:val="28"/>
          <w:highlight w:val="none"/>
        </w:rPr>
      </w:pPr>
    </w:p>
    <w:p w14:paraId="53FEB2A3">
      <w:pPr>
        <w:spacing w:line="360" w:lineRule="auto"/>
        <w:jc w:val="center"/>
        <w:rPr>
          <w:rFonts w:ascii="仿宋" w:hAnsi="仿宋" w:eastAsia="仿宋" w:cs="仿宋"/>
          <w:b/>
          <w:sz w:val="28"/>
          <w:szCs w:val="28"/>
          <w:highlight w:val="none"/>
        </w:rPr>
      </w:pPr>
    </w:p>
    <w:p w14:paraId="517B4331">
      <w:pPr>
        <w:spacing w:line="360" w:lineRule="auto"/>
        <w:jc w:val="center"/>
        <w:rPr>
          <w:rFonts w:ascii="仿宋" w:hAnsi="仿宋" w:eastAsia="仿宋" w:cs="仿宋"/>
          <w:b/>
          <w:sz w:val="28"/>
          <w:szCs w:val="28"/>
          <w:highlight w:val="none"/>
        </w:rPr>
      </w:pPr>
    </w:p>
    <w:p w14:paraId="541C3654">
      <w:pPr>
        <w:spacing w:line="360" w:lineRule="auto"/>
        <w:rPr>
          <w:rFonts w:ascii="仿宋" w:hAnsi="仿宋" w:eastAsia="仿宋" w:cs="仿宋"/>
          <w:b/>
          <w:sz w:val="24"/>
          <w:highlight w:val="none"/>
        </w:rPr>
      </w:pPr>
      <w:r>
        <w:rPr>
          <w:rFonts w:hint="eastAsia" w:ascii="仿宋" w:hAnsi="仿宋" w:eastAsia="仿宋" w:cs="仿宋"/>
          <w:b/>
          <w:sz w:val="24"/>
          <w:highlight w:val="none"/>
        </w:rPr>
        <w:br w:type="page"/>
      </w:r>
    </w:p>
    <w:p w14:paraId="7503ED28">
      <w:pPr>
        <w:spacing w:line="360" w:lineRule="auto"/>
        <w:jc w:val="center"/>
        <w:rPr>
          <w:rFonts w:hint="eastAsia" w:ascii="仿宋" w:hAnsi="仿宋" w:eastAsia="仿宋" w:cs="仿宋"/>
          <w:b/>
          <w:sz w:val="28"/>
          <w:szCs w:val="28"/>
          <w:highlight w:val="none"/>
        </w:rPr>
      </w:pPr>
      <w:bookmarkStart w:id="85" w:name="_Toc15790"/>
      <w:bookmarkStart w:id="86" w:name="_Toc157775640"/>
      <w:r>
        <w:rPr>
          <w:rFonts w:hint="eastAsia" w:ascii="仿宋" w:hAnsi="仿宋" w:eastAsia="仿宋" w:cs="仿宋"/>
          <w:b/>
          <w:sz w:val="28"/>
          <w:szCs w:val="28"/>
          <w:highlight w:val="none"/>
          <w:lang w:val="en-US" w:eastAsia="zh-CN"/>
        </w:rPr>
        <w:t>8</w:t>
      </w:r>
      <w:r>
        <w:rPr>
          <w:rFonts w:hint="eastAsia" w:ascii="仿宋" w:hAnsi="仿宋" w:eastAsia="仿宋" w:cs="仿宋"/>
          <w:b/>
          <w:sz w:val="28"/>
          <w:szCs w:val="28"/>
          <w:highlight w:val="none"/>
        </w:rPr>
        <w:t>、为落实政府采购政策投标人须提供的证明材料</w:t>
      </w:r>
      <w:bookmarkEnd w:id="85"/>
      <w:bookmarkEnd w:id="86"/>
    </w:p>
    <w:p w14:paraId="3201643B">
      <w:pPr>
        <w:rPr>
          <w:rFonts w:hint="eastAsia" w:ascii="宋体" w:hAnsi="宋体" w:cs="宋体"/>
          <w:highlight w:val="none"/>
        </w:rPr>
      </w:pPr>
    </w:p>
    <w:p w14:paraId="4203B3D8">
      <w:pPr>
        <w:spacing w:line="360" w:lineRule="auto"/>
        <w:jc w:val="center"/>
        <w:rPr>
          <w:rFonts w:hint="eastAsia" w:ascii="仿宋" w:hAnsi="仿宋" w:eastAsia="仿宋" w:cs="仿宋"/>
          <w:b/>
          <w:sz w:val="28"/>
          <w:szCs w:val="28"/>
          <w:highlight w:val="none"/>
        </w:rPr>
      </w:pPr>
      <w:bookmarkStart w:id="87" w:name="_Toc494292939"/>
      <w:bookmarkStart w:id="88" w:name="_Toc494138652"/>
      <w:bookmarkStart w:id="89" w:name="_Toc474492115"/>
      <w:bookmarkStart w:id="90" w:name="_Toc157775641"/>
      <w:bookmarkStart w:id="91" w:name="_Toc21651"/>
      <w:r>
        <w:rPr>
          <w:rFonts w:hint="eastAsia" w:ascii="仿宋" w:hAnsi="仿宋" w:eastAsia="仿宋" w:cs="仿宋"/>
          <w:b/>
          <w:sz w:val="28"/>
          <w:szCs w:val="28"/>
          <w:highlight w:val="none"/>
        </w:rPr>
        <w:t>格式</w:t>
      </w:r>
      <w:r>
        <w:rPr>
          <w:rFonts w:hint="eastAsia" w:ascii="仿宋" w:hAnsi="仿宋" w:eastAsia="仿宋" w:cs="仿宋"/>
          <w:b/>
          <w:sz w:val="28"/>
          <w:szCs w:val="28"/>
          <w:highlight w:val="none"/>
          <w:lang w:val="en-US" w:eastAsia="zh-CN"/>
        </w:rPr>
        <w:t>8</w:t>
      </w:r>
      <w:r>
        <w:rPr>
          <w:rFonts w:hint="eastAsia" w:ascii="仿宋" w:hAnsi="仿宋" w:eastAsia="仿宋" w:cs="仿宋"/>
          <w:b/>
          <w:sz w:val="28"/>
          <w:szCs w:val="28"/>
          <w:highlight w:val="none"/>
        </w:rPr>
        <w:t>-1.中小企业声明</w:t>
      </w:r>
      <w:bookmarkEnd w:id="87"/>
      <w:bookmarkEnd w:id="88"/>
      <w:bookmarkEnd w:id="89"/>
      <w:r>
        <w:rPr>
          <w:rFonts w:hint="eastAsia" w:ascii="仿宋" w:hAnsi="仿宋" w:eastAsia="仿宋" w:cs="仿宋"/>
          <w:b/>
          <w:sz w:val="28"/>
          <w:szCs w:val="28"/>
          <w:highlight w:val="none"/>
        </w:rPr>
        <w:t>函</w:t>
      </w:r>
      <w:bookmarkEnd w:id="90"/>
      <w:bookmarkEnd w:id="91"/>
    </w:p>
    <w:p w14:paraId="72614159">
      <w:pPr>
        <w:spacing w:line="432"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本公司（联合体）郑重声明，根据《政府采购促进中小企业发展管理办法》（财库﹝2020﹞46 号）的规定，</w:t>
      </w:r>
      <w:r>
        <w:rPr>
          <w:rFonts w:hint="eastAsia" w:ascii="仿宋" w:hAnsi="仿宋" w:eastAsia="仿宋" w:cs="仿宋"/>
          <w:sz w:val="24"/>
          <w:szCs w:val="24"/>
          <w:highlight w:val="none"/>
          <w:u w:val="single"/>
        </w:rPr>
        <w:t>本公司（联合体）</w:t>
      </w:r>
      <w:r>
        <w:rPr>
          <w:rFonts w:hint="eastAsia" w:ascii="仿宋" w:hAnsi="仿宋" w:eastAsia="仿宋" w:cs="仿宋"/>
          <w:sz w:val="24"/>
          <w:szCs w:val="24"/>
          <w:highlight w:val="none"/>
        </w:rPr>
        <w:t>参加</w:t>
      </w:r>
      <w:r>
        <w:rPr>
          <w:rFonts w:hint="eastAsia" w:ascii="仿宋" w:hAnsi="仿宋" w:eastAsia="仿宋" w:cs="仿宋"/>
          <w:sz w:val="24"/>
          <w:szCs w:val="24"/>
          <w:highlight w:val="none"/>
          <w:u w:val="single"/>
        </w:rPr>
        <w:t>（单位名称）</w:t>
      </w:r>
      <w:r>
        <w:rPr>
          <w:rFonts w:hint="eastAsia" w:ascii="仿宋" w:hAnsi="仿宋" w:eastAsia="仿宋" w:cs="仿宋"/>
          <w:sz w:val="24"/>
          <w:szCs w:val="24"/>
          <w:highlight w:val="none"/>
        </w:rPr>
        <w:t>的</w:t>
      </w:r>
      <w:r>
        <w:rPr>
          <w:rFonts w:hint="eastAsia" w:ascii="仿宋" w:hAnsi="仿宋" w:eastAsia="仿宋" w:cs="仿宋"/>
          <w:sz w:val="24"/>
          <w:szCs w:val="24"/>
          <w:highlight w:val="none"/>
          <w:u w:val="single"/>
        </w:rPr>
        <w:t>（项目名称）</w:t>
      </w:r>
      <w:r>
        <w:rPr>
          <w:rFonts w:hint="eastAsia" w:ascii="仿宋" w:hAnsi="仿宋" w:eastAsia="仿宋" w:cs="仿宋"/>
          <w:sz w:val="24"/>
          <w:szCs w:val="24"/>
          <w:highlight w:val="none"/>
        </w:rPr>
        <w:t>采购活动，</w:t>
      </w:r>
      <w:r>
        <w:rPr>
          <w:rFonts w:hint="eastAsia" w:ascii="仿宋" w:hAnsi="仿宋" w:eastAsia="仿宋" w:cs="仿宋"/>
          <w:sz w:val="24"/>
          <w:szCs w:val="24"/>
          <w:highlight w:val="none"/>
          <w:lang w:val="en-US" w:eastAsia="zh-CN"/>
        </w:rPr>
        <w:t>工程的施工单位</w:t>
      </w:r>
      <w:r>
        <w:rPr>
          <w:rFonts w:hint="eastAsia" w:ascii="仿宋" w:hAnsi="仿宋" w:eastAsia="仿宋" w:cs="仿宋"/>
          <w:sz w:val="24"/>
          <w:szCs w:val="24"/>
          <w:highlight w:val="none"/>
        </w:rPr>
        <w:t>全部为符合政策要求的中小企业（或者：服务全部由符合政策要求的中小企业承接）。相关企业（含联合体中的中小企业、签订分包意向协议的中小企业）的具体情况如下：</w:t>
      </w:r>
    </w:p>
    <w:p w14:paraId="1E85C13F">
      <w:pPr>
        <w:spacing w:line="432"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1.</w:t>
      </w:r>
      <w:r>
        <w:rPr>
          <w:rFonts w:hint="eastAsia" w:ascii="仿宋" w:hAnsi="仿宋" w:eastAsia="仿宋" w:cs="仿宋"/>
          <w:sz w:val="24"/>
          <w:szCs w:val="24"/>
          <w:highlight w:val="none"/>
          <w:u w:val="single"/>
        </w:rPr>
        <w:t>（标的名称）</w:t>
      </w:r>
      <w:r>
        <w:rPr>
          <w:rFonts w:hint="eastAsia" w:ascii="仿宋" w:hAnsi="仿宋" w:eastAsia="仿宋" w:cs="仿宋"/>
          <w:sz w:val="24"/>
          <w:szCs w:val="24"/>
          <w:highlight w:val="none"/>
        </w:rPr>
        <w:t>，属于</w:t>
      </w:r>
      <w:r>
        <w:rPr>
          <w:rFonts w:hint="eastAsia" w:ascii="仿宋" w:hAnsi="仿宋" w:eastAsia="仿宋" w:cs="仿宋"/>
          <w:sz w:val="24"/>
          <w:szCs w:val="24"/>
          <w:highlight w:val="none"/>
          <w:u w:val="single"/>
        </w:rPr>
        <w:t>（采购文件中明确的所属行业）</w:t>
      </w:r>
      <w:r>
        <w:rPr>
          <w:rFonts w:hint="eastAsia" w:ascii="仿宋" w:hAnsi="仿宋" w:eastAsia="仿宋" w:cs="仿宋"/>
          <w:sz w:val="24"/>
          <w:szCs w:val="24"/>
          <w:highlight w:val="none"/>
        </w:rPr>
        <w:t>；承建（承接）企业为</w:t>
      </w:r>
      <w:r>
        <w:rPr>
          <w:rFonts w:hint="eastAsia" w:ascii="仿宋" w:hAnsi="仿宋" w:eastAsia="仿宋" w:cs="仿宋"/>
          <w:sz w:val="24"/>
          <w:szCs w:val="24"/>
          <w:highlight w:val="none"/>
          <w:u w:val="single"/>
        </w:rPr>
        <w:t>（企业名称）</w:t>
      </w:r>
      <w:r>
        <w:rPr>
          <w:rFonts w:hint="eastAsia" w:ascii="仿宋" w:hAnsi="仿宋" w:eastAsia="仿宋" w:cs="仿宋"/>
          <w:sz w:val="24"/>
          <w:szCs w:val="24"/>
          <w:highlight w:val="none"/>
        </w:rPr>
        <w:t>，从业人员</w:t>
      </w:r>
      <w:r>
        <w:rPr>
          <w:rFonts w:hint="eastAsia" w:ascii="仿宋" w:hAnsi="仿宋" w:eastAsia="仿宋" w:cs="仿宋"/>
          <w:sz w:val="24"/>
          <w:szCs w:val="24"/>
          <w:highlight w:val="none"/>
          <w:u w:val="single"/>
        </w:rPr>
        <w:t xml:space="preserve">   </w:t>
      </w:r>
      <w:r>
        <w:rPr>
          <w:rFonts w:hint="eastAsia" w:ascii="仿宋" w:hAnsi="仿宋" w:eastAsia="仿宋" w:cs="仿宋"/>
          <w:sz w:val="24"/>
          <w:szCs w:val="24"/>
          <w:highlight w:val="none"/>
        </w:rPr>
        <w:t>人，营业收入为</w:t>
      </w:r>
      <w:r>
        <w:rPr>
          <w:rFonts w:hint="eastAsia" w:ascii="仿宋" w:hAnsi="仿宋" w:eastAsia="仿宋" w:cs="仿宋"/>
          <w:sz w:val="24"/>
          <w:szCs w:val="24"/>
          <w:highlight w:val="none"/>
          <w:u w:val="single"/>
        </w:rPr>
        <w:t xml:space="preserve">     </w:t>
      </w:r>
      <w:r>
        <w:rPr>
          <w:rFonts w:hint="eastAsia" w:ascii="仿宋" w:hAnsi="仿宋" w:eastAsia="仿宋" w:cs="仿宋"/>
          <w:sz w:val="24"/>
          <w:szCs w:val="24"/>
          <w:highlight w:val="none"/>
        </w:rPr>
        <w:t>万元，资产总额为</w:t>
      </w:r>
      <w:r>
        <w:rPr>
          <w:rFonts w:hint="eastAsia" w:ascii="仿宋" w:hAnsi="仿宋" w:eastAsia="仿宋" w:cs="仿宋"/>
          <w:sz w:val="24"/>
          <w:szCs w:val="24"/>
          <w:highlight w:val="none"/>
          <w:u w:val="single"/>
        </w:rPr>
        <w:t xml:space="preserve">     </w:t>
      </w:r>
      <w:r>
        <w:rPr>
          <w:rFonts w:hint="eastAsia" w:ascii="仿宋" w:hAnsi="仿宋" w:eastAsia="仿宋" w:cs="仿宋"/>
          <w:sz w:val="24"/>
          <w:szCs w:val="24"/>
          <w:highlight w:val="none"/>
        </w:rPr>
        <w:t>万元</w:t>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HYPERLINK \l "_bookmark1"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1</w:t>
      </w:r>
      <w:r>
        <w:rPr>
          <w:rFonts w:hint="eastAsia" w:ascii="仿宋" w:hAnsi="仿宋" w:eastAsia="仿宋" w:cs="仿宋"/>
          <w:sz w:val="24"/>
          <w:szCs w:val="24"/>
          <w:highlight w:val="none"/>
        </w:rPr>
        <w:fldChar w:fldCharType="end"/>
      </w:r>
      <w:r>
        <w:rPr>
          <w:rFonts w:hint="eastAsia" w:ascii="仿宋" w:hAnsi="仿宋" w:eastAsia="仿宋" w:cs="仿宋"/>
          <w:sz w:val="24"/>
          <w:szCs w:val="24"/>
          <w:highlight w:val="none"/>
        </w:rPr>
        <w:t>，属于</w:t>
      </w:r>
      <w:r>
        <w:rPr>
          <w:rFonts w:hint="eastAsia" w:ascii="仿宋" w:hAnsi="仿宋" w:eastAsia="仿宋" w:cs="仿宋"/>
          <w:sz w:val="24"/>
          <w:szCs w:val="24"/>
          <w:highlight w:val="none"/>
          <w:u w:val="single"/>
        </w:rPr>
        <w:t>（中型企业、小型企业、微型企业）</w:t>
      </w:r>
      <w:r>
        <w:rPr>
          <w:rFonts w:hint="eastAsia" w:ascii="仿宋" w:hAnsi="仿宋" w:eastAsia="仿宋" w:cs="仿宋"/>
          <w:sz w:val="24"/>
          <w:szCs w:val="24"/>
          <w:highlight w:val="none"/>
        </w:rPr>
        <w:t>；</w:t>
      </w:r>
    </w:p>
    <w:p w14:paraId="4907D005">
      <w:pPr>
        <w:spacing w:line="432"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2.</w:t>
      </w:r>
      <w:r>
        <w:rPr>
          <w:rFonts w:hint="eastAsia" w:ascii="仿宋" w:hAnsi="仿宋" w:eastAsia="仿宋" w:cs="仿宋"/>
          <w:sz w:val="24"/>
          <w:szCs w:val="24"/>
          <w:highlight w:val="none"/>
          <w:u w:val="single"/>
        </w:rPr>
        <w:t xml:space="preserve"> （标的名称）</w:t>
      </w:r>
      <w:r>
        <w:rPr>
          <w:rFonts w:hint="eastAsia" w:ascii="仿宋" w:hAnsi="仿宋" w:eastAsia="仿宋" w:cs="仿宋"/>
          <w:sz w:val="24"/>
          <w:szCs w:val="24"/>
          <w:highlight w:val="none"/>
        </w:rPr>
        <w:t>，属于</w:t>
      </w:r>
      <w:r>
        <w:rPr>
          <w:rFonts w:hint="eastAsia" w:ascii="仿宋" w:hAnsi="仿宋" w:eastAsia="仿宋" w:cs="仿宋"/>
          <w:sz w:val="24"/>
          <w:szCs w:val="24"/>
          <w:highlight w:val="none"/>
          <w:u w:val="single"/>
        </w:rPr>
        <w:t>（采购文件中明确的所属行业）</w:t>
      </w:r>
      <w:r>
        <w:rPr>
          <w:rFonts w:hint="eastAsia" w:ascii="仿宋" w:hAnsi="仿宋" w:eastAsia="仿宋" w:cs="仿宋"/>
          <w:sz w:val="24"/>
          <w:szCs w:val="24"/>
          <w:highlight w:val="none"/>
        </w:rPr>
        <w:t>；承建（承接）企业为</w:t>
      </w:r>
      <w:r>
        <w:rPr>
          <w:rFonts w:hint="eastAsia" w:ascii="仿宋" w:hAnsi="仿宋" w:eastAsia="仿宋" w:cs="仿宋"/>
          <w:sz w:val="24"/>
          <w:szCs w:val="24"/>
          <w:highlight w:val="none"/>
          <w:u w:val="single"/>
        </w:rPr>
        <w:t>（企业名称）</w:t>
      </w:r>
      <w:r>
        <w:rPr>
          <w:rFonts w:hint="eastAsia" w:ascii="仿宋" w:hAnsi="仿宋" w:eastAsia="仿宋" w:cs="仿宋"/>
          <w:sz w:val="24"/>
          <w:szCs w:val="24"/>
          <w:highlight w:val="none"/>
        </w:rPr>
        <w:t>，从业人员</w:t>
      </w:r>
      <w:r>
        <w:rPr>
          <w:rFonts w:hint="eastAsia" w:ascii="仿宋" w:hAnsi="仿宋" w:eastAsia="仿宋" w:cs="仿宋"/>
          <w:sz w:val="24"/>
          <w:szCs w:val="24"/>
          <w:highlight w:val="none"/>
          <w:u w:val="single"/>
        </w:rPr>
        <w:t xml:space="preserve">   </w:t>
      </w:r>
      <w:r>
        <w:rPr>
          <w:rFonts w:hint="eastAsia" w:ascii="仿宋" w:hAnsi="仿宋" w:eastAsia="仿宋" w:cs="仿宋"/>
          <w:sz w:val="24"/>
          <w:szCs w:val="24"/>
          <w:highlight w:val="none"/>
        </w:rPr>
        <w:t>人，营业收入为</w:t>
      </w:r>
      <w:r>
        <w:rPr>
          <w:rFonts w:hint="eastAsia" w:ascii="仿宋" w:hAnsi="仿宋" w:eastAsia="仿宋" w:cs="仿宋"/>
          <w:sz w:val="24"/>
          <w:szCs w:val="24"/>
          <w:highlight w:val="none"/>
          <w:u w:val="single"/>
        </w:rPr>
        <w:t xml:space="preserve">     </w:t>
      </w:r>
      <w:r>
        <w:rPr>
          <w:rFonts w:hint="eastAsia" w:ascii="仿宋" w:hAnsi="仿宋" w:eastAsia="仿宋" w:cs="仿宋"/>
          <w:sz w:val="24"/>
          <w:szCs w:val="24"/>
          <w:highlight w:val="none"/>
        </w:rPr>
        <w:t>万元，资产总额为</w:t>
      </w:r>
      <w:r>
        <w:rPr>
          <w:rFonts w:hint="eastAsia" w:ascii="仿宋" w:hAnsi="仿宋" w:eastAsia="仿宋" w:cs="仿宋"/>
          <w:sz w:val="24"/>
          <w:szCs w:val="24"/>
          <w:highlight w:val="none"/>
          <w:u w:val="single"/>
        </w:rPr>
        <w:t xml:space="preserve">     </w:t>
      </w:r>
      <w:r>
        <w:rPr>
          <w:rFonts w:hint="eastAsia" w:ascii="仿宋" w:hAnsi="仿宋" w:eastAsia="仿宋" w:cs="仿宋"/>
          <w:sz w:val="24"/>
          <w:szCs w:val="24"/>
          <w:highlight w:val="none"/>
        </w:rPr>
        <w:t>万元</w:t>
      </w:r>
      <w:r>
        <w:rPr>
          <w:rFonts w:hint="eastAsia" w:ascii="仿宋" w:hAnsi="仿宋" w:eastAsia="仿宋" w:cs="仿宋"/>
          <w:sz w:val="24"/>
          <w:szCs w:val="24"/>
          <w:highlight w:val="none"/>
        </w:rPr>
        <w:fldChar w:fldCharType="begin"/>
      </w:r>
      <w:r>
        <w:rPr>
          <w:rFonts w:hint="eastAsia" w:ascii="仿宋" w:hAnsi="仿宋" w:eastAsia="仿宋" w:cs="仿宋"/>
          <w:sz w:val="24"/>
          <w:szCs w:val="24"/>
          <w:highlight w:val="none"/>
        </w:rPr>
        <w:instrText xml:space="preserve"> HYPERLINK \l "_bookmark1" </w:instrText>
      </w:r>
      <w:r>
        <w:rPr>
          <w:rFonts w:hint="eastAsia" w:ascii="仿宋" w:hAnsi="仿宋" w:eastAsia="仿宋" w:cs="仿宋"/>
          <w:sz w:val="24"/>
          <w:szCs w:val="24"/>
          <w:highlight w:val="none"/>
        </w:rPr>
        <w:fldChar w:fldCharType="separate"/>
      </w:r>
      <w:r>
        <w:rPr>
          <w:rFonts w:hint="eastAsia" w:ascii="仿宋" w:hAnsi="仿宋" w:eastAsia="仿宋" w:cs="仿宋"/>
          <w:sz w:val="24"/>
          <w:szCs w:val="24"/>
          <w:highlight w:val="none"/>
        </w:rPr>
        <w:t>1</w:t>
      </w:r>
      <w:r>
        <w:rPr>
          <w:rFonts w:hint="eastAsia" w:ascii="仿宋" w:hAnsi="仿宋" w:eastAsia="仿宋" w:cs="仿宋"/>
          <w:sz w:val="24"/>
          <w:szCs w:val="24"/>
          <w:highlight w:val="none"/>
        </w:rPr>
        <w:fldChar w:fldCharType="end"/>
      </w:r>
      <w:r>
        <w:rPr>
          <w:rFonts w:hint="eastAsia" w:ascii="仿宋" w:hAnsi="仿宋" w:eastAsia="仿宋" w:cs="仿宋"/>
          <w:sz w:val="24"/>
          <w:szCs w:val="24"/>
          <w:highlight w:val="none"/>
        </w:rPr>
        <w:t>，属于</w:t>
      </w:r>
      <w:r>
        <w:rPr>
          <w:rFonts w:hint="eastAsia" w:ascii="仿宋" w:hAnsi="仿宋" w:eastAsia="仿宋" w:cs="仿宋"/>
          <w:sz w:val="24"/>
          <w:szCs w:val="24"/>
          <w:highlight w:val="none"/>
          <w:u w:val="single"/>
        </w:rPr>
        <w:t>（中型企业、小型企业、微型企业）</w:t>
      </w:r>
      <w:r>
        <w:rPr>
          <w:rFonts w:hint="eastAsia" w:ascii="仿宋" w:hAnsi="仿宋" w:eastAsia="仿宋" w:cs="仿宋"/>
          <w:sz w:val="24"/>
          <w:szCs w:val="24"/>
          <w:highlight w:val="none"/>
        </w:rPr>
        <w:t>；</w:t>
      </w:r>
    </w:p>
    <w:p w14:paraId="74EA4053">
      <w:pPr>
        <w:spacing w:line="432"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w:t>
      </w:r>
    </w:p>
    <w:p w14:paraId="0F759BD3">
      <w:pPr>
        <w:spacing w:line="432"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以上企业，不属于大企业的分支机构，不存在控股股东为大企业的情形，也不存在与大企业的负责人为同一人的情形。</w:t>
      </w:r>
    </w:p>
    <w:p w14:paraId="5DAF6489">
      <w:pPr>
        <w:spacing w:line="432"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本企业对上述声明内容的真实性负责。如有虚假，将依法承担相应责任。</w:t>
      </w:r>
    </w:p>
    <w:p w14:paraId="40121287">
      <w:pPr>
        <w:spacing w:line="432" w:lineRule="auto"/>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 xml:space="preserve">            企业名称（盖章）：</w:t>
      </w:r>
    </w:p>
    <w:p w14:paraId="1BB286F3">
      <w:pPr>
        <w:spacing w:line="432" w:lineRule="auto"/>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日期：</w:t>
      </w:r>
    </w:p>
    <w:p w14:paraId="1D14CAC2">
      <w:pPr>
        <w:spacing w:line="432"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注：1、从业人员、营业收入、资产总额填报上一年度数据，无上一年度数据的新成立企业可不填报。</w:t>
      </w:r>
    </w:p>
    <w:p w14:paraId="58062DF4">
      <w:pPr>
        <w:spacing w:line="432" w:lineRule="auto"/>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2、不符合小型、微型企业条件的不需提供。</w:t>
      </w:r>
    </w:p>
    <w:p w14:paraId="1B1C2257">
      <w:pPr>
        <w:ind w:firstLine="480" w:firstLineChars="200"/>
        <w:rPr>
          <w:rFonts w:hint="eastAsia" w:ascii="宋体" w:hAnsi="宋体" w:cs="宋体"/>
          <w:b/>
          <w:sz w:val="24"/>
          <w:highlight w:val="none"/>
        </w:rPr>
      </w:pPr>
      <w:r>
        <w:rPr>
          <w:rFonts w:hint="eastAsia" w:ascii="仿宋" w:hAnsi="仿宋" w:eastAsia="仿宋" w:cs="仿宋"/>
          <w:sz w:val="24"/>
          <w:szCs w:val="24"/>
          <w:highlight w:val="none"/>
        </w:rPr>
        <w:br w:type="page"/>
      </w:r>
    </w:p>
    <w:p w14:paraId="0642F484">
      <w:pPr>
        <w:rPr>
          <w:rFonts w:ascii="仿宋" w:hAnsi="仿宋" w:eastAsia="仿宋" w:cs="仿宋"/>
          <w:highlight w:val="none"/>
        </w:rPr>
      </w:pPr>
    </w:p>
    <w:p w14:paraId="7515E03F">
      <w:pPr>
        <w:pStyle w:val="40"/>
        <w:rPr>
          <w:rFonts w:hint="default"/>
          <w:highlight w:val="none"/>
        </w:rPr>
      </w:pPr>
      <w:bookmarkStart w:id="92" w:name="_Toc5605"/>
      <w:r>
        <w:rPr>
          <w:highlight w:val="none"/>
        </w:rPr>
        <w:t>第五章  采购需求一览表及采购要求</w:t>
      </w:r>
      <w:bookmarkEnd w:id="92"/>
    </w:p>
    <w:p w14:paraId="5CD750BF">
      <w:pPr>
        <w:rPr>
          <w:rFonts w:ascii="仿宋" w:hAnsi="仿宋" w:eastAsia="仿宋" w:cs="仿宋"/>
          <w:spacing w:val="-6"/>
          <w:sz w:val="52"/>
          <w:highlight w:val="none"/>
        </w:rPr>
      </w:pPr>
    </w:p>
    <w:p w14:paraId="1B9EB7FE">
      <w:pPr>
        <w:pStyle w:val="42"/>
        <w:spacing w:before="240"/>
        <w:rPr>
          <w:rFonts w:hint="default"/>
          <w:highlight w:val="none"/>
        </w:rPr>
      </w:pPr>
      <w:bookmarkStart w:id="93" w:name="_Toc28597"/>
      <w:r>
        <w:rPr>
          <w:highlight w:val="none"/>
        </w:rPr>
        <w:t>一、采购需求一览表</w:t>
      </w:r>
      <w:bookmarkEnd w:id="93"/>
    </w:p>
    <w:p w14:paraId="076148D8">
      <w:pPr>
        <w:adjustRightInd w:val="0"/>
        <w:snapToGrid w:val="0"/>
        <w:spacing w:line="432" w:lineRule="auto"/>
        <w:ind w:left="-8" w:leftChars="-4" w:firstLine="7" w:firstLineChars="3"/>
        <w:rPr>
          <w:rFonts w:ascii="仿宋" w:hAnsi="仿宋" w:eastAsia="仿宋" w:cs="仿宋"/>
          <w:b/>
          <w:sz w:val="24"/>
          <w:highlight w:val="none"/>
        </w:rPr>
      </w:pPr>
    </w:p>
    <w:tbl>
      <w:tblPr>
        <w:tblStyle w:val="17"/>
        <w:tblpPr w:leftFromText="180" w:rightFromText="180" w:vertAnchor="text" w:tblpY="1"/>
        <w:tblOverlap w:val="never"/>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33"/>
        <w:gridCol w:w="6541"/>
      </w:tblGrid>
      <w:tr w14:paraId="0C6E5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10" w:hRule="atLeast"/>
        </w:trPr>
        <w:tc>
          <w:tcPr>
            <w:tcW w:w="1619" w:type="pct"/>
            <w:tcBorders>
              <w:tl2br w:val="single" w:color="auto" w:sz="4" w:space="0"/>
            </w:tcBorders>
          </w:tcPr>
          <w:p w14:paraId="4B64C693">
            <w:pPr>
              <w:spacing w:line="360" w:lineRule="auto"/>
              <w:ind w:firstLine="465"/>
              <w:rPr>
                <w:rFonts w:ascii="仿宋" w:hAnsi="仿宋" w:eastAsia="仿宋" w:cs="仿宋"/>
                <w:sz w:val="24"/>
                <w:highlight w:val="none"/>
              </w:rPr>
            </w:pPr>
          </w:p>
          <w:p w14:paraId="5B1EBFCF">
            <w:pPr>
              <w:spacing w:line="360" w:lineRule="auto"/>
              <w:ind w:firstLine="1300" w:firstLineChars="542"/>
              <w:rPr>
                <w:rFonts w:ascii="仿宋" w:hAnsi="仿宋" w:eastAsia="仿宋" w:cs="仿宋"/>
                <w:sz w:val="24"/>
                <w:highlight w:val="none"/>
              </w:rPr>
            </w:pPr>
            <w:r>
              <w:rPr>
                <w:rFonts w:hint="eastAsia" w:ascii="仿宋" w:hAnsi="仿宋" w:eastAsia="仿宋" w:cs="仿宋"/>
                <w:sz w:val="24"/>
                <w:highlight w:val="none"/>
              </w:rPr>
              <w:t>采购名称</w:t>
            </w:r>
          </w:p>
          <w:p w14:paraId="035D403F">
            <w:pPr>
              <w:spacing w:line="360" w:lineRule="auto"/>
              <w:ind w:firstLine="465"/>
              <w:rPr>
                <w:rFonts w:ascii="仿宋" w:hAnsi="仿宋" w:eastAsia="仿宋" w:cs="仿宋"/>
                <w:sz w:val="24"/>
                <w:highlight w:val="none"/>
              </w:rPr>
            </w:pPr>
            <w:r>
              <w:rPr>
                <w:rFonts w:hint="eastAsia" w:ascii="仿宋" w:hAnsi="仿宋" w:eastAsia="仿宋" w:cs="仿宋"/>
                <w:sz w:val="24"/>
                <w:highlight w:val="none"/>
              </w:rPr>
              <w:t>内容</w:t>
            </w:r>
          </w:p>
        </w:tc>
        <w:tc>
          <w:tcPr>
            <w:tcW w:w="3380" w:type="pct"/>
            <w:vAlign w:val="center"/>
          </w:tcPr>
          <w:p w14:paraId="16C6E491">
            <w:pPr>
              <w:spacing w:line="360" w:lineRule="auto"/>
              <w:jc w:val="center"/>
              <w:rPr>
                <w:rFonts w:ascii="仿宋" w:hAnsi="仿宋" w:eastAsia="仿宋" w:cs="仿宋"/>
                <w:sz w:val="24"/>
                <w:highlight w:val="none"/>
              </w:rPr>
            </w:pPr>
            <w:r>
              <w:rPr>
                <w:rFonts w:hint="eastAsia" w:ascii="仿宋" w:hAnsi="仿宋" w:eastAsia="仿宋" w:cs="仿宋"/>
                <w:sz w:val="24"/>
                <w:highlight w:val="none"/>
              </w:rPr>
              <w:t>详见“第一章谈判邀请”</w:t>
            </w:r>
          </w:p>
        </w:tc>
      </w:tr>
      <w:tr w14:paraId="33A10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5" w:hRule="atLeast"/>
        </w:trPr>
        <w:tc>
          <w:tcPr>
            <w:tcW w:w="1619" w:type="pct"/>
            <w:vAlign w:val="center"/>
          </w:tcPr>
          <w:p w14:paraId="1C10B2E9">
            <w:pPr>
              <w:spacing w:line="360" w:lineRule="auto"/>
              <w:jc w:val="center"/>
              <w:rPr>
                <w:rFonts w:ascii="仿宋" w:hAnsi="仿宋" w:eastAsia="仿宋" w:cs="仿宋"/>
                <w:sz w:val="24"/>
                <w:highlight w:val="none"/>
              </w:rPr>
            </w:pPr>
            <w:r>
              <w:rPr>
                <w:rFonts w:hint="eastAsia" w:ascii="仿宋" w:hAnsi="仿宋" w:eastAsia="仿宋" w:cs="仿宋"/>
                <w:sz w:val="24"/>
                <w:highlight w:val="none"/>
              </w:rPr>
              <w:t>数量</w:t>
            </w:r>
          </w:p>
        </w:tc>
        <w:tc>
          <w:tcPr>
            <w:tcW w:w="3380" w:type="pct"/>
            <w:vAlign w:val="center"/>
          </w:tcPr>
          <w:p w14:paraId="5652564C">
            <w:pPr>
              <w:spacing w:line="360" w:lineRule="auto"/>
              <w:jc w:val="center"/>
              <w:rPr>
                <w:rFonts w:ascii="仿宋" w:hAnsi="仿宋" w:eastAsia="仿宋" w:cs="仿宋"/>
                <w:sz w:val="24"/>
                <w:highlight w:val="none"/>
              </w:rPr>
            </w:pPr>
            <w:r>
              <w:rPr>
                <w:rFonts w:hint="eastAsia" w:ascii="仿宋" w:hAnsi="仿宋" w:eastAsia="仿宋" w:cs="仿宋"/>
                <w:sz w:val="24"/>
                <w:highlight w:val="none"/>
              </w:rPr>
              <w:t>详见第五章中的“采购要求”</w:t>
            </w:r>
          </w:p>
        </w:tc>
      </w:tr>
      <w:tr w14:paraId="528E1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5" w:hRule="atLeast"/>
        </w:trPr>
        <w:tc>
          <w:tcPr>
            <w:tcW w:w="1619" w:type="pct"/>
            <w:vAlign w:val="center"/>
          </w:tcPr>
          <w:p w14:paraId="67022BDF">
            <w:pPr>
              <w:spacing w:line="360" w:lineRule="auto"/>
              <w:jc w:val="center"/>
              <w:rPr>
                <w:rFonts w:ascii="仿宋" w:hAnsi="仿宋" w:eastAsia="仿宋" w:cs="仿宋"/>
                <w:sz w:val="24"/>
                <w:highlight w:val="none"/>
              </w:rPr>
            </w:pPr>
            <w:r>
              <w:rPr>
                <w:rFonts w:hint="eastAsia" w:ascii="仿宋" w:hAnsi="仿宋" w:eastAsia="仿宋" w:cs="仿宋"/>
                <w:sz w:val="24"/>
                <w:highlight w:val="none"/>
              </w:rPr>
              <w:t>交货期</w:t>
            </w:r>
          </w:p>
        </w:tc>
        <w:tc>
          <w:tcPr>
            <w:tcW w:w="3380" w:type="pct"/>
            <w:vAlign w:val="center"/>
          </w:tcPr>
          <w:p w14:paraId="5D8886E1">
            <w:pPr>
              <w:spacing w:line="360" w:lineRule="auto"/>
              <w:jc w:val="center"/>
              <w:rPr>
                <w:rFonts w:ascii="仿宋" w:hAnsi="仿宋" w:eastAsia="仿宋" w:cs="仿宋"/>
                <w:sz w:val="24"/>
                <w:highlight w:val="none"/>
              </w:rPr>
            </w:pPr>
            <w:r>
              <w:rPr>
                <w:rFonts w:hint="eastAsia" w:ascii="仿宋" w:hAnsi="仿宋" w:eastAsia="仿宋" w:cs="仿宋"/>
                <w:sz w:val="24"/>
                <w:highlight w:val="none"/>
              </w:rPr>
              <w:t>详见第五章中的“商务需求”</w:t>
            </w:r>
          </w:p>
        </w:tc>
      </w:tr>
      <w:tr w14:paraId="40C56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trPr>
        <w:tc>
          <w:tcPr>
            <w:tcW w:w="1619" w:type="pct"/>
            <w:vAlign w:val="center"/>
          </w:tcPr>
          <w:p w14:paraId="6B9B4BA3">
            <w:pPr>
              <w:spacing w:line="360" w:lineRule="auto"/>
              <w:jc w:val="center"/>
              <w:rPr>
                <w:rFonts w:ascii="仿宋" w:hAnsi="仿宋" w:eastAsia="仿宋" w:cs="仿宋"/>
                <w:sz w:val="24"/>
                <w:highlight w:val="none"/>
              </w:rPr>
            </w:pPr>
            <w:r>
              <w:rPr>
                <w:rFonts w:hint="eastAsia" w:ascii="仿宋" w:hAnsi="仿宋" w:eastAsia="仿宋" w:cs="仿宋"/>
                <w:sz w:val="24"/>
                <w:highlight w:val="none"/>
              </w:rPr>
              <w:t>交货地点</w:t>
            </w:r>
          </w:p>
        </w:tc>
        <w:tc>
          <w:tcPr>
            <w:tcW w:w="3380" w:type="pct"/>
            <w:vAlign w:val="center"/>
          </w:tcPr>
          <w:p w14:paraId="68C24124">
            <w:pPr>
              <w:spacing w:line="360" w:lineRule="auto"/>
              <w:ind w:left="480" w:hanging="480" w:hangingChars="200"/>
              <w:jc w:val="center"/>
              <w:rPr>
                <w:rFonts w:ascii="仿宋" w:hAnsi="仿宋" w:eastAsia="仿宋" w:cs="仿宋"/>
                <w:bCs/>
                <w:sz w:val="24"/>
                <w:szCs w:val="24"/>
                <w:highlight w:val="none"/>
              </w:rPr>
            </w:pPr>
            <w:r>
              <w:rPr>
                <w:rFonts w:hint="eastAsia" w:ascii="仿宋" w:hAnsi="仿宋" w:eastAsia="仿宋" w:cs="仿宋"/>
                <w:sz w:val="24"/>
                <w:highlight w:val="none"/>
              </w:rPr>
              <w:t>详见第五章中的“商务需求”</w:t>
            </w:r>
          </w:p>
        </w:tc>
      </w:tr>
      <w:tr w14:paraId="4EF1E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2" w:hRule="atLeast"/>
        </w:trPr>
        <w:tc>
          <w:tcPr>
            <w:tcW w:w="1619" w:type="pct"/>
            <w:vAlign w:val="center"/>
          </w:tcPr>
          <w:p w14:paraId="686993FC">
            <w:pPr>
              <w:spacing w:line="360" w:lineRule="auto"/>
              <w:jc w:val="center"/>
              <w:rPr>
                <w:rFonts w:ascii="仿宋" w:hAnsi="仿宋" w:eastAsia="仿宋" w:cs="仿宋"/>
                <w:sz w:val="24"/>
                <w:highlight w:val="none"/>
              </w:rPr>
            </w:pPr>
            <w:r>
              <w:rPr>
                <w:rFonts w:hint="eastAsia" w:ascii="仿宋" w:hAnsi="仿宋" w:eastAsia="仿宋" w:cs="仿宋"/>
                <w:sz w:val="24"/>
                <w:highlight w:val="none"/>
              </w:rPr>
              <w:t>备注</w:t>
            </w:r>
          </w:p>
        </w:tc>
        <w:tc>
          <w:tcPr>
            <w:tcW w:w="3380" w:type="pct"/>
            <w:vAlign w:val="center"/>
          </w:tcPr>
          <w:p w14:paraId="1FC25316">
            <w:pPr>
              <w:spacing w:line="360" w:lineRule="auto"/>
              <w:ind w:firstLine="422" w:firstLineChars="175"/>
              <w:jc w:val="left"/>
              <w:rPr>
                <w:rFonts w:ascii="仿宋" w:hAnsi="仿宋" w:eastAsia="仿宋" w:cs="仿宋"/>
                <w:b/>
                <w:bCs/>
                <w:sz w:val="24"/>
                <w:szCs w:val="24"/>
                <w:highlight w:val="none"/>
              </w:rPr>
            </w:pPr>
          </w:p>
        </w:tc>
      </w:tr>
    </w:tbl>
    <w:p w14:paraId="07CD368A">
      <w:pPr>
        <w:jc w:val="center"/>
        <w:rPr>
          <w:rFonts w:ascii="仿宋" w:hAnsi="仿宋" w:eastAsia="仿宋" w:cs="仿宋"/>
          <w:spacing w:val="-6"/>
          <w:sz w:val="52"/>
          <w:highlight w:val="none"/>
        </w:rPr>
        <w:sectPr>
          <w:footerReference r:id="rId16" w:type="default"/>
          <w:pgSz w:w="11906" w:h="16838"/>
          <w:pgMar w:top="1440" w:right="1028" w:bottom="1440" w:left="1418" w:header="851" w:footer="851" w:gutter="0"/>
          <w:cols w:space="425" w:num="1"/>
          <w:docGrid w:linePitch="312" w:charSpace="0"/>
        </w:sectPr>
      </w:pPr>
      <w:r>
        <w:rPr>
          <w:rFonts w:hint="eastAsia" w:ascii="仿宋" w:hAnsi="仿宋" w:eastAsia="仿宋" w:cs="仿宋"/>
          <w:spacing w:val="-6"/>
          <w:sz w:val="52"/>
          <w:highlight w:val="none"/>
        </w:rPr>
        <w:br w:type="textWrapping" w:clear="all"/>
      </w:r>
      <w:r>
        <w:rPr>
          <w:rFonts w:hint="eastAsia" w:ascii="仿宋" w:hAnsi="仿宋" w:eastAsia="仿宋" w:cs="仿宋"/>
          <w:spacing w:val="-6"/>
          <w:sz w:val="52"/>
          <w:highlight w:val="none"/>
        </w:rPr>
        <w:br w:type="textWrapping" w:clear="all"/>
      </w:r>
    </w:p>
    <w:p w14:paraId="5FB088F4">
      <w:pPr>
        <w:pStyle w:val="42"/>
        <w:spacing w:before="240"/>
        <w:rPr>
          <w:rFonts w:hint="eastAsia"/>
          <w:highlight w:val="none"/>
        </w:rPr>
      </w:pPr>
      <w:bookmarkStart w:id="94" w:name="_Toc30652"/>
      <w:r>
        <w:rPr>
          <w:rFonts w:hint="eastAsia"/>
          <w:highlight w:val="none"/>
          <w:lang w:val="en-US" w:eastAsia="zh-CN"/>
        </w:rPr>
        <w:t>二</w:t>
      </w:r>
      <w:r>
        <w:rPr>
          <w:highlight w:val="none"/>
        </w:rPr>
        <w:t>、</w:t>
      </w:r>
      <w:r>
        <w:rPr>
          <w:rFonts w:hint="eastAsia"/>
          <w:highlight w:val="none"/>
        </w:rPr>
        <w:t>采购需求</w:t>
      </w:r>
      <w:bookmarkEnd w:id="94"/>
    </w:p>
    <w:p w14:paraId="7B0FFFC2">
      <w:pPr>
        <w:numPr>
          <w:ilvl w:val="0"/>
          <w:numId w:val="2"/>
        </w:numPr>
        <w:spacing w:line="460" w:lineRule="exact"/>
        <w:outlineLvl w:val="2"/>
        <w:rPr>
          <w:rFonts w:hint="eastAsia" w:ascii="仿宋" w:hAnsi="仿宋" w:eastAsia="仿宋" w:cs="仿宋"/>
          <w:b/>
          <w:bCs/>
          <w:sz w:val="24"/>
          <w:szCs w:val="24"/>
          <w:highlight w:val="none"/>
        </w:rPr>
      </w:pPr>
      <w:bookmarkStart w:id="95" w:name="_Toc6509"/>
      <w:r>
        <w:rPr>
          <w:rFonts w:hint="eastAsia" w:ascii="仿宋" w:hAnsi="仿宋" w:eastAsia="仿宋" w:cs="仿宋"/>
          <w:b/>
          <w:bCs/>
          <w:sz w:val="24"/>
          <w:szCs w:val="24"/>
          <w:highlight w:val="none"/>
        </w:rPr>
        <w:t>技术需求</w:t>
      </w:r>
      <w:bookmarkEnd w:id="95"/>
    </w:p>
    <w:p w14:paraId="68D05245">
      <w:pPr>
        <w:numPr>
          <w:ilvl w:val="0"/>
          <w:numId w:val="0"/>
        </w:numPr>
        <w:spacing w:line="460" w:lineRule="exact"/>
        <w:outlineLvl w:val="2"/>
        <w:rPr>
          <w:rFonts w:hint="default" w:ascii="仿宋" w:hAnsi="仿宋" w:eastAsia="仿宋" w:cs="仿宋"/>
          <w:b/>
          <w:bCs/>
          <w:sz w:val="24"/>
          <w:szCs w:val="24"/>
          <w:highlight w:val="none"/>
          <w:lang w:val="en-US" w:eastAsia="zh-CN"/>
        </w:rPr>
      </w:pPr>
      <w:bookmarkStart w:id="96" w:name="_Toc22651"/>
      <w:r>
        <w:rPr>
          <w:rFonts w:hint="eastAsia" w:ascii="仿宋" w:hAnsi="仿宋" w:eastAsia="仿宋" w:cs="仿宋"/>
          <w:b/>
          <w:bCs/>
          <w:sz w:val="24"/>
          <w:szCs w:val="24"/>
          <w:highlight w:val="none"/>
          <w:lang w:val="en-US" w:eastAsia="zh-CN"/>
        </w:rPr>
        <w:t>1、工程量清单</w:t>
      </w:r>
      <w:bookmarkEnd w:id="96"/>
    </w:p>
    <w:tbl>
      <w:tblPr>
        <w:tblStyle w:val="17"/>
        <w:tblW w:w="9301"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84"/>
        <w:gridCol w:w="1422"/>
        <w:gridCol w:w="1459"/>
        <w:gridCol w:w="1521"/>
        <w:gridCol w:w="542"/>
        <w:gridCol w:w="499"/>
        <w:gridCol w:w="424"/>
        <w:gridCol w:w="890"/>
        <w:gridCol w:w="507"/>
        <w:gridCol w:w="493"/>
        <w:gridCol w:w="790"/>
        <w:gridCol w:w="10"/>
        <w:gridCol w:w="160"/>
      </w:tblGrid>
      <w:tr w14:paraId="498026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5" w:hRule="atLeast"/>
        </w:trPr>
        <w:tc>
          <w:tcPr>
            <w:tcW w:w="9301" w:type="dxa"/>
            <w:gridSpan w:val="13"/>
            <w:tcBorders>
              <w:top w:val="nil"/>
              <w:left w:val="nil"/>
              <w:bottom w:val="nil"/>
              <w:right w:val="nil"/>
            </w:tcBorders>
            <w:shd w:val="clear" w:color="FFFFFF" w:fill="FFFFFF"/>
            <w:vAlign w:val="center"/>
          </w:tcPr>
          <w:p w14:paraId="61D347D9">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分部分项工程和单价措施项目清单与计价表</w:t>
            </w:r>
          </w:p>
        </w:tc>
      </w:tr>
      <w:tr w14:paraId="16F681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6027" w:type="dxa"/>
            <w:gridSpan w:val="6"/>
            <w:tcBorders>
              <w:top w:val="nil"/>
              <w:left w:val="nil"/>
              <w:bottom w:val="nil"/>
              <w:right w:val="nil"/>
            </w:tcBorders>
            <w:shd w:val="clear" w:color="FFFFFF" w:fill="FFFFFF"/>
            <w:vAlign w:val="bottom"/>
          </w:tcPr>
          <w:p w14:paraId="3275AF2A">
            <w:pPr>
              <w:pStyle w:val="14"/>
              <w:keepNext w:val="0"/>
              <w:keepLines w:val="0"/>
              <w:widowControl/>
              <w:suppressLineNumbers w:val="0"/>
              <w:spacing w:before="0" w:beforeAutospacing="0" w:after="0" w:afterAutospacing="0"/>
              <w:ind w:left="0" w:right="0" w:firstLine="0"/>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工程名称：东乡经开区渊山岗工业园金海岛厂区维修工程-屋面钢结构维修</w:t>
            </w:r>
          </w:p>
        </w:tc>
        <w:tc>
          <w:tcPr>
            <w:tcW w:w="1821" w:type="dxa"/>
            <w:gridSpan w:val="3"/>
            <w:tcBorders>
              <w:top w:val="nil"/>
              <w:left w:val="nil"/>
              <w:bottom w:val="nil"/>
              <w:right w:val="nil"/>
            </w:tcBorders>
            <w:shd w:val="clear" w:color="FFFFFF" w:fill="FFFFFF"/>
            <w:vAlign w:val="bottom"/>
          </w:tcPr>
          <w:p w14:paraId="759CF17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标段：</w:t>
            </w:r>
          </w:p>
        </w:tc>
        <w:tc>
          <w:tcPr>
            <w:tcW w:w="1453" w:type="dxa"/>
            <w:gridSpan w:val="4"/>
            <w:tcBorders>
              <w:top w:val="nil"/>
              <w:left w:val="nil"/>
              <w:bottom w:val="nil"/>
              <w:right w:val="nil"/>
            </w:tcBorders>
            <w:shd w:val="clear" w:color="FFFFFF" w:fill="FFFFFF"/>
            <w:vAlign w:val="bottom"/>
          </w:tcPr>
          <w:p w14:paraId="15FE5C99">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p>
        </w:tc>
      </w:tr>
      <w:tr w14:paraId="20724D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70" w:type="dxa"/>
          <w:trHeight w:val="360" w:hRule="atLeast"/>
        </w:trPr>
        <w:tc>
          <w:tcPr>
            <w:tcW w:w="584" w:type="dxa"/>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14:paraId="0B5054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422"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0EA972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项目编码</w:t>
            </w:r>
          </w:p>
        </w:tc>
        <w:tc>
          <w:tcPr>
            <w:tcW w:w="1459"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5E1884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1521"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7C9F33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项目特征描述</w:t>
            </w:r>
          </w:p>
        </w:tc>
        <w:tc>
          <w:tcPr>
            <w:tcW w:w="542"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1ED98B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计量单位</w:t>
            </w:r>
          </w:p>
        </w:tc>
        <w:tc>
          <w:tcPr>
            <w:tcW w:w="923" w:type="dxa"/>
            <w:gridSpan w:val="2"/>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6EA10A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工程量</w:t>
            </w:r>
          </w:p>
        </w:tc>
        <w:tc>
          <w:tcPr>
            <w:tcW w:w="2680" w:type="dxa"/>
            <w:gridSpan w:val="4"/>
            <w:tcBorders>
              <w:top w:val="single" w:color="000000" w:sz="8" w:space="0"/>
              <w:left w:val="single" w:color="000000" w:sz="4" w:space="0"/>
              <w:bottom w:val="single" w:color="000000" w:sz="4" w:space="0"/>
              <w:right w:val="single" w:color="000000" w:sz="4" w:space="0"/>
            </w:tcBorders>
            <w:shd w:val="clear" w:color="FFFFFF" w:fill="FFFFFF"/>
            <w:vAlign w:val="center"/>
          </w:tcPr>
          <w:p w14:paraId="6581F2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金额（元）</w:t>
            </w:r>
          </w:p>
        </w:tc>
      </w:tr>
      <w:tr w14:paraId="7B0534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70" w:type="dxa"/>
          <w:trHeight w:val="360" w:hRule="atLeast"/>
        </w:trPr>
        <w:tc>
          <w:tcPr>
            <w:tcW w:w="584"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7B359F4D">
            <w:pPr>
              <w:jc w:val="center"/>
              <w:rPr>
                <w:rFonts w:hint="eastAsia" w:ascii="宋体" w:hAnsi="宋体" w:eastAsia="宋体" w:cs="宋体"/>
                <w:i w:val="0"/>
                <w:iCs w:val="0"/>
                <w:color w:val="000000"/>
                <w:sz w:val="20"/>
                <w:szCs w:val="20"/>
                <w:u w:val="none"/>
              </w:rPr>
            </w:pPr>
          </w:p>
        </w:tc>
        <w:tc>
          <w:tcPr>
            <w:tcW w:w="1422"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6073F56C">
            <w:pPr>
              <w:jc w:val="center"/>
              <w:rPr>
                <w:rFonts w:hint="eastAsia" w:ascii="宋体" w:hAnsi="宋体" w:eastAsia="宋体" w:cs="宋体"/>
                <w:i w:val="0"/>
                <w:iCs w:val="0"/>
                <w:color w:val="000000"/>
                <w:sz w:val="20"/>
                <w:szCs w:val="20"/>
                <w:u w:val="none"/>
              </w:rPr>
            </w:pPr>
          </w:p>
        </w:tc>
        <w:tc>
          <w:tcPr>
            <w:tcW w:w="1459"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233F202F">
            <w:pPr>
              <w:jc w:val="center"/>
              <w:rPr>
                <w:rFonts w:hint="eastAsia" w:ascii="宋体" w:hAnsi="宋体" w:eastAsia="宋体" w:cs="宋体"/>
                <w:i w:val="0"/>
                <w:iCs w:val="0"/>
                <w:color w:val="000000"/>
                <w:sz w:val="20"/>
                <w:szCs w:val="20"/>
                <w:u w:val="none"/>
              </w:rPr>
            </w:pPr>
          </w:p>
        </w:tc>
        <w:tc>
          <w:tcPr>
            <w:tcW w:w="1521"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1F11925F">
            <w:pPr>
              <w:jc w:val="center"/>
              <w:rPr>
                <w:rFonts w:hint="eastAsia" w:ascii="宋体" w:hAnsi="宋体" w:eastAsia="宋体" w:cs="宋体"/>
                <w:i w:val="0"/>
                <w:iCs w:val="0"/>
                <w:color w:val="000000"/>
                <w:sz w:val="20"/>
                <w:szCs w:val="20"/>
                <w:u w:val="none"/>
              </w:rPr>
            </w:pPr>
          </w:p>
        </w:tc>
        <w:tc>
          <w:tcPr>
            <w:tcW w:w="542"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12BE3BBD">
            <w:pPr>
              <w:jc w:val="center"/>
              <w:rPr>
                <w:rFonts w:hint="eastAsia" w:ascii="宋体" w:hAnsi="宋体" w:eastAsia="宋体" w:cs="宋体"/>
                <w:i w:val="0"/>
                <w:iCs w:val="0"/>
                <w:color w:val="000000"/>
                <w:sz w:val="20"/>
                <w:szCs w:val="20"/>
                <w:u w:val="none"/>
              </w:rPr>
            </w:pPr>
          </w:p>
        </w:tc>
        <w:tc>
          <w:tcPr>
            <w:tcW w:w="923" w:type="dxa"/>
            <w:gridSpan w:val="2"/>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5E618785">
            <w:pPr>
              <w:jc w:val="center"/>
              <w:rPr>
                <w:rFonts w:hint="eastAsia" w:ascii="宋体" w:hAnsi="宋体" w:eastAsia="宋体" w:cs="宋体"/>
                <w:i w:val="0"/>
                <w:iCs w:val="0"/>
                <w:color w:val="000000"/>
                <w:sz w:val="20"/>
                <w:szCs w:val="20"/>
                <w:u w:val="none"/>
              </w:rPr>
            </w:pPr>
          </w:p>
        </w:tc>
        <w:tc>
          <w:tcPr>
            <w:tcW w:w="89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FBD13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综合单价</w:t>
            </w:r>
          </w:p>
        </w:tc>
        <w:tc>
          <w:tcPr>
            <w:tcW w:w="100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29DF5C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综合合价</w:t>
            </w:r>
          </w:p>
        </w:tc>
        <w:tc>
          <w:tcPr>
            <w:tcW w:w="79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3E2621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其中：暂估价</w:t>
            </w:r>
          </w:p>
        </w:tc>
      </w:tr>
      <w:tr w14:paraId="02C092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70" w:type="dxa"/>
          <w:trHeight w:val="360" w:hRule="atLeast"/>
        </w:trPr>
        <w:tc>
          <w:tcPr>
            <w:tcW w:w="584"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0BC6CC76">
            <w:pPr>
              <w:jc w:val="center"/>
              <w:rPr>
                <w:rFonts w:hint="eastAsia" w:ascii="宋体" w:hAnsi="宋体" w:eastAsia="宋体" w:cs="宋体"/>
                <w:i w:val="0"/>
                <w:iCs w:val="0"/>
                <w:color w:val="000000"/>
                <w:sz w:val="20"/>
                <w:szCs w:val="20"/>
                <w:u w:val="none"/>
              </w:rPr>
            </w:pPr>
          </w:p>
        </w:tc>
        <w:tc>
          <w:tcPr>
            <w:tcW w:w="142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7469D5B">
            <w:pPr>
              <w:jc w:val="left"/>
              <w:rPr>
                <w:rFonts w:hint="eastAsia" w:ascii="宋体" w:hAnsi="宋体" w:eastAsia="宋体" w:cs="宋体"/>
                <w:i w:val="0"/>
                <w:iCs w:val="0"/>
                <w:color w:val="000000"/>
                <w:sz w:val="20"/>
                <w:szCs w:val="20"/>
                <w:u w:val="none"/>
              </w:rPr>
            </w:pPr>
          </w:p>
        </w:tc>
        <w:tc>
          <w:tcPr>
            <w:tcW w:w="1459"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DA91CE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维修工程</w:t>
            </w:r>
          </w:p>
        </w:tc>
        <w:tc>
          <w:tcPr>
            <w:tcW w:w="152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21E604F">
            <w:pPr>
              <w:jc w:val="left"/>
              <w:rPr>
                <w:rFonts w:hint="eastAsia" w:ascii="宋体" w:hAnsi="宋体" w:eastAsia="宋体" w:cs="宋体"/>
                <w:i w:val="0"/>
                <w:iCs w:val="0"/>
                <w:color w:val="000000"/>
                <w:sz w:val="20"/>
                <w:szCs w:val="20"/>
                <w:u w:val="none"/>
              </w:rPr>
            </w:pPr>
          </w:p>
        </w:tc>
        <w:tc>
          <w:tcPr>
            <w:tcW w:w="54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7535737">
            <w:pPr>
              <w:jc w:val="left"/>
              <w:rPr>
                <w:rFonts w:hint="eastAsia" w:ascii="宋体" w:hAnsi="宋体" w:eastAsia="宋体" w:cs="宋体"/>
                <w:i w:val="0"/>
                <w:iCs w:val="0"/>
                <w:color w:val="000000"/>
                <w:sz w:val="20"/>
                <w:szCs w:val="20"/>
                <w:u w:val="none"/>
              </w:rPr>
            </w:pPr>
          </w:p>
        </w:tc>
        <w:tc>
          <w:tcPr>
            <w:tcW w:w="923"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75248C30">
            <w:pPr>
              <w:jc w:val="right"/>
              <w:rPr>
                <w:rFonts w:hint="eastAsia" w:ascii="宋体" w:hAnsi="宋体" w:eastAsia="宋体" w:cs="宋体"/>
                <w:i w:val="0"/>
                <w:iCs w:val="0"/>
                <w:color w:val="000000"/>
                <w:sz w:val="20"/>
                <w:szCs w:val="20"/>
                <w:u w:val="none"/>
              </w:rPr>
            </w:pPr>
          </w:p>
        </w:tc>
        <w:tc>
          <w:tcPr>
            <w:tcW w:w="89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F9D4671">
            <w:pPr>
              <w:jc w:val="right"/>
              <w:rPr>
                <w:rFonts w:hint="eastAsia" w:ascii="宋体" w:hAnsi="宋体" w:eastAsia="宋体" w:cs="宋体"/>
                <w:i w:val="0"/>
                <w:iCs w:val="0"/>
                <w:color w:val="000000"/>
                <w:sz w:val="20"/>
                <w:szCs w:val="20"/>
                <w:u w:val="none"/>
              </w:rPr>
            </w:pPr>
          </w:p>
        </w:tc>
        <w:tc>
          <w:tcPr>
            <w:tcW w:w="100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199712A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79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6B78760C">
            <w:pPr>
              <w:jc w:val="right"/>
              <w:rPr>
                <w:rFonts w:hint="eastAsia" w:ascii="宋体" w:hAnsi="宋体" w:eastAsia="宋体" w:cs="宋体"/>
                <w:i w:val="0"/>
                <w:iCs w:val="0"/>
                <w:color w:val="000000"/>
                <w:sz w:val="20"/>
                <w:szCs w:val="20"/>
                <w:u w:val="none"/>
              </w:rPr>
            </w:pPr>
          </w:p>
        </w:tc>
      </w:tr>
      <w:tr w14:paraId="5A04F2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70" w:type="dxa"/>
          <w:trHeight w:val="360" w:hRule="atLeast"/>
        </w:trPr>
        <w:tc>
          <w:tcPr>
            <w:tcW w:w="584"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25929CCA">
            <w:pPr>
              <w:jc w:val="center"/>
              <w:rPr>
                <w:rFonts w:hint="eastAsia" w:ascii="宋体" w:hAnsi="宋体" w:eastAsia="宋体" w:cs="宋体"/>
                <w:i w:val="0"/>
                <w:iCs w:val="0"/>
                <w:color w:val="000000"/>
                <w:sz w:val="20"/>
                <w:szCs w:val="20"/>
                <w:u w:val="none"/>
              </w:rPr>
            </w:pPr>
          </w:p>
        </w:tc>
        <w:tc>
          <w:tcPr>
            <w:tcW w:w="142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62582B8">
            <w:pPr>
              <w:jc w:val="left"/>
              <w:rPr>
                <w:rFonts w:hint="eastAsia" w:ascii="宋体" w:hAnsi="宋体" w:eastAsia="宋体" w:cs="宋体"/>
                <w:i w:val="0"/>
                <w:iCs w:val="0"/>
                <w:color w:val="000000"/>
                <w:sz w:val="20"/>
                <w:szCs w:val="20"/>
                <w:u w:val="none"/>
              </w:rPr>
            </w:pPr>
          </w:p>
        </w:tc>
        <w:tc>
          <w:tcPr>
            <w:tcW w:w="1459"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74BBA4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钢结构屋面</w:t>
            </w:r>
          </w:p>
        </w:tc>
        <w:tc>
          <w:tcPr>
            <w:tcW w:w="152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BA148C0">
            <w:pPr>
              <w:jc w:val="left"/>
              <w:rPr>
                <w:rFonts w:hint="eastAsia" w:ascii="宋体" w:hAnsi="宋体" w:eastAsia="宋体" w:cs="宋体"/>
                <w:i w:val="0"/>
                <w:iCs w:val="0"/>
                <w:color w:val="000000"/>
                <w:sz w:val="20"/>
                <w:szCs w:val="20"/>
                <w:u w:val="none"/>
              </w:rPr>
            </w:pPr>
          </w:p>
        </w:tc>
        <w:tc>
          <w:tcPr>
            <w:tcW w:w="54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C84F604">
            <w:pPr>
              <w:jc w:val="left"/>
              <w:rPr>
                <w:rFonts w:hint="eastAsia" w:ascii="宋体" w:hAnsi="宋体" w:eastAsia="宋体" w:cs="宋体"/>
                <w:i w:val="0"/>
                <w:iCs w:val="0"/>
                <w:color w:val="000000"/>
                <w:sz w:val="20"/>
                <w:szCs w:val="20"/>
                <w:u w:val="none"/>
              </w:rPr>
            </w:pPr>
          </w:p>
        </w:tc>
        <w:tc>
          <w:tcPr>
            <w:tcW w:w="923"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51F5C09B">
            <w:pPr>
              <w:jc w:val="right"/>
              <w:rPr>
                <w:rFonts w:hint="eastAsia" w:ascii="宋体" w:hAnsi="宋体" w:eastAsia="宋体" w:cs="宋体"/>
                <w:i w:val="0"/>
                <w:iCs w:val="0"/>
                <w:color w:val="000000"/>
                <w:sz w:val="20"/>
                <w:szCs w:val="20"/>
                <w:u w:val="none"/>
              </w:rPr>
            </w:pPr>
          </w:p>
        </w:tc>
        <w:tc>
          <w:tcPr>
            <w:tcW w:w="89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1154E32">
            <w:pPr>
              <w:jc w:val="right"/>
              <w:rPr>
                <w:rFonts w:hint="eastAsia" w:ascii="宋体" w:hAnsi="宋体" w:eastAsia="宋体" w:cs="宋体"/>
                <w:i w:val="0"/>
                <w:iCs w:val="0"/>
                <w:color w:val="000000"/>
                <w:sz w:val="20"/>
                <w:szCs w:val="20"/>
                <w:u w:val="none"/>
              </w:rPr>
            </w:pPr>
          </w:p>
        </w:tc>
        <w:tc>
          <w:tcPr>
            <w:tcW w:w="100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713355B9">
            <w:pPr>
              <w:jc w:val="right"/>
              <w:rPr>
                <w:rFonts w:hint="eastAsia" w:ascii="宋体" w:hAnsi="宋体" w:eastAsia="宋体" w:cs="宋体"/>
                <w:i w:val="0"/>
                <w:iCs w:val="0"/>
                <w:color w:val="000000"/>
                <w:sz w:val="20"/>
                <w:szCs w:val="20"/>
                <w:u w:val="none"/>
              </w:rPr>
            </w:pPr>
          </w:p>
        </w:tc>
        <w:tc>
          <w:tcPr>
            <w:tcW w:w="79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570E3758">
            <w:pPr>
              <w:jc w:val="right"/>
              <w:rPr>
                <w:rFonts w:hint="eastAsia" w:ascii="宋体" w:hAnsi="宋体" w:eastAsia="宋体" w:cs="宋体"/>
                <w:i w:val="0"/>
                <w:iCs w:val="0"/>
                <w:color w:val="000000"/>
                <w:sz w:val="20"/>
                <w:szCs w:val="20"/>
                <w:u w:val="none"/>
              </w:rPr>
            </w:pPr>
          </w:p>
        </w:tc>
      </w:tr>
      <w:tr w14:paraId="4C5FE4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70" w:type="dxa"/>
          <w:trHeight w:val="570" w:hRule="atLeast"/>
        </w:trPr>
        <w:tc>
          <w:tcPr>
            <w:tcW w:w="584"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331BA2A9">
            <w:pPr>
              <w:jc w:val="center"/>
              <w:rPr>
                <w:rFonts w:hint="eastAsia" w:ascii="宋体" w:hAnsi="宋体" w:eastAsia="宋体" w:cs="宋体"/>
                <w:i w:val="0"/>
                <w:iCs w:val="0"/>
                <w:color w:val="000000"/>
                <w:sz w:val="20"/>
                <w:szCs w:val="20"/>
                <w:u w:val="none"/>
              </w:rPr>
            </w:pPr>
          </w:p>
        </w:tc>
        <w:tc>
          <w:tcPr>
            <w:tcW w:w="142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E2DAE5C">
            <w:pPr>
              <w:jc w:val="left"/>
              <w:rPr>
                <w:rFonts w:hint="eastAsia" w:ascii="宋体" w:hAnsi="宋体" w:eastAsia="宋体" w:cs="宋体"/>
                <w:i w:val="0"/>
                <w:iCs w:val="0"/>
                <w:color w:val="000000"/>
                <w:sz w:val="20"/>
                <w:szCs w:val="20"/>
                <w:u w:val="none"/>
              </w:rPr>
            </w:pPr>
          </w:p>
        </w:tc>
        <w:tc>
          <w:tcPr>
            <w:tcW w:w="1459"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09D82A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钢结构屋面板拆除</w:t>
            </w:r>
          </w:p>
        </w:tc>
        <w:tc>
          <w:tcPr>
            <w:tcW w:w="152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15D8A38">
            <w:pPr>
              <w:jc w:val="left"/>
              <w:rPr>
                <w:rFonts w:hint="eastAsia" w:ascii="宋体" w:hAnsi="宋体" w:eastAsia="宋体" w:cs="宋体"/>
                <w:i w:val="0"/>
                <w:iCs w:val="0"/>
                <w:color w:val="000000"/>
                <w:sz w:val="20"/>
                <w:szCs w:val="20"/>
                <w:u w:val="none"/>
              </w:rPr>
            </w:pPr>
          </w:p>
        </w:tc>
        <w:tc>
          <w:tcPr>
            <w:tcW w:w="54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A5CAC25">
            <w:pPr>
              <w:jc w:val="left"/>
              <w:rPr>
                <w:rFonts w:hint="eastAsia" w:ascii="宋体" w:hAnsi="宋体" w:eastAsia="宋体" w:cs="宋体"/>
                <w:i w:val="0"/>
                <w:iCs w:val="0"/>
                <w:color w:val="000000"/>
                <w:sz w:val="20"/>
                <w:szCs w:val="20"/>
                <w:u w:val="none"/>
              </w:rPr>
            </w:pPr>
          </w:p>
        </w:tc>
        <w:tc>
          <w:tcPr>
            <w:tcW w:w="923"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1240B737">
            <w:pPr>
              <w:jc w:val="right"/>
              <w:rPr>
                <w:rFonts w:hint="eastAsia" w:ascii="宋体" w:hAnsi="宋体" w:eastAsia="宋体" w:cs="宋体"/>
                <w:i w:val="0"/>
                <w:iCs w:val="0"/>
                <w:color w:val="000000"/>
                <w:sz w:val="20"/>
                <w:szCs w:val="20"/>
                <w:u w:val="none"/>
              </w:rPr>
            </w:pPr>
          </w:p>
        </w:tc>
        <w:tc>
          <w:tcPr>
            <w:tcW w:w="89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180C4AB">
            <w:pPr>
              <w:jc w:val="right"/>
              <w:rPr>
                <w:rFonts w:hint="eastAsia" w:ascii="宋体" w:hAnsi="宋体" w:eastAsia="宋体" w:cs="宋体"/>
                <w:i w:val="0"/>
                <w:iCs w:val="0"/>
                <w:color w:val="000000"/>
                <w:sz w:val="20"/>
                <w:szCs w:val="20"/>
                <w:u w:val="none"/>
              </w:rPr>
            </w:pPr>
          </w:p>
        </w:tc>
        <w:tc>
          <w:tcPr>
            <w:tcW w:w="100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2FFC08C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79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4FE755B2">
            <w:pPr>
              <w:jc w:val="right"/>
              <w:rPr>
                <w:rFonts w:hint="eastAsia" w:ascii="宋体" w:hAnsi="宋体" w:eastAsia="宋体" w:cs="宋体"/>
                <w:i w:val="0"/>
                <w:iCs w:val="0"/>
                <w:color w:val="000000"/>
                <w:sz w:val="20"/>
                <w:szCs w:val="20"/>
                <w:u w:val="none"/>
              </w:rPr>
            </w:pPr>
          </w:p>
        </w:tc>
      </w:tr>
      <w:tr w14:paraId="4FA797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70" w:type="dxa"/>
          <w:trHeight w:val="825" w:hRule="atLeast"/>
        </w:trPr>
        <w:tc>
          <w:tcPr>
            <w:tcW w:w="584"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68D30E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42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7B45B8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011607001001</w:t>
            </w:r>
          </w:p>
        </w:tc>
        <w:tc>
          <w:tcPr>
            <w:tcW w:w="1459"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3F1677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刚性层拆除</w:t>
            </w:r>
          </w:p>
        </w:tc>
        <w:tc>
          <w:tcPr>
            <w:tcW w:w="152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F002B1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1.金属压型板屋面 其他龙骨 单价*0.9</w:t>
            </w:r>
          </w:p>
        </w:tc>
        <w:tc>
          <w:tcPr>
            <w:tcW w:w="54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2A5E3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23"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7D44CD0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5000</w:t>
            </w:r>
          </w:p>
        </w:tc>
        <w:tc>
          <w:tcPr>
            <w:tcW w:w="89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280097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0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232EE26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79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24F2B142">
            <w:pPr>
              <w:jc w:val="right"/>
              <w:rPr>
                <w:rFonts w:hint="eastAsia" w:ascii="宋体" w:hAnsi="宋体" w:eastAsia="宋体" w:cs="宋体"/>
                <w:i w:val="0"/>
                <w:iCs w:val="0"/>
                <w:color w:val="000000"/>
                <w:sz w:val="20"/>
                <w:szCs w:val="20"/>
                <w:u w:val="none"/>
              </w:rPr>
            </w:pPr>
          </w:p>
        </w:tc>
      </w:tr>
      <w:tr w14:paraId="502682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70" w:type="dxa"/>
          <w:trHeight w:val="570" w:hRule="atLeast"/>
        </w:trPr>
        <w:tc>
          <w:tcPr>
            <w:tcW w:w="584"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4EC3CA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42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E46081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011606002001</w:t>
            </w:r>
          </w:p>
        </w:tc>
        <w:tc>
          <w:tcPr>
            <w:tcW w:w="1459"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FA3DFB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墙柱面龙骨及饰面拆除</w:t>
            </w:r>
          </w:p>
        </w:tc>
        <w:tc>
          <w:tcPr>
            <w:tcW w:w="152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8DE74F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1.墙柱面 隔断板（女儿墙）</w:t>
            </w:r>
          </w:p>
        </w:tc>
        <w:tc>
          <w:tcPr>
            <w:tcW w:w="54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BCB70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23"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72CD8EA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w:t>
            </w:r>
          </w:p>
        </w:tc>
        <w:tc>
          <w:tcPr>
            <w:tcW w:w="89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87046E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0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1469BF5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79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322727B6">
            <w:pPr>
              <w:jc w:val="right"/>
              <w:rPr>
                <w:rFonts w:hint="eastAsia" w:ascii="宋体" w:hAnsi="宋体" w:eastAsia="宋体" w:cs="宋体"/>
                <w:i w:val="0"/>
                <w:iCs w:val="0"/>
                <w:color w:val="000000"/>
                <w:sz w:val="20"/>
                <w:szCs w:val="20"/>
                <w:u w:val="none"/>
              </w:rPr>
            </w:pPr>
          </w:p>
        </w:tc>
      </w:tr>
      <w:tr w14:paraId="15567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70" w:type="dxa"/>
          <w:trHeight w:val="360" w:hRule="atLeast"/>
        </w:trPr>
        <w:tc>
          <w:tcPr>
            <w:tcW w:w="584"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6E49D8D1">
            <w:pPr>
              <w:jc w:val="center"/>
              <w:rPr>
                <w:rFonts w:hint="eastAsia" w:ascii="宋体" w:hAnsi="宋体" w:eastAsia="宋体" w:cs="宋体"/>
                <w:i w:val="0"/>
                <w:iCs w:val="0"/>
                <w:color w:val="000000"/>
                <w:sz w:val="20"/>
                <w:szCs w:val="20"/>
                <w:u w:val="none"/>
              </w:rPr>
            </w:pPr>
          </w:p>
        </w:tc>
        <w:tc>
          <w:tcPr>
            <w:tcW w:w="142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C520E9E">
            <w:pPr>
              <w:jc w:val="left"/>
              <w:rPr>
                <w:rFonts w:hint="eastAsia" w:ascii="宋体" w:hAnsi="宋体" w:eastAsia="宋体" w:cs="宋体"/>
                <w:i w:val="0"/>
                <w:iCs w:val="0"/>
                <w:color w:val="000000"/>
                <w:sz w:val="20"/>
                <w:szCs w:val="20"/>
                <w:u w:val="none"/>
              </w:rPr>
            </w:pPr>
          </w:p>
        </w:tc>
        <w:tc>
          <w:tcPr>
            <w:tcW w:w="1459"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852B53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主体部分</w:t>
            </w:r>
          </w:p>
        </w:tc>
        <w:tc>
          <w:tcPr>
            <w:tcW w:w="152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6EE9BED">
            <w:pPr>
              <w:jc w:val="left"/>
              <w:rPr>
                <w:rFonts w:hint="eastAsia" w:ascii="宋体" w:hAnsi="宋体" w:eastAsia="宋体" w:cs="宋体"/>
                <w:i w:val="0"/>
                <w:iCs w:val="0"/>
                <w:color w:val="000000"/>
                <w:sz w:val="20"/>
                <w:szCs w:val="20"/>
                <w:u w:val="none"/>
              </w:rPr>
            </w:pPr>
          </w:p>
        </w:tc>
        <w:tc>
          <w:tcPr>
            <w:tcW w:w="54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C02CD99">
            <w:pPr>
              <w:jc w:val="left"/>
              <w:rPr>
                <w:rFonts w:hint="eastAsia" w:ascii="宋体" w:hAnsi="宋体" w:eastAsia="宋体" w:cs="宋体"/>
                <w:i w:val="0"/>
                <w:iCs w:val="0"/>
                <w:color w:val="000000"/>
                <w:sz w:val="20"/>
                <w:szCs w:val="20"/>
                <w:u w:val="none"/>
              </w:rPr>
            </w:pPr>
          </w:p>
        </w:tc>
        <w:tc>
          <w:tcPr>
            <w:tcW w:w="923"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6BCC4050">
            <w:pPr>
              <w:jc w:val="right"/>
              <w:rPr>
                <w:rFonts w:hint="eastAsia" w:ascii="宋体" w:hAnsi="宋体" w:eastAsia="宋体" w:cs="宋体"/>
                <w:i w:val="0"/>
                <w:iCs w:val="0"/>
                <w:color w:val="000000"/>
                <w:sz w:val="20"/>
                <w:szCs w:val="20"/>
                <w:u w:val="none"/>
              </w:rPr>
            </w:pPr>
          </w:p>
        </w:tc>
        <w:tc>
          <w:tcPr>
            <w:tcW w:w="89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B8B01B7">
            <w:pPr>
              <w:jc w:val="right"/>
              <w:rPr>
                <w:rFonts w:hint="eastAsia" w:ascii="宋体" w:hAnsi="宋体" w:eastAsia="宋体" w:cs="宋体"/>
                <w:i w:val="0"/>
                <w:iCs w:val="0"/>
                <w:color w:val="000000"/>
                <w:sz w:val="20"/>
                <w:szCs w:val="20"/>
                <w:u w:val="none"/>
              </w:rPr>
            </w:pPr>
          </w:p>
        </w:tc>
        <w:tc>
          <w:tcPr>
            <w:tcW w:w="100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0510E32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79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188292CD">
            <w:pPr>
              <w:jc w:val="right"/>
              <w:rPr>
                <w:rFonts w:hint="eastAsia" w:ascii="宋体" w:hAnsi="宋体" w:eastAsia="宋体" w:cs="宋体"/>
                <w:i w:val="0"/>
                <w:iCs w:val="0"/>
                <w:color w:val="000000"/>
                <w:sz w:val="20"/>
                <w:szCs w:val="20"/>
                <w:u w:val="none"/>
              </w:rPr>
            </w:pPr>
          </w:p>
        </w:tc>
      </w:tr>
      <w:tr w14:paraId="74FDE6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70" w:type="dxa"/>
          <w:trHeight w:val="1080" w:hRule="atLeast"/>
        </w:trPr>
        <w:tc>
          <w:tcPr>
            <w:tcW w:w="584"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25C016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42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2D19E2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010605002002</w:t>
            </w:r>
          </w:p>
        </w:tc>
        <w:tc>
          <w:tcPr>
            <w:tcW w:w="1459"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80C846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钢板墙板（包边）</w:t>
            </w:r>
          </w:p>
        </w:tc>
        <w:tc>
          <w:tcPr>
            <w:tcW w:w="152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E265FA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1.墙面板 压型钢板 换为【压型彩钢板 δ0.5】女儿墙</w:t>
            </w:r>
          </w:p>
        </w:tc>
        <w:tc>
          <w:tcPr>
            <w:tcW w:w="54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2410F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23"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68C7352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89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63A831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0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6942A70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79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178D4724">
            <w:pPr>
              <w:jc w:val="right"/>
              <w:rPr>
                <w:rFonts w:hint="eastAsia" w:ascii="宋体" w:hAnsi="宋体" w:eastAsia="宋体" w:cs="宋体"/>
                <w:i w:val="0"/>
                <w:iCs w:val="0"/>
                <w:color w:val="000000"/>
                <w:sz w:val="20"/>
                <w:szCs w:val="20"/>
                <w:u w:val="none"/>
              </w:rPr>
            </w:pPr>
          </w:p>
        </w:tc>
      </w:tr>
      <w:tr w14:paraId="692C3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70" w:type="dxa"/>
          <w:trHeight w:val="825" w:hRule="atLeast"/>
        </w:trPr>
        <w:tc>
          <w:tcPr>
            <w:tcW w:w="584"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6D132F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42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F6A767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010605002003</w:t>
            </w:r>
          </w:p>
        </w:tc>
        <w:tc>
          <w:tcPr>
            <w:tcW w:w="1459"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336868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钢板墙板</w:t>
            </w:r>
          </w:p>
        </w:tc>
        <w:tc>
          <w:tcPr>
            <w:tcW w:w="152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82E696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1.墙面板 彩钢夹芯板（女儿墙）</w:t>
            </w:r>
          </w:p>
        </w:tc>
        <w:tc>
          <w:tcPr>
            <w:tcW w:w="54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47CB4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23"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5E2806C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w:t>
            </w:r>
          </w:p>
        </w:tc>
        <w:tc>
          <w:tcPr>
            <w:tcW w:w="89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455C3D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0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356F73B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79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3E29836B">
            <w:pPr>
              <w:jc w:val="right"/>
              <w:rPr>
                <w:rFonts w:hint="eastAsia" w:ascii="宋体" w:hAnsi="宋体" w:eastAsia="宋体" w:cs="宋体"/>
                <w:i w:val="0"/>
                <w:iCs w:val="0"/>
                <w:color w:val="000000"/>
                <w:sz w:val="20"/>
                <w:szCs w:val="20"/>
                <w:u w:val="none"/>
              </w:rPr>
            </w:pPr>
          </w:p>
        </w:tc>
      </w:tr>
      <w:tr w14:paraId="54F906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70" w:type="dxa"/>
          <w:trHeight w:val="1080" w:hRule="atLeast"/>
        </w:trPr>
        <w:tc>
          <w:tcPr>
            <w:tcW w:w="584"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4B29C6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42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2A0DE8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010901002003</w:t>
            </w:r>
          </w:p>
        </w:tc>
        <w:tc>
          <w:tcPr>
            <w:tcW w:w="1459"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6546EE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型材屋面</w:t>
            </w:r>
          </w:p>
        </w:tc>
        <w:tc>
          <w:tcPr>
            <w:tcW w:w="152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0ED834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1.单层彩钢板 檩条或基层混凝土(钢)板面上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2.保温棉</w:t>
            </w:r>
          </w:p>
        </w:tc>
        <w:tc>
          <w:tcPr>
            <w:tcW w:w="54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0E3BF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23"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79F9A58B">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5000</w:t>
            </w:r>
          </w:p>
        </w:tc>
        <w:tc>
          <w:tcPr>
            <w:tcW w:w="89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2680F59">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0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6537792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79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4733FADD">
            <w:pPr>
              <w:jc w:val="right"/>
              <w:rPr>
                <w:rFonts w:hint="eastAsia" w:ascii="宋体" w:hAnsi="宋体" w:eastAsia="宋体" w:cs="宋体"/>
                <w:i w:val="0"/>
                <w:iCs w:val="0"/>
                <w:color w:val="000000"/>
                <w:sz w:val="20"/>
                <w:szCs w:val="20"/>
                <w:u w:val="none"/>
              </w:rPr>
            </w:pPr>
          </w:p>
        </w:tc>
      </w:tr>
      <w:tr w14:paraId="2C9B2B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70" w:type="dxa"/>
          <w:trHeight w:val="825" w:hRule="atLeast"/>
        </w:trPr>
        <w:tc>
          <w:tcPr>
            <w:tcW w:w="584"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3883D2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2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49C97E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010606011001</w:t>
            </w:r>
          </w:p>
        </w:tc>
        <w:tc>
          <w:tcPr>
            <w:tcW w:w="1459"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296A34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钢板天沟</w:t>
            </w:r>
          </w:p>
        </w:tc>
        <w:tc>
          <w:tcPr>
            <w:tcW w:w="152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E42355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1.天沟 钢板（150*2=300米）</w:t>
            </w:r>
          </w:p>
        </w:tc>
        <w:tc>
          <w:tcPr>
            <w:tcW w:w="54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A5CBA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w:t>
            </w:r>
          </w:p>
        </w:tc>
        <w:tc>
          <w:tcPr>
            <w:tcW w:w="923"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03A8CC6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4.71</w:t>
            </w:r>
          </w:p>
        </w:tc>
        <w:tc>
          <w:tcPr>
            <w:tcW w:w="89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77DCC3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0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44BC678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79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22656D78">
            <w:pPr>
              <w:jc w:val="right"/>
              <w:rPr>
                <w:rFonts w:hint="eastAsia" w:ascii="宋体" w:hAnsi="宋体" w:eastAsia="宋体" w:cs="宋体"/>
                <w:i w:val="0"/>
                <w:iCs w:val="0"/>
                <w:color w:val="000000"/>
                <w:sz w:val="20"/>
                <w:szCs w:val="20"/>
                <w:u w:val="none"/>
              </w:rPr>
            </w:pPr>
          </w:p>
        </w:tc>
      </w:tr>
      <w:tr w14:paraId="5702C8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70" w:type="dxa"/>
          <w:trHeight w:val="825" w:hRule="atLeast"/>
        </w:trPr>
        <w:tc>
          <w:tcPr>
            <w:tcW w:w="584"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6D0768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42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B5222B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010902004002</w:t>
            </w:r>
          </w:p>
        </w:tc>
        <w:tc>
          <w:tcPr>
            <w:tcW w:w="1459"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316981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屋面排水管</w:t>
            </w:r>
          </w:p>
        </w:tc>
        <w:tc>
          <w:tcPr>
            <w:tcW w:w="152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5950BC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1.塑料管排水 水落管φ≤110mm</w:t>
            </w:r>
          </w:p>
        </w:tc>
        <w:tc>
          <w:tcPr>
            <w:tcW w:w="54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63B72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p>
        </w:tc>
        <w:tc>
          <w:tcPr>
            <w:tcW w:w="923"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54A2D46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89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DBB624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0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1098093A">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79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2E151D26">
            <w:pPr>
              <w:jc w:val="right"/>
              <w:rPr>
                <w:rFonts w:hint="eastAsia" w:ascii="宋体" w:hAnsi="宋体" w:eastAsia="宋体" w:cs="宋体"/>
                <w:i w:val="0"/>
                <w:iCs w:val="0"/>
                <w:color w:val="000000"/>
                <w:sz w:val="20"/>
                <w:szCs w:val="20"/>
                <w:u w:val="none"/>
              </w:rPr>
            </w:pPr>
          </w:p>
        </w:tc>
      </w:tr>
      <w:tr w14:paraId="2DAB33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170" w:type="dxa"/>
          <w:trHeight w:val="1080" w:hRule="atLeast"/>
        </w:trPr>
        <w:tc>
          <w:tcPr>
            <w:tcW w:w="584"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15412C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42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C4BD1F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010005</w:t>
            </w:r>
          </w:p>
        </w:tc>
        <w:tc>
          <w:tcPr>
            <w:tcW w:w="1459"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0E85AA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机械台班</w:t>
            </w:r>
          </w:p>
        </w:tc>
        <w:tc>
          <w:tcPr>
            <w:tcW w:w="152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3D5AD2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1.平台作业升降车 9m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2.汽车式高空作业车 18m</w:t>
            </w:r>
          </w:p>
        </w:tc>
        <w:tc>
          <w:tcPr>
            <w:tcW w:w="54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39287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台班</w:t>
            </w:r>
          </w:p>
        </w:tc>
        <w:tc>
          <w:tcPr>
            <w:tcW w:w="923"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13999DBD">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9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AB95FF6">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0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06102E4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79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3851BAD3">
            <w:pPr>
              <w:jc w:val="right"/>
              <w:rPr>
                <w:rFonts w:hint="eastAsia" w:ascii="宋体" w:hAnsi="宋体" w:eastAsia="宋体" w:cs="宋体"/>
                <w:i w:val="0"/>
                <w:iCs w:val="0"/>
                <w:color w:val="000000"/>
                <w:sz w:val="20"/>
                <w:szCs w:val="20"/>
                <w:u w:val="none"/>
              </w:rPr>
            </w:pPr>
          </w:p>
        </w:tc>
      </w:tr>
      <w:tr w14:paraId="5CA68E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70" w:type="dxa"/>
          <w:trHeight w:val="570" w:hRule="atLeast"/>
        </w:trPr>
        <w:tc>
          <w:tcPr>
            <w:tcW w:w="584"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5AB73875">
            <w:pPr>
              <w:jc w:val="center"/>
              <w:rPr>
                <w:rFonts w:hint="eastAsia" w:ascii="宋体" w:hAnsi="宋体" w:eastAsia="宋体" w:cs="宋体"/>
                <w:i w:val="0"/>
                <w:iCs w:val="0"/>
                <w:color w:val="000000"/>
                <w:sz w:val="20"/>
                <w:szCs w:val="20"/>
                <w:u w:val="none"/>
              </w:rPr>
            </w:pPr>
          </w:p>
        </w:tc>
        <w:tc>
          <w:tcPr>
            <w:tcW w:w="142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EC72D36">
            <w:pPr>
              <w:jc w:val="left"/>
              <w:rPr>
                <w:rFonts w:hint="eastAsia" w:ascii="宋体" w:hAnsi="宋体" w:eastAsia="宋体" w:cs="宋体"/>
                <w:i w:val="0"/>
                <w:iCs w:val="0"/>
                <w:color w:val="000000"/>
                <w:sz w:val="20"/>
                <w:szCs w:val="20"/>
                <w:u w:val="none"/>
              </w:rPr>
            </w:pPr>
          </w:p>
        </w:tc>
        <w:tc>
          <w:tcPr>
            <w:tcW w:w="1459"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1FD57A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钢结构大门及窗玻璃</w:t>
            </w:r>
          </w:p>
        </w:tc>
        <w:tc>
          <w:tcPr>
            <w:tcW w:w="152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33610AD">
            <w:pPr>
              <w:jc w:val="left"/>
              <w:rPr>
                <w:rFonts w:hint="eastAsia" w:ascii="宋体" w:hAnsi="宋体" w:eastAsia="宋体" w:cs="宋体"/>
                <w:i w:val="0"/>
                <w:iCs w:val="0"/>
                <w:color w:val="000000"/>
                <w:sz w:val="20"/>
                <w:szCs w:val="20"/>
                <w:u w:val="none"/>
              </w:rPr>
            </w:pPr>
          </w:p>
        </w:tc>
        <w:tc>
          <w:tcPr>
            <w:tcW w:w="54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266C2FA">
            <w:pPr>
              <w:jc w:val="left"/>
              <w:rPr>
                <w:rFonts w:hint="eastAsia" w:ascii="宋体" w:hAnsi="宋体" w:eastAsia="宋体" w:cs="宋体"/>
                <w:i w:val="0"/>
                <w:iCs w:val="0"/>
                <w:color w:val="000000"/>
                <w:sz w:val="20"/>
                <w:szCs w:val="20"/>
                <w:u w:val="none"/>
              </w:rPr>
            </w:pPr>
          </w:p>
        </w:tc>
        <w:tc>
          <w:tcPr>
            <w:tcW w:w="923"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113FA802">
            <w:pPr>
              <w:jc w:val="right"/>
              <w:rPr>
                <w:rFonts w:hint="eastAsia" w:ascii="宋体" w:hAnsi="宋体" w:eastAsia="宋体" w:cs="宋体"/>
                <w:i w:val="0"/>
                <w:iCs w:val="0"/>
                <w:color w:val="000000"/>
                <w:sz w:val="20"/>
                <w:szCs w:val="20"/>
                <w:u w:val="none"/>
              </w:rPr>
            </w:pPr>
          </w:p>
        </w:tc>
        <w:tc>
          <w:tcPr>
            <w:tcW w:w="89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82B42C2">
            <w:pPr>
              <w:jc w:val="right"/>
              <w:rPr>
                <w:rFonts w:hint="eastAsia" w:ascii="宋体" w:hAnsi="宋体" w:eastAsia="宋体" w:cs="宋体"/>
                <w:i w:val="0"/>
                <w:iCs w:val="0"/>
                <w:color w:val="000000"/>
                <w:sz w:val="20"/>
                <w:szCs w:val="20"/>
                <w:u w:val="none"/>
              </w:rPr>
            </w:pPr>
          </w:p>
        </w:tc>
        <w:tc>
          <w:tcPr>
            <w:tcW w:w="100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4B93B0C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790" w:type="dxa"/>
            <w:tcBorders>
              <w:top w:val="single" w:color="000000" w:sz="4" w:space="0"/>
              <w:left w:val="single" w:color="000000" w:sz="4" w:space="0"/>
              <w:bottom w:val="single" w:color="000000" w:sz="4" w:space="0"/>
              <w:right w:val="single" w:color="000000" w:sz="8" w:space="0"/>
            </w:tcBorders>
            <w:shd w:val="clear" w:color="FFFFFF" w:fill="FFFFFF"/>
            <w:vAlign w:val="center"/>
          </w:tcPr>
          <w:p w14:paraId="58720C21">
            <w:pPr>
              <w:jc w:val="right"/>
              <w:rPr>
                <w:rFonts w:hint="eastAsia" w:ascii="宋体" w:hAnsi="宋体" w:eastAsia="宋体" w:cs="宋体"/>
                <w:i w:val="0"/>
                <w:iCs w:val="0"/>
                <w:color w:val="000000"/>
                <w:sz w:val="20"/>
                <w:szCs w:val="20"/>
                <w:u w:val="none"/>
              </w:rPr>
            </w:pPr>
          </w:p>
        </w:tc>
      </w:tr>
      <w:tr w14:paraId="46AF13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60" w:type="dxa"/>
          <w:trHeight w:val="360" w:hRule="atLeast"/>
        </w:trPr>
        <w:tc>
          <w:tcPr>
            <w:tcW w:w="584"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34519E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42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E806FA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010802002001</w:t>
            </w:r>
          </w:p>
        </w:tc>
        <w:tc>
          <w:tcPr>
            <w:tcW w:w="1459"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8FE55B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彩板门</w:t>
            </w:r>
          </w:p>
        </w:tc>
        <w:tc>
          <w:tcPr>
            <w:tcW w:w="152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6BD4333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1.彩板门</w:t>
            </w:r>
          </w:p>
        </w:tc>
        <w:tc>
          <w:tcPr>
            <w:tcW w:w="54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284D4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923"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00F6B50E">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89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8E23AE0">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0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5C34D677">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800" w:type="dxa"/>
            <w:gridSpan w:val="2"/>
            <w:tcBorders>
              <w:top w:val="single" w:color="000000" w:sz="4" w:space="0"/>
              <w:left w:val="single" w:color="000000" w:sz="4" w:space="0"/>
              <w:bottom w:val="single" w:color="000000" w:sz="4" w:space="0"/>
              <w:right w:val="single" w:color="000000" w:sz="8" w:space="0"/>
            </w:tcBorders>
            <w:shd w:val="clear" w:color="FFFFFF" w:fill="FFFFFF"/>
            <w:vAlign w:val="center"/>
          </w:tcPr>
          <w:p w14:paraId="5B20528E">
            <w:pPr>
              <w:jc w:val="right"/>
              <w:rPr>
                <w:rFonts w:hint="eastAsia" w:ascii="宋体" w:hAnsi="宋体" w:eastAsia="宋体" w:cs="宋体"/>
                <w:i w:val="0"/>
                <w:iCs w:val="0"/>
                <w:color w:val="000000"/>
                <w:sz w:val="20"/>
                <w:szCs w:val="20"/>
                <w:u w:val="none"/>
              </w:rPr>
            </w:pPr>
          </w:p>
        </w:tc>
      </w:tr>
      <w:tr w14:paraId="5B52BA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60" w:type="dxa"/>
          <w:trHeight w:val="360" w:hRule="atLeast"/>
        </w:trPr>
        <w:tc>
          <w:tcPr>
            <w:tcW w:w="584" w:type="dxa"/>
            <w:tcBorders>
              <w:top w:val="single" w:color="000000" w:sz="4" w:space="0"/>
              <w:left w:val="single" w:color="000000" w:sz="8" w:space="0"/>
              <w:bottom w:val="single" w:color="000000" w:sz="4" w:space="0"/>
              <w:right w:val="single" w:color="000000" w:sz="4" w:space="0"/>
            </w:tcBorders>
            <w:shd w:val="clear" w:color="FFFFFF" w:fill="FFFFFF"/>
            <w:vAlign w:val="center"/>
          </w:tcPr>
          <w:p w14:paraId="3A1BB9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42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9FD55B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010807001001</w:t>
            </w:r>
          </w:p>
        </w:tc>
        <w:tc>
          <w:tcPr>
            <w:tcW w:w="1459"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4677DD5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（玻璃）窗</w:t>
            </w:r>
          </w:p>
        </w:tc>
        <w:tc>
          <w:tcPr>
            <w:tcW w:w="1521"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3DB65A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1.（玻璃）窗</w:t>
            </w:r>
          </w:p>
        </w:tc>
        <w:tc>
          <w:tcPr>
            <w:tcW w:w="542"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BB2B7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樘</w:t>
            </w:r>
          </w:p>
        </w:tc>
        <w:tc>
          <w:tcPr>
            <w:tcW w:w="923"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06EE1033">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9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5CB80C5">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1000" w:type="dxa"/>
            <w:gridSpan w:val="2"/>
            <w:tcBorders>
              <w:top w:val="single" w:color="000000" w:sz="4" w:space="0"/>
              <w:left w:val="single" w:color="000000" w:sz="4" w:space="0"/>
              <w:bottom w:val="single" w:color="000000" w:sz="4" w:space="0"/>
              <w:right w:val="single" w:color="000000" w:sz="4" w:space="0"/>
            </w:tcBorders>
            <w:shd w:val="clear" w:color="FFFFFF" w:fill="FFFFFF"/>
            <w:vAlign w:val="center"/>
          </w:tcPr>
          <w:p w14:paraId="1BF06E61">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800" w:type="dxa"/>
            <w:gridSpan w:val="2"/>
            <w:tcBorders>
              <w:top w:val="single" w:color="000000" w:sz="4" w:space="0"/>
              <w:left w:val="single" w:color="000000" w:sz="4" w:space="0"/>
              <w:bottom w:val="single" w:color="000000" w:sz="4" w:space="0"/>
              <w:right w:val="single" w:color="000000" w:sz="8" w:space="0"/>
            </w:tcBorders>
            <w:shd w:val="clear" w:color="FFFFFF" w:fill="FFFFFF"/>
            <w:vAlign w:val="center"/>
          </w:tcPr>
          <w:p w14:paraId="1DC698F4">
            <w:pPr>
              <w:jc w:val="right"/>
              <w:rPr>
                <w:rFonts w:hint="eastAsia" w:ascii="宋体" w:hAnsi="宋体" w:eastAsia="宋体" w:cs="宋体"/>
                <w:i w:val="0"/>
                <w:iCs w:val="0"/>
                <w:color w:val="000000"/>
                <w:sz w:val="20"/>
                <w:szCs w:val="20"/>
                <w:u w:val="none"/>
              </w:rPr>
            </w:pPr>
          </w:p>
        </w:tc>
      </w:tr>
    </w:tbl>
    <w:p w14:paraId="1A657188">
      <w:pPr>
        <w:rPr>
          <w:rFonts w:hint="eastAsia" w:ascii="仿宋" w:hAnsi="仿宋" w:eastAsia="仿宋" w:cs="仿宋"/>
          <w:sz w:val="24"/>
          <w:szCs w:val="24"/>
          <w:highlight w:val="none"/>
        </w:rPr>
      </w:pPr>
      <w:r>
        <w:rPr>
          <w:rFonts w:hint="eastAsia" w:ascii="仿宋" w:hAnsi="仿宋" w:eastAsia="仿宋" w:cs="仿宋"/>
          <w:sz w:val="24"/>
          <w:szCs w:val="24"/>
          <w:highlight w:val="none"/>
        </w:rPr>
        <w:br w:type="page"/>
      </w:r>
    </w:p>
    <w:p w14:paraId="7C828682">
      <w:pPr>
        <w:shd w:val="clear"/>
        <w:adjustRightInd w:val="0"/>
        <w:spacing w:line="360" w:lineRule="auto"/>
        <w:jc w:val="both"/>
        <w:rPr>
          <w:rFonts w:hint="eastAsia" w:eastAsia="宋体"/>
          <w:b/>
          <w:bCs/>
          <w:color w:val="auto"/>
          <w:sz w:val="24"/>
          <w:szCs w:val="24"/>
          <w:highlight w:val="none"/>
          <w:lang w:val="en-US" w:eastAsia="zh-CN"/>
        </w:rPr>
      </w:pPr>
      <w:r>
        <w:rPr>
          <w:rFonts w:hint="eastAsia" w:eastAsia="宋体"/>
          <w:b/>
          <w:bCs/>
          <w:color w:val="auto"/>
          <w:sz w:val="24"/>
          <w:szCs w:val="24"/>
          <w:highlight w:val="none"/>
          <w:lang w:val="en-US" w:eastAsia="zh-CN"/>
        </w:rPr>
        <w:t>2、工程要求</w:t>
      </w:r>
    </w:p>
    <w:p w14:paraId="43316366">
      <w:pPr>
        <w:widowControl/>
        <w:shd w:val="clear"/>
        <w:spacing w:line="360" w:lineRule="auto"/>
        <w:jc w:val="both"/>
        <w:rPr>
          <w:color w:val="auto"/>
          <w:sz w:val="24"/>
          <w:szCs w:val="24"/>
          <w:highlight w:val="none"/>
        </w:rPr>
      </w:pPr>
      <w:r>
        <w:rPr>
          <w:rFonts w:hint="eastAsia" w:ascii="宋体" w:hAnsi="宋体"/>
          <w:color w:val="auto"/>
          <w:sz w:val="24"/>
          <w:szCs w:val="24"/>
          <w:highlight w:val="none"/>
        </w:rPr>
        <w:t>2.</w:t>
      </w:r>
      <w:r>
        <w:rPr>
          <w:rFonts w:hint="eastAsia" w:ascii="宋体" w:hAnsi="宋体"/>
          <w:color w:val="auto"/>
          <w:sz w:val="24"/>
          <w:szCs w:val="24"/>
          <w:highlight w:val="none"/>
          <w:lang w:val="en-US" w:eastAsia="zh-CN"/>
        </w:rPr>
        <w:t>1</w:t>
      </w:r>
      <w:r>
        <w:rPr>
          <w:rFonts w:hint="eastAsia" w:ascii="宋体" w:hAnsi="宋体"/>
          <w:color w:val="auto"/>
          <w:sz w:val="24"/>
          <w:szCs w:val="24"/>
          <w:highlight w:val="none"/>
        </w:rPr>
        <w:t>、</w:t>
      </w:r>
      <w:r>
        <w:rPr>
          <w:rFonts w:hint="eastAsia" w:hAnsi="宋体"/>
          <w:color w:val="auto"/>
          <w:sz w:val="24"/>
          <w:szCs w:val="24"/>
          <w:highlight w:val="none"/>
        </w:rPr>
        <w:t>凡成交供应商采购的主要材料，必须提供出厂合格证书及试验资料原件给采购人查验，否则，采购人有权制止使用并追究成交供应商的违约责任</w:t>
      </w:r>
      <w:r>
        <w:rPr>
          <w:rFonts w:hint="eastAsia"/>
          <w:color w:val="auto"/>
          <w:sz w:val="24"/>
          <w:szCs w:val="24"/>
          <w:highlight w:val="none"/>
        </w:rPr>
        <w:t>。</w:t>
      </w:r>
    </w:p>
    <w:p w14:paraId="172A48A0">
      <w:pPr>
        <w:shd w:val="clear"/>
        <w:spacing w:line="360" w:lineRule="auto"/>
        <w:jc w:val="both"/>
        <w:rPr>
          <w:rFonts w:ascii="宋体" w:hAnsi="宋体"/>
          <w:color w:val="auto"/>
          <w:sz w:val="24"/>
          <w:szCs w:val="24"/>
          <w:highlight w:val="none"/>
        </w:rPr>
      </w:pPr>
      <w:r>
        <w:rPr>
          <w:rFonts w:hint="eastAsia" w:ascii="宋体" w:hAnsi="宋体"/>
          <w:color w:val="auto"/>
          <w:sz w:val="24"/>
          <w:szCs w:val="24"/>
          <w:highlight w:val="none"/>
        </w:rPr>
        <w:t>2.</w:t>
      </w:r>
      <w:r>
        <w:rPr>
          <w:rFonts w:hint="eastAsia" w:ascii="宋体" w:hAnsi="宋体"/>
          <w:color w:val="auto"/>
          <w:sz w:val="24"/>
          <w:szCs w:val="24"/>
          <w:highlight w:val="none"/>
          <w:lang w:val="en-US" w:eastAsia="zh-CN"/>
        </w:rPr>
        <w:t>2</w:t>
      </w:r>
      <w:r>
        <w:rPr>
          <w:rFonts w:hint="eastAsia" w:ascii="宋体" w:hAnsi="宋体"/>
          <w:color w:val="auto"/>
          <w:sz w:val="24"/>
          <w:szCs w:val="24"/>
          <w:highlight w:val="none"/>
        </w:rPr>
        <w:t>、供应商应按照本文件中提供的工程量清单，根据项目特征描述的内容及有关要求实施合同工程，直到项目被改变为止。</w:t>
      </w:r>
    </w:p>
    <w:p w14:paraId="1C05B6C4">
      <w:pPr>
        <w:shd w:val="clear"/>
        <w:spacing w:line="360" w:lineRule="auto"/>
        <w:jc w:val="both"/>
        <w:rPr>
          <w:rFonts w:hint="eastAsia" w:ascii="宋体" w:hAnsi="宋体"/>
          <w:color w:val="auto"/>
          <w:sz w:val="24"/>
          <w:szCs w:val="24"/>
          <w:highlight w:val="none"/>
        </w:rPr>
      </w:pPr>
      <w:r>
        <w:rPr>
          <w:rFonts w:hint="eastAsia" w:ascii="宋体" w:hAnsi="宋体"/>
          <w:color w:val="auto"/>
          <w:sz w:val="24"/>
          <w:szCs w:val="24"/>
          <w:highlight w:val="none"/>
        </w:rPr>
        <w:t>2.</w:t>
      </w:r>
      <w:r>
        <w:rPr>
          <w:rFonts w:hint="eastAsia" w:ascii="宋体" w:hAnsi="宋体"/>
          <w:color w:val="auto"/>
          <w:sz w:val="24"/>
          <w:szCs w:val="24"/>
          <w:highlight w:val="none"/>
          <w:lang w:val="en-US" w:eastAsia="zh-CN"/>
        </w:rPr>
        <w:t>3</w:t>
      </w:r>
      <w:r>
        <w:rPr>
          <w:rFonts w:hint="eastAsia" w:ascii="宋体" w:hAnsi="宋体"/>
          <w:color w:val="auto"/>
          <w:sz w:val="24"/>
          <w:szCs w:val="24"/>
          <w:highlight w:val="none"/>
        </w:rPr>
        <w:t>、供应商应按照采购人提供的</w:t>
      </w:r>
      <w:r>
        <w:rPr>
          <w:rFonts w:hint="eastAsia" w:ascii="宋体" w:hAnsi="宋体" w:eastAsia="宋体"/>
          <w:color w:val="auto"/>
          <w:sz w:val="24"/>
          <w:szCs w:val="24"/>
          <w:highlight w:val="none"/>
          <w:lang w:val="en-US" w:eastAsia="zh-CN"/>
        </w:rPr>
        <w:t>施工</w:t>
      </w:r>
      <w:r>
        <w:rPr>
          <w:rFonts w:hint="eastAsia" w:ascii="宋体" w:hAnsi="宋体"/>
          <w:color w:val="auto"/>
          <w:sz w:val="24"/>
          <w:szCs w:val="24"/>
          <w:highlight w:val="none"/>
        </w:rPr>
        <w:t>图纸实施合同工程，若在合同履行期间出现工程设计图纸（含设计变更）与本文件中工程量清单任一项目的特征描述不符，且该变化引起本项目的工程造价增减变化的，应按照实际施工的项目特征重新确定相应工程量清单项目的综合单价，并调整合同价款。</w:t>
      </w:r>
    </w:p>
    <w:p w14:paraId="281970AC">
      <w:pPr>
        <w:shd w:val="clear"/>
        <w:spacing w:line="360" w:lineRule="auto"/>
        <w:jc w:val="both"/>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2.4、安全施工</w:t>
      </w:r>
    </w:p>
    <w:p w14:paraId="20F6C762">
      <w:pPr>
        <w:shd w:val="clear"/>
        <w:spacing w:line="360" w:lineRule="auto"/>
        <w:jc w:val="both"/>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2.4.1、严格执行《中华人民共和国安全生产法》、《中华人民共和国建筑法》、《建设工程安全生产管理条例》、《安全生产许可证条例》等法律和法规的规定。施工现场一切因供应商原因引起的安全事故责任及所产生的费用均由供应商自行承担。</w:t>
      </w:r>
    </w:p>
    <w:p w14:paraId="3629DD89">
      <w:pPr>
        <w:shd w:val="clear"/>
        <w:spacing w:line="360" w:lineRule="auto"/>
        <w:jc w:val="both"/>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2.4.2、供应商在施工期间须将施工区域用围挡封闭遮挡，确保施工区域与其他公共区域隔离,由此产生的费用由供应商自行承担。</w:t>
      </w:r>
    </w:p>
    <w:p w14:paraId="2B955410">
      <w:pPr>
        <w:shd w:val="clear"/>
        <w:spacing w:line="360" w:lineRule="auto"/>
        <w:jc w:val="both"/>
        <w:rPr>
          <w:rFonts w:hint="default" w:ascii="宋体" w:hAnsi="宋体"/>
          <w:color w:val="auto"/>
          <w:sz w:val="24"/>
          <w:szCs w:val="24"/>
          <w:highlight w:val="none"/>
          <w:lang w:val="en-US" w:eastAsia="zh-CN"/>
        </w:rPr>
      </w:pPr>
      <w:r>
        <w:rPr>
          <w:rFonts w:hint="default" w:ascii="宋体" w:hAnsi="宋体"/>
          <w:color w:val="auto"/>
          <w:sz w:val="24"/>
          <w:szCs w:val="24"/>
          <w:highlight w:val="none"/>
          <w:lang w:val="en-US" w:eastAsia="zh-CN"/>
        </w:rPr>
        <w:t>2.</w:t>
      </w:r>
      <w:r>
        <w:rPr>
          <w:rFonts w:hint="eastAsia" w:ascii="宋体" w:hAnsi="宋体"/>
          <w:color w:val="auto"/>
          <w:sz w:val="24"/>
          <w:szCs w:val="24"/>
          <w:highlight w:val="none"/>
          <w:lang w:val="en-US" w:eastAsia="zh-CN"/>
        </w:rPr>
        <w:t>5</w:t>
      </w:r>
      <w:r>
        <w:rPr>
          <w:rFonts w:hint="default" w:ascii="宋体" w:hAnsi="宋体"/>
          <w:color w:val="auto"/>
          <w:sz w:val="24"/>
          <w:szCs w:val="24"/>
          <w:highlight w:val="none"/>
          <w:lang w:val="en-US" w:eastAsia="zh-CN"/>
        </w:rPr>
        <w:t>、技术规范</w:t>
      </w:r>
    </w:p>
    <w:p w14:paraId="3D836FC3">
      <w:pPr>
        <w:shd w:val="clear"/>
        <w:spacing w:line="360" w:lineRule="auto"/>
        <w:jc w:val="both"/>
        <w:rPr>
          <w:rFonts w:hint="default" w:ascii="宋体" w:hAnsi="宋体"/>
          <w:color w:val="auto"/>
          <w:sz w:val="24"/>
          <w:szCs w:val="24"/>
          <w:highlight w:val="none"/>
          <w:lang w:val="en-US" w:eastAsia="zh-CN"/>
        </w:rPr>
      </w:pPr>
      <w:r>
        <w:rPr>
          <w:rFonts w:hint="default" w:ascii="宋体" w:hAnsi="宋体"/>
          <w:color w:val="auto"/>
          <w:sz w:val="24"/>
          <w:szCs w:val="24"/>
          <w:highlight w:val="none"/>
          <w:lang w:val="en-US" w:eastAsia="zh-CN"/>
        </w:rPr>
        <w:t>2.</w:t>
      </w:r>
      <w:r>
        <w:rPr>
          <w:rFonts w:hint="eastAsia" w:ascii="宋体" w:hAnsi="宋体"/>
          <w:color w:val="auto"/>
          <w:sz w:val="24"/>
          <w:szCs w:val="24"/>
          <w:highlight w:val="none"/>
          <w:lang w:val="en-US" w:eastAsia="zh-CN"/>
        </w:rPr>
        <w:t>5</w:t>
      </w:r>
      <w:r>
        <w:rPr>
          <w:rFonts w:hint="default" w:ascii="宋体" w:hAnsi="宋体"/>
          <w:color w:val="auto"/>
          <w:sz w:val="24"/>
          <w:szCs w:val="24"/>
          <w:highlight w:val="none"/>
          <w:lang w:val="en-US" w:eastAsia="zh-CN"/>
        </w:rPr>
        <w:t>.1本工程执行国家相关的工程技术规范及标准和江西省相关地方标准。</w:t>
      </w:r>
    </w:p>
    <w:p w14:paraId="2404F2AA">
      <w:pPr>
        <w:widowControl/>
        <w:shd w:val="clear"/>
        <w:spacing w:line="360" w:lineRule="auto"/>
        <w:jc w:val="both"/>
        <w:rPr>
          <w:rFonts w:hint="default" w:ascii="宋体" w:hAnsi="宋体"/>
          <w:color w:val="auto"/>
          <w:sz w:val="24"/>
          <w:szCs w:val="24"/>
          <w:highlight w:val="none"/>
          <w:lang w:val="en-US" w:eastAsia="zh-CN"/>
        </w:rPr>
      </w:pPr>
      <w:r>
        <w:rPr>
          <w:rFonts w:hint="default" w:ascii="宋体" w:hAnsi="宋体"/>
          <w:color w:val="auto"/>
          <w:sz w:val="24"/>
          <w:szCs w:val="24"/>
          <w:highlight w:val="none"/>
          <w:lang w:val="en-US" w:eastAsia="zh-CN"/>
        </w:rPr>
        <w:t>2.</w:t>
      </w:r>
      <w:r>
        <w:rPr>
          <w:rFonts w:hint="eastAsia" w:ascii="宋体" w:hAnsi="宋体"/>
          <w:color w:val="auto"/>
          <w:sz w:val="24"/>
          <w:szCs w:val="24"/>
          <w:highlight w:val="none"/>
          <w:lang w:val="en-US" w:eastAsia="zh-CN"/>
        </w:rPr>
        <w:t>5</w:t>
      </w:r>
      <w:r>
        <w:rPr>
          <w:rFonts w:hint="default" w:ascii="宋体" w:hAnsi="宋体"/>
          <w:color w:val="auto"/>
          <w:sz w:val="24"/>
          <w:szCs w:val="24"/>
          <w:highlight w:val="none"/>
          <w:lang w:val="en-US" w:eastAsia="zh-CN"/>
        </w:rPr>
        <w:t>.2本工程采用的技术规范：国家现行有关技术，施工及验收规范和质量检验标准及省市建设行政主管部门强制性文件、标准、规范。</w:t>
      </w:r>
    </w:p>
    <w:p w14:paraId="796325F8">
      <w:pPr>
        <w:shd w:val="clear"/>
        <w:spacing w:line="360" w:lineRule="auto"/>
        <w:jc w:val="both"/>
        <w:rPr>
          <w:rFonts w:hint="default" w:ascii="宋体" w:hAnsi="宋体"/>
          <w:color w:val="auto"/>
          <w:sz w:val="24"/>
          <w:szCs w:val="24"/>
          <w:highlight w:val="none"/>
          <w:lang w:val="en-US" w:eastAsia="zh-CN"/>
        </w:rPr>
      </w:pPr>
      <w:r>
        <w:rPr>
          <w:rFonts w:hint="default" w:ascii="宋体" w:hAnsi="宋体"/>
          <w:color w:val="auto"/>
          <w:sz w:val="24"/>
          <w:szCs w:val="24"/>
          <w:highlight w:val="none"/>
          <w:lang w:val="en-US" w:eastAsia="zh-CN"/>
        </w:rPr>
        <w:t>2.</w:t>
      </w:r>
      <w:r>
        <w:rPr>
          <w:rFonts w:hint="eastAsia" w:ascii="宋体" w:hAnsi="宋体"/>
          <w:color w:val="auto"/>
          <w:sz w:val="24"/>
          <w:szCs w:val="24"/>
          <w:highlight w:val="none"/>
          <w:lang w:val="en-US" w:eastAsia="zh-CN"/>
        </w:rPr>
        <w:t>5</w:t>
      </w:r>
      <w:r>
        <w:rPr>
          <w:rFonts w:hint="default" w:ascii="宋体" w:hAnsi="宋体"/>
          <w:color w:val="auto"/>
          <w:sz w:val="24"/>
          <w:szCs w:val="24"/>
          <w:highlight w:val="none"/>
          <w:lang w:val="en-US" w:eastAsia="zh-CN"/>
        </w:rPr>
        <w:t>.3对施工工艺的特殊要求：按国家有关现行规范标准。</w:t>
      </w:r>
    </w:p>
    <w:p w14:paraId="51B7D47B">
      <w:pPr>
        <w:shd w:val="clear"/>
        <w:spacing w:line="360" w:lineRule="auto"/>
        <w:jc w:val="both"/>
        <w:rPr>
          <w:rFonts w:hint="default" w:ascii="宋体" w:hAnsi="宋体"/>
          <w:color w:val="auto"/>
          <w:sz w:val="24"/>
          <w:szCs w:val="24"/>
          <w:highlight w:val="none"/>
          <w:lang w:val="en-US" w:eastAsia="zh-CN"/>
        </w:rPr>
      </w:pPr>
      <w:r>
        <w:rPr>
          <w:rFonts w:hint="eastAsia" w:ascii="宋体" w:hAnsi="宋体"/>
          <w:color w:val="auto"/>
          <w:sz w:val="24"/>
          <w:szCs w:val="24"/>
          <w:highlight w:val="none"/>
          <w:lang w:val="en-US" w:eastAsia="zh-CN"/>
        </w:rPr>
        <w:t>2.6、供应商应按《建设工程质量管理条例》（国务院令第279号）和国家现行市政公用工程质量管理相关规定依法对本工程进行保修。</w:t>
      </w:r>
    </w:p>
    <w:p w14:paraId="593B9344">
      <w:pPr>
        <w:shd w:val="clear"/>
        <w:spacing w:line="360" w:lineRule="auto"/>
        <w:jc w:val="both"/>
        <w:rPr>
          <w:rFonts w:hint="default" w:ascii="宋体" w:hAnsi="宋体"/>
          <w:color w:val="auto"/>
          <w:sz w:val="24"/>
          <w:szCs w:val="24"/>
          <w:highlight w:val="none"/>
          <w:lang w:val="en-US" w:eastAsia="zh-CN"/>
        </w:rPr>
      </w:pPr>
      <w:r>
        <w:rPr>
          <w:rFonts w:hint="default" w:ascii="宋体" w:hAnsi="宋体"/>
          <w:color w:val="auto"/>
          <w:sz w:val="24"/>
          <w:szCs w:val="24"/>
          <w:highlight w:val="none"/>
          <w:lang w:val="en-US" w:eastAsia="zh-CN"/>
        </w:rPr>
        <w:t>2.</w:t>
      </w:r>
      <w:r>
        <w:rPr>
          <w:rFonts w:hint="eastAsia" w:ascii="宋体" w:hAnsi="宋体"/>
          <w:color w:val="auto"/>
          <w:sz w:val="24"/>
          <w:szCs w:val="24"/>
          <w:highlight w:val="none"/>
          <w:lang w:val="en-US" w:eastAsia="zh-CN"/>
        </w:rPr>
        <w:t>7</w:t>
      </w:r>
      <w:r>
        <w:rPr>
          <w:rFonts w:hint="default" w:ascii="宋体" w:hAnsi="宋体"/>
          <w:color w:val="auto"/>
          <w:sz w:val="24"/>
          <w:szCs w:val="24"/>
          <w:highlight w:val="none"/>
          <w:lang w:val="en-US" w:eastAsia="zh-CN"/>
        </w:rPr>
        <w:t>、违约和索赔</w:t>
      </w:r>
    </w:p>
    <w:p w14:paraId="31FF86F1">
      <w:pPr>
        <w:shd w:val="clear"/>
        <w:spacing w:line="360" w:lineRule="auto"/>
        <w:jc w:val="both"/>
        <w:rPr>
          <w:rFonts w:hint="default" w:ascii="宋体" w:hAnsi="宋体"/>
          <w:color w:val="auto"/>
          <w:sz w:val="24"/>
          <w:szCs w:val="24"/>
          <w:highlight w:val="none"/>
          <w:lang w:val="en-US" w:eastAsia="zh-CN"/>
        </w:rPr>
      </w:pPr>
      <w:r>
        <w:rPr>
          <w:rFonts w:hint="default" w:ascii="宋体" w:hAnsi="宋体"/>
          <w:color w:val="auto"/>
          <w:sz w:val="24"/>
          <w:szCs w:val="24"/>
          <w:highlight w:val="none"/>
          <w:lang w:val="en-US" w:eastAsia="zh-CN"/>
        </w:rPr>
        <w:t>2.</w:t>
      </w:r>
      <w:r>
        <w:rPr>
          <w:rFonts w:hint="eastAsia" w:ascii="宋体" w:hAnsi="宋体"/>
          <w:color w:val="auto"/>
          <w:sz w:val="24"/>
          <w:szCs w:val="24"/>
          <w:highlight w:val="none"/>
          <w:lang w:val="en-US" w:eastAsia="zh-CN"/>
        </w:rPr>
        <w:t>7</w:t>
      </w:r>
      <w:r>
        <w:rPr>
          <w:rFonts w:hint="default" w:ascii="宋体" w:hAnsi="宋体"/>
          <w:color w:val="auto"/>
          <w:sz w:val="24"/>
          <w:szCs w:val="24"/>
          <w:highlight w:val="none"/>
          <w:lang w:val="en-US" w:eastAsia="zh-CN"/>
        </w:rPr>
        <w:t>.1供应商违约应承担的违约责任：因供应商原因导致本工程不能按期完工的，每延误一天支付违约金 1000元，限额为合同金额的 3 %。当违约金超过限额时，采购人有权解除合同并保留索赔权力。</w:t>
      </w:r>
    </w:p>
    <w:p w14:paraId="64B25BE9">
      <w:pPr>
        <w:shd w:val="clear"/>
        <w:spacing w:line="360" w:lineRule="auto"/>
        <w:jc w:val="both"/>
        <w:rPr>
          <w:rFonts w:hint="default" w:ascii="宋体" w:hAnsi="宋体"/>
          <w:color w:val="auto"/>
          <w:sz w:val="24"/>
          <w:szCs w:val="24"/>
          <w:highlight w:val="none"/>
          <w:lang w:val="en-US" w:eastAsia="zh-CN"/>
        </w:rPr>
      </w:pPr>
      <w:r>
        <w:rPr>
          <w:rFonts w:hint="default" w:ascii="宋体" w:hAnsi="宋体"/>
          <w:color w:val="auto"/>
          <w:sz w:val="24"/>
          <w:szCs w:val="24"/>
          <w:highlight w:val="none"/>
          <w:lang w:val="en-US" w:eastAsia="zh-CN"/>
        </w:rPr>
        <w:t>2.</w:t>
      </w:r>
      <w:r>
        <w:rPr>
          <w:rFonts w:hint="eastAsia" w:ascii="宋体" w:hAnsi="宋体"/>
          <w:color w:val="auto"/>
          <w:sz w:val="24"/>
          <w:szCs w:val="24"/>
          <w:highlight w:val="none"/>
          <w:lang w:val="en-US" w:eastAsia="zh-CN"/>
        </w:rPr>
        <w:t>7</w:t>
      </w:r>
      <w:r>
        <w:rPr>
          <w:rFonts w:hint="default" w:ascii="宋体" w:hAnsi="宋体"/>
          <w:color w:val="auto"/>
          <w:sz w:val="24"/>
          <w:szCs w:val="24"/>
          <w:highlight w:val="none"/>
          <w:lang w:val="en-US" w:eastAsia="zh-CN"/>
        </w:rPr>
        <w:t>.2工程分包、转包方面的违约责任：供应商转包或者未经采购人同意及招标文件的规定而擅自分包本工程项目的，采购人有权单方解除部分合同或全部合同，因此产生的法律及经济责任由供应商承担。</w:t>
      </w:r>
    </w:p>
    <w:p w14:paraId="302B828E">
      <w:pPr>
        <w:shd w:val="clear"/>
        <w:spacing w:line="360" w:lineRule="auto"/>
        <w:jc w:val="both"/>
        <w:rPr>
          <w:rFonts w:hint="default" w:ascii="宋体" w:hAnsi="宋体"/>
          <w:b/>
          <w:bCs/>
          <w:color w:val="auto"/>
          <w:sz w:val="24"/>
          <w:szCs w:val="24"/>
          <w:highlight w:val="none"/>
          <w:lang w:val="en-US" w:eastAsia="zh-CN"/>
        </w:rPr>
      </w:pPr>
      <w:r>
        <w:rPr>
          <w:rFonts w:hint="default" w:ascii="宋体" w:hAnsi="宋体"/>
          <w:b/>
          <w:bCs/>
          <w:color w:val="auto"/>
          <w:sz w:val="24"/>
          <w:szCs w:val="24"/>
          <w:highlight w:val="none"/>
          <w:lang w:val="en-US" w:eastAsia="zh-CN"/>
        </w:rPr>
        <w:t>3.工程质量</w:t>
      </w:r>
    </w:p>
    <w:p w14:paraId="7115D2AA">
      <w:pPr>
        <w:shd w:val="clear"/>
        <w:spacing w:line="360" w:lineRule="auto"/>
        <w:jc w:val="both"/>
        <w:rPr>
          <w:rFonts w:hint="default" w:ascii="宋体" w:hAnsi="宋体"/>
          <w:color w:val="auto"/>
          <w:sz w:val="24"/>
          <w:szCs w:val="24"/>
          <w:highlight w:val="none"/>
          <w:lang w:val="en-US" w:eastAsia="zh-CN"/>
        </w:rPr>
      </w:pPr>
      <w:r>
        <w:rPr>
          <w:rFonts w:hint="default" w:ascii="宋体" w:hAnsi="宋体"/>
          <w:color w:val="auto"/>
          <w:sz w:val="24"/>
          <w:szCs w:val="24"/>
          <w:highlight w:val="none"/>
          <w:lang w:val="en-US" w:eastAsia="zh-CN"/>
        </w:rPr>
        <w:t>3.1本工程的工程质量应符合国家工程质量验收标准合格及以上要求，供应商应按现行的国家施工验收规范和质量评定标准、施工说明书、设备说明书等技术文件为依据施工。</w:t>
      </w:r>
    </w:p>
    <w:p w14:paraId="60EF545C">
      <w:pPr>
        <w:shd w:val="clear"/>
        <w:spacing w:line="360" w:lineRule="auto"/>
        <w:jc w:val="both"/>
        <w:rPr>
          <w:rFonts w:hint="default" w:ascii="宋体" w:hAnsi="宋体"/>
          <w:color w:val="auto"/>
          <w:sz w:val="24"/>
          <w:szCs w:val="24"/>
          <w:highlight w:val="none"/>
          <w:lang w:val="en-US" w:eastAsia="zh-CN"/>
        </w:rPr>
      </w:pPr>
      <w:r>
        <w:rPr>
          <w:rFonts w:hint="default" w:ascii="宋体" w:hAnsi="宋体"/>
          <w:color w:val="auto"/>
          <w:sz w:val="24"/>
          <w:szCs w:val="24"/>
          <w:highlight w:val="none"/>
          <w:lang w:val="en-US" w:eastAsia="zh-CN"/>
        </w:rPr>
        <w:t>3.2因供应商原因，如工程质量达不到约定条件的部分，一经发现。可要求供应商返工，直到达到合同约定条件，并由供应商承担返工费用，工期不顺延。返工后仍达不到约定条件，应继续返工到约定条件。</w:t>
      </w:r>
    </w:p>
    <w:p w14:paraId="1DB94B32">
      <w:pPr>
        <w:shd w:val="clear"/>
        <w:spacing w:line="360" w:lineRule="auto"/>
        <w:jc w:val="both"/>
        <w:rPr>
          <w:rFonts w:hint="default" w:ascii="宋体" w:hAnsi="宋体"/>
          <w:color w:val="auto"/>
          <w:sz w:val="24"/>
          <w:szCs w:val="24"/>
          <w:highlight w:val="none"/>
          <w:lang w:val="en-US" w:eastAsia="zh-CN"/>
        </w:rPr>
      </w:pPr>
      <w:r>
        <w:rPr>
          <w:rFonts w:hint="default" w:ascii="宋体" w:hAnsi="宋体"/>
          <w:color w:val="auto"/>
          <w:sz w:val="24"/>
          <w:szCs w:val="24"/>
          <w:highlight w:val="none"/>
          <w:lang w:val="en-US" w:eastAsia="zh-CN"/>
        </w:rPr>
        <w:t>3.3供应商在合同约定工期时间内返工整改不到位的，采购人有权委托第三方进行整改，所需费用从合同金额中相应扣除，同时采购人的损失全部由供应商赔偿。</w:t>
      </w:r>
    </w:p>
    <w:p w14:paraId="0545B903">
      <w:pPr>
        <w:shd w:val="clear"/>
        <w:spacing w:line="360" w:lineRule="auto"/>
        <w:jc w:val="both"/>
        <w:rPr>
          <w:rFonts w:hint="default" w:ascii="宋体" w:hAnsi="宋体"/>
          <w:b/>
          <w:bCs/>
          <w:color w:val="auto"/>
          <w:sz w:val="24"/>
          <w:szCs w:val="24"/>
          <w:highlight w:val="none"/>
          <w:lang w:val="en-US" w:eastAsia="zh-CN"/>
        </w:rPr>
      </w:pPr>
      <w:r>
        <w:rPr>
          <w:rFonts w:hint="default" w:ascii="宋体" w:hAnsi="宋体"/>
          <w:b/>
          <w:bCs/>
          <w:color w:val="auto"/>
          <w:sz w:val="24"/>
          <w:szCs w:val="24"/>
          <w:highlight w:val="none"/>
          <w:lang w:val="en-US" w:eastAsia="zh-CN"/>
        </w:rPr>
        <w:t>4、人员配置及要求</w:t>
      </w:r>
    </w:p>
    <w:p w14:paraId="35F0CB0A">
      <w:pPr>
        <w:shd w:val="clear"/>
        <w:spacing w:line="360" w:lineRule="auto"/>
        <w:jc w:val="both"/>
        <w:rPr>
          <w:rFonts w:hint="default" w:ascii="宋体" w:hAnsi="宋体"/>
          <w:color w:val="auto"/>
          <w:sz w:val="24"/>
          <w:szCs w:val="24"/>
          <w:highlight w:val="none"/>
          <w:lang w:val="en-US" w:eastAsia="zh-CN"/>
        </w:rPr>
      </w:pPr>
      <w:r>
        <w:rPr>
          <w:rFonts w:hint="default" w:ascii="宋体" w:hAnsi="宋体"/>
          <w:color w:val="auto"/>
          <w:sz w:val="24"/>
          <w:szCs w:val="24"/>
          <w:highlight w:val="none"/>
          <w:lang w:val="en-US" w:eastAsia="zh-CN"/>
        </w:rPr>
        <w:t>4.1人员配置：本项目拟派项目负责人（</w:t>
      </w:r>
      <w:r>
        <w:rPr>
          <w:rFonts w:hint="eastAsia" w:ascii="宋体" w:hAnsi="宋体"/>
          <w:color w:val="auto"/>
          <w:sz w:val="24"/>
          <w:szCs w:val="24"/>
          <w:highlight w:val="none"/>
          <w:lang w:val="en-US" w:eastAsia="zh-CN"/>
        </w:rPr>
        <w:t>建筑工程</w:t>
      </w:r>
      <w:r>
        <w:rPr>
          <w:rFonts w:hint="default" w:ascii="宋体" w:hAnsi="宋体"/>
          <w:color w:val="auto"/>
          <w:sz w:val="24"/>
          <w:szCs w:val="24"/>
          <w:highlight w:val="none"/>
          <w:lang w:val="en-US" w:eastAsia="zh-CN"/>
        </w:rPr>
        <w:t>专业二级</w:t>
      </w:r>
      <w:r>
        <w:rPr>
          <w:rFonts w:hint="eastAsia" w:ascii="宋体" w:hAnsi="宋体"/>
          <w:color w:val="auto"/>
          <w:sz w:val="24"/>
          <w:szCs w:val="24"/>
          <w:highlight w:val="none"/>
          <w:lang w:val="en-US" w:eastAsia="zh-CN"/>
        </w:rPr>
        <w:t>或</w:t>
      </w:r>
      <w:r>
        <w:rPr>
          <w:rFonts w:hint="default" w:ascii="宋体" w:hAnsi="宋体"/>
          <w:color w:val="auto"/>
          <w:sz w:val="24"/>
          <w:szCs w:val="24"/>
          <w:highlight w:val="none"/>
          <w:lang w:val="en-US" w:eastAsia="zh-CN"/>
        </w:rPr>
        <w:t>以上注册建造师注册证书、安全生产考核合格 B证）、关键岗位人员【</w:t>
      </w:r>
      <w:r>
        <w:rPr>
          <w:rFonts w:hint="eastAsia" w:ascii="宋体" w:hAnsi="宋体"/>
          <w:color w:val="auto"/>
          <w:sz w:val="24"/>
          <w:szCs w:val="24"/>
          <w:highlight w:val="none"/>
          <w:lang w:val="en-US" w:eastAsia="zh-CN"/>
        </w:rPr>
        <w:t>土建</w:t>
      </w:r>
      <w:r>
        <w:rPr>
          <w:rFonts w:hint="default" w:ascii="宋体" w:hAnsi="宋体"/>
          <w:color w:val="auto"/>
          <w:sz w:val="24"/>
          <w:szCs w:val="24"/>
          <w:highlight w:val="none"/>
          <w:lang w:val="en-US" w:eastAsia="zh-CN"/>
        </w:rPr>
        <w:t>施工员、材料员、</w:t>
      </w:r>
      <w:r>
        <w:rPr>
          <w:rFonts w:hint="eastAsia" w:ascii="宋体" w:hAnsi="宋体"/>
          <w:color w:val="auto"/>
          <w:sz w:val="24"/>
          <w:szCs w:val="24"/>
          <w:highlight w:val="none"/>
          <w:lang w:val="en-US" w:eastAsia="zh-CN"/>
        </w:rPr>
        <w:t>土建</w:t>
      </w:r>
      <w:r>
        <w:rPr>
          <w:rFonts w:hint="default" w:ascii="宋体" w:hAnsi="宋体"/>
          <w:color w:val="auto"/>
          <w:sz w:val="24"/>
          <w:szCs w:val="24"/>
          <w:highlight w:val="none"/>
          <w:lang w:val="en-US" w:eastAsia="zh-CN"/>
        </w:rPr>
        <w:t>质量员</w:t>
      </w:r>
      <w:r>
        <w:rPr>
          <w:rFonts w:hint="eastAsia" w:ascii="宋体" w:hAnsi="宋体"/>
          <w:color w:val="auto"/>
          <w:sz w:val="24"/>
          <w:szCs w:val="24"/>
          <w:highlight w:val="none"/>
          <w:lang w:val="en-US" w:eastAsia="zh-CN"/>
        </w:rPr>
        <w:t>、标准员、机械员、劳务员和资料员</w:t>
      </w:r>
      <w:r>
        <w:rPr>
          <w:rFonts w:hint="default" w:ascii="宋体" w:hAnsi="宋体"/>
          <w:color w:val="auto"/>
          <w:sz w:val="24"/>
          <w:szCs w:val="24"/>
          <w:highlight w:val="none"/>
          <w:lang w:val="en-US" w:eastAsia="zh-CN"/>
        </w:rPr>
        <w:t>】、专职安全生产管理人员【以上人员响应文件中需提供拟派人员身份证原件扫描件及相应证书原件扫描件】</w:t>
      </w:r>
    </w:p>
    <w:p w14:paraId="32A32848">
      <w:pPr>
        <w:shd w:val="clear"/>
        <w:spacing w:line="360" w:lineRule="auto"/>
        <w:jc w:val="both"/>
        <w:rPr>
          <w:rFonts w:hint="default" w:ascii="宋体" w:hAnsi="宋体"/>
          <w:color w:val="auto"/>
          <w:sz w:val="24"/>
          <w:szCs w:val="24"/>
          <w:highlight w:val="none"/>
          <w:lang w:val="en-US" w:eastAsia="zh-CN"/>
        </w:rPr>
      </w:pPr>
      <w:r>
        <w:rPr>
          <w:rFonts w:hint="default" w:ascii="宋体" w:hAnsi="宋体"/>
          <w:color w:val="auto"/>
          <w:sz w:val="24"/>
          <w:szCs w:val="24"/>
          <w:highlight w:val="none"/>
          <w:lang w:val="en-US" w:eastAsia="zh-CN"/>
        </w:rPr>
        <w:t>4.2供应商所投入的工程管理人员应与响应文件保持一致，采购人不要求更换时不得更换。因特殊情况确需更换的，供应商应书面形式向采购人提出意向（附后任人员的详细履历资料），经采购人签署意见后向采购人提出申请，并征得采购人同意。凡未经采购人同意而供应商擅自更换的，供应商须承担违约责任。</w:t>
      </w:r>
    </w:p>
    <w:p w14:paraId="016756FE">
      <w:pPr>
        <w:shd w:val="clear"/>
        <w:adjustRightInd w:val="0"/>
        <w:spacing w:line="360" w:lineRule="auto"/>
        <w:jc w:val="both"/>
        <w:rPr>
          <w:b/>
          <w:bCs/>
          <w:color w:val="auto"/>
          <w:sz w:val="24"/>
          <w:szCs w:val="24"/>
          <w:highlight w:val="none"/>
        </w:rPr>
      </w:pPr>
      <w:r>
        <w:rPr>
          <w:rFonts w:hint="eastAsia"/>
          <w:b/>
          <w:bCs/>
          <w:color w:val="auto"/>
          <w:sz w:val="24"/>
          <w:szCs w:val="24"/>
          <w:highlight w:val="none"/>
        </w:rPr>
        <w:t>（二）商务条款</w:t>
      </w:r>
    </w:p>
    <w:p w14:paraId="2D367325">
      <w:pPr>
        <w:shd w:val="clear"/>
        <w:adjustRightInd w:val="0"/>
        <w:spacing w:line="360" w:lineRule="auto"/>
        <w:jc w:val="both"/>
        <w:rPr>
          <w:rFonts w:hint="eastAsia" w:ascii="宋体" w:hAnsi="宋体"/>
          <w:color w:val="auto"/>
          <w:sz w:val="24"/>
          <w:szCs w:val="24"/>
          <w:highlight w:val="none"/>
          <w:shd w:val="clear" w:color="auto" w:fill="FFFFFF"/>
        </w:rPr>
      </w:pPr>
      <w:r>
        <w:rPr>
          <w:rFonts w:hint="eastAsia" w:ascii="宋体" w:hAnsi="宋体"/>
          <w:color w:val="auto"/>
          <w:sz w:val="24"/>
          <w:szCs w:val="24"/>
          <w:highlight w:val="none"/>
          <w:shd w:val="clear" w:color="auto" w:fill="FFFFFF"/>
        </w:rPr>
        <w:t>1、付款方式：按工程进度支付完成工程量的80%工程款，工程验收合格办理完结算支付至合同价款的97%，剩余3%做为质量保证金。</w:t>
      </w:r>
    </w:p>
    <w:p w14:paraId="3A5EDD23">
      <w:pPr>
        <w:shd w:val="clear"/>
        <w:adjustRightInd w:val="0"/>
        <w:spacing w:line="360" w:lineRule="auto"/>
        <w:jc w:val="both"/>
        <w:rPr>
          <w:rFonts w:hint="eastAsia" w:ascii="宋体" w:hAnsi="宋体"/>
          <w:color w:val="auto"/>
          <w:sz w:val="24"/>
          <w:szCs w:val="24"/>
          <w:highlight w:val="none"/>
          <w:shd w:val="clear" w:color="auto" w:fill="FFFFFF"/>
        </w:rPr>
      </w:pPr>
      <w:r>
        <w:rPr>
          <w:rFonts w:hint="eastAsia" w:ascii="宋体" w:hAnsi="宋体"/>
          <w:color w:val="auto"/>
          <w:sz w:val="24"/>
          <w:szCs w:val="24"/>
          <w:highlight w:val="none"/>
        </w:rPr>
        <w:t>2、</w:t>
      </w:r>
      <w:r>
        <w:rPr>
          <w:rFonts w:hint="eastAsia" w:ascii="宋体" w:hAnsi="宋体"/>
          <w:color w:val="auto"/>
          <w:sz w:val="24"/>
          <w:szCs w:val="24"/>
          <w:highlight w:val="none"/>
          <w:shd w:val="clear" w:color="auto" w:fill="FFFFFF"/>
        </w:rPr>
        <w:t>缺陷责任期</w:t>
      </w:r>
      <w:r>
        <w:rPr>
          <w:rFonts w:hint="eastAsia" w:ascii="宋体" w:hAnsi="宋体"/>
          <w:color w:val="auto"/>
          <w:sz w:val="24"/>
          <w:szCs w:val="24"/>
          <w:highlight w:val="none"/>
        </w:rPr>
        <w:t xml:space="preserve">：自验收合格之日起 </w:t>
      </w:r>
      <w:r>
        <w:rPr>
          <w:rFonts w:hint="eastAsia" w:ascii="宋体" w:hAnsi="宋体" w:eastAsia="宋体"/>
          <w:color w:val="auto"/>
          <w:sz w:val="24"/>
          <w:szCs w:val="24"/>
          <w:highlight w:val="none"/>
          <w:lang w:val="en-US" w:eastAsia="zh-CN"/>
        </w:rPr>
        <w:t>12</w:t>
      </w:r>
      <w:r>
        <w:rPr>
          <w:rFonts w:hint="eastAsia" w:ascii="宋体" w:hAnsi="宋体"/>
          <w:color w:val="auto"/>
          <w:sz w:val="24"/>
          <w:szCs w:val="24"/>
          <w:highlight w:val="none"/>
        </w:rPr>
        <w:t>个月。</w:t>
      </w:r>
    </w:p>
    <w:p w14:paraId="6288236A">
      <w:pPr>
        <w:shd w:val="clear"/>
        <w:adjustRightInd w:val="0"/>
        <w:spacing w:line="360" w:lineRule="auto"/>
        <w:jc w:val="both"/>
        <w:rPr>
          <w:rFonts w:ascii="宋体" w:hAnsi="宋体"/>
          <w:color w:val="auto"/>
          <w:sz w:val="24"/>
          <w:szCs w:val="24"/>
          <w:highlight w:val="none"/>
        </w:rPr>
      </w:pPr>
      <w:r>
        <w:rPr>
          <w:rFonts w:hint="eastAsia" w:ascii="宋体" w:hAnsi="宋体"/>
          <w:color w:val="auto"/>
          <w:sz w:val="24"/>
          <w:szCs w:val="24"/>
          <w:highlight w:val="none"/>
        </w:rPr>
        <w:t>3、工期：</w:t>
      </w:r>
      <w:r>
        <w:rPr>
          <w:rFonts w:hint="eastAsia" w:ascii="宋体" w:hAnsi="宋体"/>
          <w:color w:val="auto"/>
          <w:sz w:val="24"/>
          <w:szCs w:val="24"/>
          <w:highlight w:val="none"/>
          <w:lang w:eastAsia="zh-CN"/>
        </w:rPr>
        <w:t>合同签订后15天内完成施工并交付使用</w:t>
      </w:r>
      <w:r>
        <w:rPr>
          <w:rFonts w:hint="eastAsia" w:ascii="宋体" w:hAnsi="宋体"/>
          <w:color w:val="auto"/>
          <w:sz w:val="24"/>
          <w:szCs w:val="24"/>
          <w:highlight w:val="none"/>
        </w:rPr>
        <w:t>。</w:t>
      </w:r>
    </w:p>
    <w:p w14:paraId="6442A3C0">
      <w:pPr>
        <w:shd w:val="clear"/>
        <w:adjustRightInd w:val="0"/>
        <w:spacing w:line="360" w:lineRule="auto"/>
        <w:jc w:val="both"/>
        <w:rPr>
          <w:rFonts w:hint="default" w:ascii="宋体" w:hAnsi="宋体" w:eastAsia="宋体"/>
          <w:color w:val="auto"/>
          <w:sz w:val="24"/>
          <w:szCs w:val="24"/>
          <w:highlight w:val="none"/>
          <w:lang w:val="en-US" w:eastAsia="zh-CN"/>
        </w:rPr>
      </w:pPr>
      <w:r>
        <w:rPr>
          <w:rFonts w:hint="eastAsia" w:ascii="宋体" w:hAnsi="宋体"/>
          <w:color w:val="auto"/>
          <w:sz w:val="24"/>
          <w:szCs w:val="24"/>
          <w:highlight w:val="none"/>
        </w:rPr>
        <w:t>4、施工地点：</w:t>
      </w:r>
      <w:r>
        <w:rPr>
          <w:rFonts w:hint="eastAsia" w:ascii="宋体" w:hAnsi="宋体" w:eastAsia="宋体"/>
          <w:color w:val="auto"/>
          <w:sz w:val="24"/>
          <w:szCs w:val="24"/>
          <w:highlight w:val="none"/>
          <w:lang w:val="en-US" w:eastAsia="zh-CN"/>
        </w:rPr>
        <w:t>东乡经开区</w:t>
      </w:r>
    </w:p>
    <w:p w14:paraId="23B0F5A1">
      <w:pPr>
        <w:shd w:val="clear"/>
        <w:adjustRightInd w:val="0"/>
        <w:spacing w:line="360" w:lineRule="auto"/>
        <w:jc w:val="both"/>
        <w:rPr>
          <w:rFonts w:ascii="宋体" w:hAnsi="宋体"/>
          <w:color w:val="auto"/>
          <w:sz w:val="24"/>
          <w:szCs w:val="24"/>
          <w:highlight w:val="none"/>
        </w:rPr>
      </w:pPr>
      <w:r>
        <w:rPr>
          <w:rFonts w:hint="eastAsia" w:ascii="宋体" w:hAnsi="宋体"/>
          <w:color w:val="auto"/>
          <w:sz w:val="24"/>
          <w:szCs w:val="24"/>
          <w:highlight w:val="none"/>
        </w:rPr>
        <w:t>5、工程质量标准：合格</w:t>
      </w:r>
    </w:p>
    <w:p w14:paraId="1F2D2B5D">
      <w:pPr>
        <w:pStyle w:val="51"/>
        <w:shd w:val="clear"/>
        <w:spacing w:line="360" w:lineRule="auto"/>
        <w:ind w:firstLine="0" w:firstLineChars="0"/>
        <w:rPr>
          <w:rFonts w:ascii="宋体" w:hAnsi="宋体"/>
          <w:sz w:val="24"/>
          <w:highlight w:val="none"/>
        </w:rPr>
      </w:pPr>
      <w:r>
        <w:rPr>
          <w:rFonts w:hint="eastAsia" w:ascii="宋体" w:hAnsi="宋体"/>
          <w:color w:val="auto"/>
          <w:sz w:val="24"/>
          <w:szCs w:val="24"/>
          <w:highlight w:val="none"/>
        </w:rPr>
        <w:t>6、</w:t>
      </w:r>
      <w:r>
        <w:rPr>
          <w:rFonts w:hint="eastAsia" w:ascii="宋体" w:hAnsi="宋体"/>
          <w:b/>
          <w:bCs/>
          <w:sz w:val="24"/>
          <w:highlight w:val="none"/>
        </w:rPr>
        <w:t>验收</w:t>
      </w:r>
      <w:r>
        <w:rPr>
          <w:rFonts w:ascii="宋体" w:hAnsi="宋体"/>
          <w:b/>
          <w:bCs/>
          <w:sz w:val="24"/>
          <w:highlight w:val="none"/>
        </w:rPr>
        <w:t>:</w:t>
      </w:r>
    </w:p>
    <w:p w14:paraId="77005CB8">
      <w:pPr>
        <w:pStyle w:val="51"/>
        <w:shd w:val="clear"/>
        <w:spacing w:line="360" w:lineRule="auto"/>
        <w:ind w:left="0" w:leftChars="0" w:firstLine="0" w:firstLineChars="0"/>
        <w:jc w:val="left"/>
        <w:rPr>
          <w:rFonts w:ascii="宋体" w:hAnsi="宋体"/>
          <w:sz w:val="24"/>
          <w:highlight w:val="none"/>
        </w:rPr>
      </w:pPr>
      <w:r>
        <w:rPr>
          <w:rFonts w:hint="eastAsia" w:ascii="宋体" w:hAnsi="宋体" w:eastAsia="宋体"/>
          <w:sz w:val="24"/>
          <w:highlight w:val="none"/>
          <w:lang w:val="en-US" w:eastAsia="zh-CN"/>
        </w:rPr>
        <w:t>6</w:t>
      </w:r>
      <w:r>
        <w:rPr>
          <w:rFonts w:hint="eastAsia" w:ascii="宋体" w:hAnsi="宋体"/>
          <w:sz w:val="24"/>
          <w:highlight w:val="none"/>
        </w:rPr>
        <w:t>.1.中标服务商须在</w:t>
      </w:r>
      <w:r>
        <w:rPr>
          <w:rFonts w:ascii="宋体" w:hAnsi="宋体"/>
          <w:sz w:val="24"/>
          <w:highlight w:val="none"/>
        </w:rPr>
        <w:t>验收之前提供完整的资料</w:t>
      </w:r>
      <w:r>
        <w:rPr>
          <w:rFonts w:hint="eastAsia" w:ascii="宋体" w:hAnsi="宋体"/>
          <w:sz w:val="24"/>
          <w:highlight w:val="none"/>
        </w:rPr>
        <w:t>。</w:t>
      </w:r>
    </w:p>
    <w:p w14:paraId="2EFEB3F0">
      <w:pPr>
        <w:pStyle w:val="51"/>
        <w:shd w:val="clear"/>
        <w:spacing w:line="360" w:lineRule="auto"/>
        <w:ind w:left="0" w:leftChars="0" w:firstLine="0" w:firstLineChars="0"/>
        <w:rPr>
          <w:rFonts w:ascii="宋体" w:hAnsi="宋体"/>
          <w:sz w:val="24"/>
          <w:highlight w:val="none"/>
        </w:rPr>
      </w:pPr>
      <w:r>
        <w:rPr>
          <w:rFonts w:hint="eastAsia" w:ascii="宋体" w:hAnsi="宋体" w:eastAsia="宋体"/>
          <w:sz w:val="24"/>
          <w:highlight w:val="none"/>
          <w:lang w:val="en-US" w:eastAsia="zh-CN"/>
        </w:rPr>
        <w:t>6.2.</w:t>
      </w:r>
      <w:r>
        <w:rPr>
          <w:rFonts w:hint="eastAsia" w:ascii="宋体" w:hAnsi="宋体"/>
          <w:sz w:val="24"/>
          <w:highlight w:val="none"/>
        </w:rPr>
        <w:t>中标供应商所提供货物、工程质量、技术参数、性能指标以及安装质量不符合合同规定标准的，采购人有权拒收；因此产生的一切经济损失由卖方承担。</w:t>
      </w:r>
    </w:p>
    <w:p w14:paraId="5EDEC7ED">
      <w:pPr>
        <w:pStyle w:val="51"/>
        <w:shd w:val="clear"/>
        <w:spacing w:line="360" w:lineRule="auto"/>
        <w:ind w:left="0" w:leftChars="0" w:firstLine="0" w:firstLineChars="0"/>
        <w:jc w:val="left"/>
        <w:rPr>
          <w:rFonts w:hint="eastAsia" w:ascii="宋体" w:hAnsi="宋体"/>
          <w:sz w:val="24"/>
          <w:highlight w:val="none"/>
        </w:rPr>
      </w:pPr>
      <w:r>
        <w:rPr>
          <w:rFonts w:hint="eastAsia" w:ascii="宋体" w:hAnsi="宋体" w:eastAsia="宋体"/>
          <w:sz w:val="24"/>
          <w:highlight w:val="none"/>
          <w:lang w:val="en-US" w:eastAsia="zh-CN"/>
        </w:rPr>
        <w:t>6.3.</w:t>
      </w:r>
      <w:r>
        <w:rPr>
          <w:rFonts w:hint="eastAsia" w:ascii="宋体" w:hAnsi="宋体"/>
          <w:sz w:val="24"/>
          <w:highlight w:val="none"/>
        </w:rPr>
        <w:t>施工期间阶段性由监理负责，定期向采购人汇报相关情况。</w:t>
      </w:r>
    </w:p>
    <w:p w14:paraId="5D4731B8">
      <w:pPr>
        <w:pStyle w:val="51"/>
        <w:shd w:val="clear"/>
        <w:spacing w:line="360" w:lineRule="auto"/>
        <w:ind w:left="0" w:leftChars="0" w:firstLine="0" w:firstLineChars="0"/>
        <w:jc w:val="left"/>
        <w:rPr>
          <w:rFonts w:hint="eastAsia" w:ascii="宋体" w:hAnsi="宋体"/>
          <w:sz w:val="24"/>
          <w:highlight w:val="none"/>
        </w:rPr>
      </w:pPr>
      <w:r>
        <w:rPr>
          <w:rFonts w:hint="eastAsia" w:ascii="宋体" w:hAnsi="宋体" w:eastAsia="宋体"/>
          <w:sz w:val="24"/>
          <w:highlight w:val="none"/>
          <w:lang w:val="en-US" w:eastAsia="zh-CN"/>
        </w:rPr>
        <w:t>6</w:t>
      </w:r>
      <w:r>
        <w:rPr>
          <w:rFonts w:hint="eastAsia" w:ascii="宋体" w:hAnsi="宋体"/>
          <w:sz w:val="24"/>
          <w:highlight w:val="none"/>
        </w:rPr>
        <w:t>.</w:t>
      </w:r>
      <w:r>
        <w:rPr>
          <w:rFonts w:hint="eastAsia" w:ascii="宋体" w:hAnsi="宋体" w:eastAsia="宋体"/>
          <w:sz w:val="24"/>
          <w:highlight w:val="none"/>
          <w:lang w:val="en-US" w:eastAsia="zh-CN"/>
        </w:rPr>
        <w:t>4</w:t>
      </w:r>
      <w:r>
        <w:rPr>
          <w:rFonts w:hint="eastAsia" w:ascii="宋体" w:hAnsi="宋体"/>
          <w:sz w:val="24"/>
          <w:highlight w:val="none"/>
        </w:rPr>
        <w:t>.工程竣工后，成交供应商以书面形式向采购人申请验收，采购人在收到验收申请后的七个工作日内，组织</w:t>
      </w:r>
      <w:r>
        <w:rPr>
          <w:rFonts w:hint="eastAsia" w:ascii="宋体" w:hAnsi="宋体"/>
          <w:sz w:val="24"/>
          <w:highlight w:val="none"/>
          <w:lang w:val="en-US" w:eastAsia="zh-CN"/>
        </w:rPr>
        <w:t>相关</w:t>
      </w:r>
      <w:r>
        <w:rPr>
          <w:rFonts w:hint="eastAsia" w:ascii="宋体" w:hAnsi="宋体"/>
          <w:sz w:val="24"/>
          <w:highlight w:val="none"/>
        </w:rPr>
        <w:t>人员对工程进行验收。验收合格，双方在验收报告上签字；</w:t>
      </w:r>
    </w:p>
    <w:p w14:paraId="13994B91">
      <w:pPr>
        <w:pStyle w:val="51"/>
        <w:shd w:val="clear"/>
        <w:spacing w:line="360" w:lineRule="auto"/>
        <w:ind w:left="0" w:leftChars="0" w:firstLine="0" w:firstLineChars="0"/>
        <w:jc w:val="left"/>
        <w:rPr>
          <w:rFonts w:hint="eastAsia" w:ascii="宋体" w:hAnsi="宋体"/>
          <w:sz w:val="24"/>
          <w:highlight w:val="none"/>
        </w:rPr>
      </w:pPr>
      <w:r>
        <w:rPr>
          <w:rFonts w:hint="eastAsia" w:ascii="宋体" w:hAnsi="宋体" w:eastAsia="宋体"/>
          <w:sz w:val="24"/>
          <w:highlight w:val="none"/>
          <w:lang w:val="en-US" w:eastAsia="zh-CN"/>
        </w:rPr>
        <w:t>6</w:t>
      </w:r>
      <w:r>
        <w:rPr>
          <w:rFonts w:hint="eastAsia" w:ascii="宋体" w:hAnsi="宋体"/>
          <w:sz w:val="24"/>
          <w:highlight w:val="none"/>
        </w:rPr>
        <w:t>.</w:t>
      </w:r>
      <w:r>
        <w:rPr>
          <w:rFonts w:hint="eastAsia" w:ascii="宋体" w:hAnsi="宋体" w:eastAsia="宋体"/>
          <w:sz w:val="24"/>
          <w:highlight w:val="none"/>
          <w:lang w:val="en-US" w:eastAsia="zh-CN"/>
        </w:rPr>
        <w:t>5</w:t>
      </w:r>
      <w:r>
        <w:rPr>
          <w:rFonts w:hint="eastAsia" w:ascii="宋体" w:hAnsi="宋体"/>
          <w:sz w:val="24"/>
          <w:highlight w:val="none"/>
        </w:rPr>
        <w:t>.成交供应商须为项目验收提供必需的设备、工具及其他便利条件。验收结果须整改的，成交供应商必须在采购人规定的时间内进行整改，直至整个工程通过验收；</w:t>
      </w:r>
    </w:p>
    <w:p w14:paraId="2BF9422F">
      <w:pPr>
        <w:pStyle w:val="51"/>
        <w:shd w:val="clear"/>
        <w:spacing w:line="360" w:lineRule="auto"/>
        <w:ind w:left="0" w:leftChars="0" w:firstLine="0" w:firstLineChars="0"/>
        <w:jc w:val="left"/>
        <w:rPr>
          <w:rFonts w:hint="default"/>
          <w:highlight w:val="none"/>
        </w:rPr>
      </w:pPr>
      <w:r>
        <w:rPr>
          <w:rFonts w:hint="eastAsia" w:ascii="宋体" w:hAnsi="宋体" w:eastAsia="宋体"/>
          <w:sz w:val="24"/>
          <w:highlight w:val="none"/>
          <w:lang w:val="en-US" w:eastAsia="zh-CN"/>
        </w:rPr>
        <w:t>6</w:t>
      </w:r>
      <w:r>
        <w:rPr>
          <w:rFonts w:hint="eastAsia" w:ascii="宋体" w:hAnsi="宋体"/>
          <w:sz w:val="24"/>
          <w:highlight w:val="none"/>
        </w:rPr>
        <w:t>.</w:t>
      </w:r>
      <w:r>
        <w:rPr>
          <w:rFonts w:hint="eastAsia" w:ascii="宋体" w:hAnsi="宋体" w:eastAsia="宋体"/>
          <w:sz w:val="24"/>
          <w:highlight w:val="none"/>
          <w:lang w:val="en-US" w:eastAsia="zh-CN"/>
        </w:rPr>
        <w:t>6</w:t>
      </w:r>
      <w:r>
        <w:rPr>
          <w:rFonts w:hint="eastAsia" w:ascii="宋体" w:hAnsi="宋体"/>
          <w:sz w:val="24"/>
          <w:highlight w:val="none"/>
        </w:rPr>
        <w:t>.交付验收标准：必须符合国家有关技术规范和质量标准、环保标准或行业标准，验收不合格、存在质量问题，成交供应商必须返工，产生的一切经济损失由成交供应商承担。</w:t>
      </w:r>
    </w:p>
    <w:sectPr>
      <w:footerReference r:id="rId17" w:type="default"/>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D21092">
    <w:pPr>
      <w:framePr w:wrap="around" w:vAnchor="text" w:hAnchor="margin" w:xAlign="center" w:y="1"/>
      <w:tabs>
        <w:tab w:val="center" w:pos="4153"/>
        <w:tab w:val="right" w:pos="8306"/>
      </w:tabs>
    </w:pPr>
    <w:r>
      <w:fldChar w:fldCharType="begin"/>
    </w:r>
    <w:r>
      <w:instrText xml:space="preserve">PAGE  </w:instrText>
    </w:r>
    <w:r>
      <w:fldChar w:fldCharType="separate"/>
    </w:r>
    <w:r>
      <w:t>1</w:t>
    </w:r>
    <w:r>
      <w:fldChar w:fldCharType="end"/>
    </w:r>
  </w:p>
  <w:p w14:paraId="04E41FF1">
    <w:pPr>
      <w:tabs>
        <w:tab w:val="center" w:pos="4153"/>
        <w:tab w:val="right" w:pos="8306"/>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83C6D6">
    <w:pPr>
      <w:framePr w:wrap="around" w:vAnchor="text" w:hAnchor="margin" w:xAlign="center" w:y="1"/>
      <w:tabs>
        <w:tab w:val="center" w:pos="4153"/>
        <w:tab w:val="right" w:pos="8306"/>
      </w:tabs>
    </w:pPr>
    <w:r>
      <w:fldChar w:fldCharType="begin"/>
    </w:r>
    <w:r>
      <w:instrText xml:space="preserve">PAGE  </w:instrText>
    </w:r>
    <w:r>
      <w:fldChar w:fldCharType="end"/>
    </w:r>
  </w:p>
  <w:p w14:paraId="6D2F98E5">
    <w:pPr>
      <w:tabs>
        <w:tab w:val="center" w:pos="4153"/>
        <w:tab w:val="right"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97CCF5">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1E48C4">
    <w:pPr>
      <w:framePr w:wrap="around" w:vAnchor="text" w:hAnchor="margin" w:xAlign="center" w:y="1"/>
      <w:tabs>
        <w:tab w:val="center" w:pos="4153"/>
        <w:tab w:val="right" w:pos="8306"/>
      </w:tabs>
    </w:pPr>
    <w:r>
      <w:fldChar w:fldCharType="begin"/>
    </w:r>
    <w:r>
      <w:instrText xml:space="preserve">PAGE  </w:instrText>
    </w:r>
    <w:r>
      <w:fldChar w:fldCharType="separate"/>
    </w:r>
    <w:r>
      <w:t>21</w:t>
    </w:r>
    <w:r>
      <w:fldChar w:fldCharType="end"/>
    </w:r>
  </w:p>
  <w:p w14:paraId="6894D5D0">
    <w:pPr>
      <w:tabs>
        <w:tab w:val="center" w:pos="4153"/>
        <w:tab w:val="right" w:pos="8306"/>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A5F215">
    <w:pPr>
      <w:framePr w:wrap="around" w:vAnchor="text" w:hAnchor="margin" w:xAlign="center" w:y="1"/>
      <w:tabs>
        <w:tab w:val="center" w:pos="4153"/>
        <w:tab w:val="right" w:pos="8306"/>
      </w:tabs>
    </w:pPr>
    <w:r>
      <w:fldChar w:fldCharType="begin"/>
    </w:r>
    <w:r>
      <w:instrText xml:space="preserve">PAGE  </w:instrText>
    </w:r>
    <w:r>
      <w:fldChar w:fldCharType="separate"/>
    </w:r>
    <w:r>
      <w:t>23</w:t>
    </w:r>
    <w:r>
      <w:fldChar w:fldCharType="end"/>
    </w:r>
  </w:p>
  <w:p w14:paraId="1A8DD85B">
    <w:pPr>
      <w:tabs>
        <w:tab w:val="center" w:pos="4153"/>
        <w:tab w:val="right" w:pos="8306"/>
      </w:tabs>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CC2C20">
    <w:pPr>
      <w:framePr w:wrap="around" w:vAnchor="text" w:hAnchor="margin" w:xAlign="center" w:y="1"/>
      <w:tabs>
        <w:tab w:val="center" w:pos="4153"/>
        <w:tab w:val="right" w:pos="8306"/>
      </w:tabs>
    </w:pPr>
    <w:r>
      <w:fldChar w:fldCharType="begin"/>
    </w:r>
    <w:r>
      <w:instrText xml:space="preserve">PAGE  </w:instrText>
    </w:r>
    <w:r>
      <w:fldChar w:fldCharType="end"/>
    </w:r>
  </w:p>
  <w:p w14:paraId="78D17D6B">
    <w:pPr>
      <w:tabs>
        <w:tab w:val="center" w:pos="4153"/>
        <w:tab w:val="right" w:pos="8306"/>
      </w:tabs>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F5B65B">
    <w:pPr>
      <w:framePr w:wrap="around" w:vAnchor="text" w:hAnchor="margin" w:xAlign="center" w:y="1"/>
      <w:tabs>
        <w:tab w:val="center" w:pos="4153"/>
        <w:tab w:val="right" w:pos="8306"/>
      </w:tabs>
    </w:pPr>
    <w:r>
      <w:fldChar w:fldCharType="begin"/>
    </w:r>
    <w:r>
      <w:instrText xml:space="preserve">PAGE  </w:instrText>
    </w:r>
    <w:r>
      <w:fldChar w:fldCharType="separate"/>
    </w:r>
    <w:r>
      <w:t>27</w:t>
    </w:r>
    <w:r>
      <w:fldChar w:fldCharType="end"/>
    </w:r>
  </w:p>
  <w:p w14:paraId="7147E329">
    <w:pPr>
      <w:tabs>
        <w:tab w:val="center" w:pos="4153"/>
        <w:tab w:val="right" w:pos="8306"/>
      </w:tabs>
      <w:ind w:right="360"/>
      <w:jc w:val="cen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807250">
    <w:pPr>
      <w:framePr w:wrap="around" w:vAnchor="text" w:hAnchor="margin" w:xAlign="center" w:y="1"/>
      <w:tabs>
        <w:tab w:val="center" w:pos="4153"/>
        <w:tab w:val="right" w:pos="8306"/>
      </w:tabs>
    </w:pPr>
    <w:r>
      <w:fldChar w:fldCharType="begin"/>
    </w:r>
    <w:r>
      <w:instrText xml:space="preserve">PAGE  </w:instrText>
    </w:r>
    <w:r>
      <w:fldChar w:fldCharType="end"/>
    </w:r>
  </w:p>
  <w:p w14:paraId="2CB6A7E7">
    <w:pPr>
      <w:tabs>
        <w:tab w:val="center" w:pos="4153"/>
        <w:tab w:val="right" w:pos="8306"/>
      </w:tabs>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BE62E3">
    <w:pPr>
      <w:spacing w:line="176" w:lineRule="auto"/>
      <w:ind w:left="4367"/>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3" name="文本框 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3536D6">
                          <w:pPr>
                            <w:pStyle w:val="10"/>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k3Pus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PUV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k3PuszAgAAYwQAAA4AAAAAAAAAAQAgAAAAHwEAAGRycy9lMm9Eb2MueG1sUEsF&#10;BgAAAAAGAAYAWQEAAMQFAAAAAA==&#10;">
              <v:fill on="f" focussize="0,0"/>
              <v:stroke on="f" weight="0.5pt"/>
              <v:imagedata o:title=""/>
              <o:lock v:ext="edit" aspectratio="f"/>
              <v:textbox inset="0mm,0mm,0mm,0mm" style="mso-fit-shape-to-text:t;">
                <w:txbxContent>
                  <w:p w14:paraId="173536D6">
                    <w:pPr>
                      <w:pStyle w:val="10"/>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5E50C9">
    <w:pPr>
      <w:framePr w:wrap="around" w:vAnchor="text" w:hAnchor="margin" w:xAlign="center" w:y="1"/>
      <w:tabs>
        <w:tab w:val="center" w:pos="4153"/>
        <w:tab w:val="right" w:pos="8306"/>
      </w:tabs>
    </w:pPr>
    <w:r>
      <w:fldChar w:fldCharType="begin"/>
    </w:r>
    <w:r>
      <w:instrText xml:space="preserve">PAGE  </w:instrText>
    </w:r>
    <w:r>
      <w:fldChar w:fldCharType="separate"/>
    </w:r>
    <w:r>
      <w:t>31</w:t>
    </w:r>
    <w:r>
      <w:fldChar w:fldCharType="end"/>
    </w:r>
  </w:p>
  <w:p w14:paraId="75E446AE">
    <w:pPr>
      <w:tabs>
        <w:tab w:val="center" w:pos="4153"/>
        <w:tab w:val="right" w:pos="8306"/>
      </w:tabs>
      <w:ind w:right="360"/>
      <w:jc w:val="cen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ACFF1C">
    <w:pPr>
      <w:framePr w:wrap="around" w:vAnchor="text" w:hAnchor="margin" w:xAlign="center" w:y="1"/>
      <w:tabs>
        <w:tab w:val="center" w:pos="4153"/>
        <w:tab w:val="right" w:pos="8306"/>
      </w:tabs>
    </w:pPr>
    <w:r>
      <w:fldChar w:fldCharType="begin"/>
    </w:r>
    <w:r>
      <w:instrText xml:space="preserve">PAGE  </w:instrText>
    </w:r>
    <w:r>
      <w:fldChar w:fldCharType="end"/>
    </w:r>
  </w:p>
  <w:p w14:paraId="68F032E6">
    <w:pPr>
      <w:tabs>
        <w:tab w:val="center" w:pos="4153"/>
        <w:tab w:val="right" w:pos="8306"/>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4C0195">
    <w:pPr>
      <w:framePr w:wrap="around" w:vAnchor="text" w:hAnchor="margin" w:xAlign="center" w:y="1"/>
      <w:tabs>
        <w:tab w:val="center" w:pos="4153"/>
        <w:tab w:val="right" w:pos="8306"/>
      </w:tabs>
    </w:pPr>
    <w:r>
      <w:fldChar w:fldCharType="begin"/>
    </w:r>
    <w:r>
      <w:instrText xml:space="preserve">PAGE  </w:instrText>
    </w:r>
    <w:r>
      <w:fldChar w:fldCharType="separate"/>
    </w:r>
    <w:r>
      <w:t>33</w:t>
    </w:r>
    <w:r>
      <w:fldChar w:fldCharType="end"/>
    </w:r>
  </w:p>
  <w:p w14:paraId="077E7950">
    <w:pPr>
      <w:tabs>
        <w:tab w:val="center" w:pos="4153"/>
        <w:tab w:val="right" w:pos="8306"/>
      </w:tabs>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A0375F">
    <w:pPr>
      <w:framePr w:wrap="around" w:vAnchor="text" w:hAnchor="margin" w:xAlign="center" w:y="1"/>
      <w:tabs>
        <w:tab w:val="center" w:pos="4153"/>
        <w:tab w:val="right" w:pos="8306"/>
      </w:tabs>
    </w:pPr>
    <w:r>
      <w:fldChar w:fldCharType="begin"/>
    </w:r>
    <w:r>
      <w:instrText xml:space="preserve">PAGE  </w:instrText>
    </w:r>
    <w:r>
      <w:fldChar w:fldCharType="separate"/>
    </w:r>
    <w:r>
      <w:t>53</w:t>
    </w:r>
    <w:r>
      <w:fldChar w:fldCharType="end"/>
    </w:r>
  </w:p>
  <w:p w14:paraId="15D47EAD">
    <w:pPr>
      <w:tabs>
        <w:tab w:val="center" w:pos="4153"/>
        <w:tab w:val="right" w:pos="8306"/>
      </w:tabs>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1A7132">
    <w:pPr>
      <w:tabs>
        <w:tab w:val="center" w:pos="4153"/>
        <w:tab w:val="right"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EE2DDF">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8123D6"/>
    <w:multiLevelType w:val="singleLevel"/>
    <w:tmpl w:val="848123D6"/>
    <w:lvl w:ilvl="0" w:tentative="0">
      <w:start w:val="1"/>
      <w:numFmt w:val="chineseCounting"/>
      <w:suff w:val="nothing"/>
      <w:lvlText w:val="（%1）"/>
      <w:lvlJc w:val="left"/>
      <w:rPr>
        <w:rFonts w:hint="eastAsia"/>
      </w:rPr>
    </w:lvl>
  </w:abstractNum>
  <w:abstractNum w:abstractNumId="1">
    <w:nsid w:val="3678B4C0"/>
    <w:multiLevelType w:val="singleLevel"/>
    <w:tmpl w:val="3678B4C0"/>
    <w:lvl w:ilvl="0" w:tentative="0">
      <w:start w:val="1"/>
      <w:numFmt w:val="decimal"/>
      <w:lvlText w:val="%1."/>
      <w:lvlJc w:val="left"/>
      <w:pPr>
        <w:ind w:left="425" w:hanging="425"/>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ZiMjE5MmQ2ZGM3NDFlMGNmMWYzYjJlNjE1MDg4NjMifQ=="/>
  </w:docVars>
  <w:rsids>
    <w:rsidRoot w:val="009C34C4"/>
    <w:rsid w:val="00000DFF"/>
    <w:rsid w:val="00001511"/>
    <w:rsid w:val="000025B4"/>
    <w:rsid w:val="00002C17"/>
    <w:rsid w:val="00003426"/>
    <w:rsid w:val="00003650"/>
    <w:rsid w:val="00003CBC"/>
    <w:rsid w:val="000052FF"/>
    <w:rsid w:val="000101E0"/>
    <w:rsid w:val="00011D83"/>
    <w:rsid w:val="0001223E"/>
    <w:rsid w:val="0001257D"/>
    <w:rsid w:val="00012F2B"/>
    <w:rsid w:val="0001438D"/>
    <w:rsid w:val="000152CB"/>
    <w:rsid w:val="0001616F"/>
    <w:rsid w:val="00020712"/>
    <w:rsid w:val="00023206"/>
    <w:rsid w:val="00024401"/>
    <w:rsid w:val="000259E8"/>
    <w:rsid w:val="00026444"/>
    <w:rsid w:val="00026FD9"/>
    <w:rsid w:val="000312BB"/>
    <w:rsid w:val="00032511"/>
    <w:rsid w:val="00034B0D"/>
    <w:rsid w:val="00034E02"/>
    <w:rsid w:val="00037036"/>
    <w:rsid w:val="000404E0"/>
    <w:rsid w:val="000413FD"/>
    <w:rsid w:val="00042494"/>
    <w:rsid w:val="0004266F"/>
    <w:rsid w:val="00042A56"/>
    <w:rsid w:val="00044958"/>
    <w:rsid w:val="000461A4"/>
    <w:rsid w:val="000533FC"/>
    <w:rsid w:val="00054B4B"/>
    <w:rsid w:val="00056066"/>
    <w:rsid w:val="00057499"/>
    <w:rsid w:val="0006169B"/>
    <w:rsid w:val="00066BF0"/>
    <w:rsid w:val="00066E55"/>
    <w:rsid w:val="00070945"/>
    <w:rsid w:val="000710A7"/>
    <w:rsid w:val="00071954"/>
    <w:rsid w:val="00071C14"/>
    <w:rsid w:val="00074CDE"/>
    <w:rsid w:val="000753B8"/>
    <w:rsid w:val="00080DCC"/>
    <w:rsid w:val="00083842"/>
    <w:rsid w:val="000838A3"/>
    <w:rsid w:val="000857CC"/>
    <w:rsid w:val="00086941"/>
    <w:rsid w:val="00090382"/>
    <w:rsid w:val="000904DB"/>
    <w:rsid w:val="000906C2"/>
    <w:rsid w:val="0009168F"/>
    <w:rsid w:val="0009493C"/>
    <w:rsid w:val="00094D27"/>
    <w:rsid w:val="000962E6"/>
    <w:rsid w:val="0009665D"/>
    <w:rsid w:val="0009700A"/>
    <w:rsid w:val="000975C3"/>
    <w:rsid w:val="000A0A62"/>
    <w:rsid w:val="000A44F6"/>
    <w:rsid w:val="000A5145"/>
    <w:rsid w:val="000A53F7"/>
    <w:rsid w:val="000A5AD7"/>
    <w:rsid w:val="000A5EC3"/>
    <w:rsid w:val="000A71CA"/>
    <w:rsid w:val="000A7F12"/>
    <w:rsid w:val="000B19FC"/>
    <w:rsid w:val="000B33C0"/>
    <w:rsid w:val="000B61FA"/>
    <w:rsid w:val="000B7F7C"/>
    <w:rsid w:val="000C0C6C"/>
    <w:rsid w:val="000C0E7C"/>
    <w:rsid w:val="000C17D6"/>
    <w:rsid w:val="000C1D79"/>
    <w:rsid w:val="000C2349"/>
    <w:rsid w:val="000C317B"/>
    <w:rsid w:val="000C4553"/>
    <w:rsid w:val="000C4F8B"/>
    <w:rsid w:val="000C7EB8"/>
    <w:rsid w:val="000D03E5"/>
    <w:rsid w:val="000D0657"/>
    <w:rsid w:val="000D1A6C"/>
    <w:rsid w:val="000D218E"/>
    <w:rsid w:val="000D2F06"/>
    <w:rsid w:val="000D308D"/>
    <w:rsid w:val="000D3691"/>
    <w:rsid w:val="000D3A97"/>
    <w:rsid w:val="000D73EA"/>
    <w:rsid w:val="000D79C5"/>
    <w:rsid w:val="000E07B1"/>
    <w:rsid w:val="000E310B"/>
    <w:rsid w:val="000E35D7"/>
    <w:rsid w:val="000E3A52"/>
    <w:rsid w:val="000E4823"/>
    <w:rsid w:val="000E6431"/>
    <w:rsid w:val="000E64FC"/>
    <w:rsid w:val="000E676F"/>
    <w:rsid w:val="000F181D"/>
    <w:rsid w:val="000F19EB"/>
    <w:rsid w:val="000F1E91"/>
    <w:rsid w:val="000F43E9"/>
    <w:rsid w:val="000F6699"/>
    <w:rsid w:val="000F7357"/>
    <w:rsid w:val="000F7D68"/>
    <w:rsid w:val="00100AB7"/>
    <w:rsid w:val="00101683"/>
    <w:rsid w:val="00101894"/>
    <w:rsid w:val="00103F38"/>
    <w:rsid w:val="00104997"/>
    <w:rsid w:val="00105372"/>
    <w:rsid w:val="0010545D"/>
    <w:rsid w:val="00105756"/>
    <w:rsid w:val="0010646F"/>
    <w:rsid w:val="00110C75"/>
    <w:rsid w:val="001115A1"/>
    <w:rsid w:val="00112529"/>
    <w:rsid w:val="00113305"/>
    <w:rsid w:val="00113E54"/>
    <w:rsid w:val="00114BC7"/>
    <w:rsid w:val="001150FB"/>
    <w:rsid w:val="001160B4"/>
    <w:rsid w:val="00116190"/>
    <w:rsid w:val="001173DD"/>
    <w:rsid w:val="00117AEF"/>
    <w:rsid w:val="001200ED"/>
    <w:rsid w:val="00122288"/>
    <w:rsid w:val="00123745"/>
    <w:rsid w:val="001241C4"/>
    <w:rsid w:val="00124803"/>
    <w:rsid w:val="00124B0C"/>
    <w:rsid w:val="0012549A"/>
    <w:rsid w:val="001258D6"/>
    <w:rsid w:val="001264AF"/>
    <w:rsid w:val="001272D7"/>
    <w:rsid w:val="001302A7"/>
    <w:rsid w:val="00130EE8"/>
    <w:rsid w:val="001328DC"/>
    <w:rsid w:val="001334AF"/>
    <w:rsid w:val="0013484C"/>
    <w:rsid w:val="001357C3"/>
    <w:rsid w:val="0013594D"/>
    <w:rsid w:val="00136331"/>
    <w:rsid w:val="00136CD0"/>
    <w:rsid w:val="0014060C"/>
    <w:rsid w:val="001414DC"/>
    <w:rsid w:val="00141AD4"/>
    <w:rsid w:val="00142242"/>
    <w:rsid w:val="0014267C"/>
    <w:rsid w:val="001442E9"/>
    <w:rsid w:val="0014580C"/>
    <w:rsid w:val="0015121D"/>
    <w:rsid w:val="001519A3"/>
    <w:rsid w:val="00152358"/>
    <w:rsid w:val="00153985"/>
    <w:rsid w:val="00157717"/>
    <w:rsid w:val="00161BFE"/>
    <w:rsid w:val="00162574"/>
    <w:rsid w:val="00162CAD"/>
    <w:rsid w:val="00162DA0"/>
    <w:rsid w:val="00163509"/>
    <w:rsid w:val="00165C6E"/>
    <w:rsid w:val="00167741"/>
    <w:rsid w:val="001678AD"/>
    <w:rsid w:val="00167C3F"/>
    <w:rsid w:val="001719BB"/>
    <w:rsid w:val="00171A0E"/>
    <w:rsid w:val="001743DB"/>
    <w:rsid w:val="00175112"/>
    <w:rsid w:val="0017529C"/>
    <w:rsid w:val="0017786C"/>
    <w:rsid w:val="00181283"/>
    <w:rsid w:val="00181367"/>
    <w:rsid w:val="00182E8F"/>
    <w:rsid w:val="00183022"/>
    <w:rsid w:val="001850F5"/>
    <w:rsid w:val="001855A1"/>
    <w:rsid w:val="00186E9E"/>
    <w:rsid w:val="00190E2C"/>
    <w:rsid w:val="00191770"/>
    <w:rsid w:val="00192802"/>
    <w:rsid w:val="00192ABC"/>
    <w:rsid w:val="001936DF"/>
    <w:rsid w:val="00193F39"/>
    <w:rsid w:val="00193FCE"/>
    <w:rsid w:val="0019458C"/>
    <w:rsid w:val="00195993"/>
    <w:rsid w:val="001A1586"/>
    <w:rsid w:val="001A2182"/>
    <w:rsid w:val="001A3F92"/>
    <w:rsid w:val="001A5E5D"/>
    <w:rsid w:val="001A63A8"/>
    <w:rsid w:val="001B0593"/>
    <w:rsid w:val="001B0AC2"/>
    <w:rsid w:val="001B6EA5"/>
    <w:rsid w:val="001B7523"/>
    <w:rsid w:val="001B765B"/>
    <w:rsid w:val="001C0434"/>
    <w:rsid w:val="001C0832"/>
    <w:rsid w:val="001C31FE"/>
    <w:rsid w:val="001C356F"/>
    <w:rsid w:val="001C35CD"/>
    <w:rsid w:val="001C52A4"/>
    <w:rsid w:val="001C6AC1"/>
    <w:rsid w:val="001D21AC"/>
    <w:rsid w:val="001D41D7"/>
    <w:rsid w:val="001D4C6E"/>
    <w:rsid w:val="001D5CCE"/>
    <w:rsid w:val="001D62C3"/>
    <w:rsid w:val="001D63B6"/>
    <w:rsid w:val="001D6F41"/>
    <w:rsid w:val="001D7545"/>
    <w:rsid w:val="001D78C2"/>
    <w:rsid w:val="001D797F"/>
    <w:rsid w:val="001E0AFF"/>
    <w:rsid w:val="001E0BD2"/>
    <w:rsid w:val="001E17AE"/>
    <w:rsid w:val="001E1A2C"/>
    <w:rsid w:val="001E2701"/>
    <w:rsid w:val="001E2BC6"/>
    <w:rsid w:val="001E3B5E"/>
    <w:rsid w:val="001E3FBA"/>
    <w:rsid w:val="001E4FF1"/>
    <w:rsid w:val="001E60A1"/>
    <w:rsid w:val="001E6801"/>
    <w:rsid w:val="001E6C8D"/>
    <w:rsid w:val="001F20C6"/>
    <w:rsid w:val="001F2FE0"/>
    <w:rsid w:val="001F30A0"/>
    <w:rsid w:val="001F39EB"/>
    <w:rsid w:val="001F4B64"/>
    <w:rsid w:val="002010F7"/>
    <w:rsid w:val="00201E70"/>
    <w:rsid w:val="0020332B"/>
    <w:rsid w:val="00203D0E"/>
    <w:rsid w:val="002045AC"/>
    <w:rsid w:val="0020510E"/>
    <w:rsid w:val="002054BA"/>
    <w:rsid w:val="00206E8C"/>
    <w:rsid w:val="002119B1"/>
    <w:rsid w:val="00212EB1"/>
    <w:rsid w:val="0021312D"/>
    <w:rsid w:val="00213823"/>
    <w:rsid w:val="002138DB"/>
    <w:rsid w:val="002139B3"/>
    <w:rsid w:val="00213F64"/>
    <w:rsid w:val="00214422"/>
    <w:rsid w:val="00215779"/>
    <w:rsid w:val="002160BE"/>
    <w:rsid w:val="002170BE"/>
    <w:rsid w:val="0022125A"/>
    <w:rsid w:val="00226C45"/>
    <w:rsid w:val="00226CC7"/>
    <w:rsid w:val="00227396"/>
    <w:rsid w:val="00231820"/>
    <w:rsid w:val="00231C30"/>
    <w:rsid w:val="00231DAD"/>
    <w:rsid w:val="00232309"/>
    <w:rsid w:val="00240111"/>
    <w:rsid w:val="0024114C"/>
    <w:rsid w:val="002419D6"/>
    <w:rsid w:val="00242749"/>
    <w:rsid w:val="002456FA"/>
    <w:rsid w:val="00245F57"/>
    <w:rsid w:val="00246FF0"/>
    <w:rsid w:val="00247538"/>
    <w:rsid w:val="00247AC3"/>
    <w:rsid w:val="00247CFD"/>
    <w:rsid w:val="00247CFE"/>
    <w:rsid w:val="00250622"/>
    <w:rsid w:val="00250F70"/>
    <w:rsid w:val="002517AF"/>
    <w:rsid w:val="002525CC"/>
    <w:rsid w:val="002535A1"/>
    <w:rsid w:val="002539B0"/>
    <w:rsid w:val="00253E1C"/>
    <w:rsid w:val="0025459C"/>
    <w:rsid w:val="00256B41"/>
    <w:rsid w:val="00257760"/>
    <w:rsid w:val="002577DA"/>
    <w:rsid w:val="00261E7C"/>
    <w:rsid w:val="00262049"/>
    <w:rsid w:val="002631E6"/>
    <w:rsid w:val="00263B9E"/>
    <w:rsid w:val="00263CD4"/>
    <w:rsid w:val="00264161"/>
    <w:rsid w:val="002649BA"/>
    <w:rsid w:val="00264D84"/>
    <w:rsid w:val="00265143"/>
    <w:rsid w:val="00266030"/>
    <w:rsid w:val="00266461"/>
    <w:rsid w:val="00266DA8"/>
    <w:rsid w:val="0027014E"/>
    <w:rsid w:val="002711A7"/>
    <w:rsid w:val="002717E9"/>
    <w:rsid w:val="00271C97"/>
    <w:rsid w:val="00271D84"/>
    <w:rsid w:val="0027372E"/>
    <w:rsid w:val="0027378A"/>
    <w:rsid w:val="00275463"/>
    <w:rsid w:val="0027656F"/>
    <w:rsid w:val="00282443"/>
    <w:rsid w:val="002861E6"/>
    <w:rsid w:val="00291BC7"/>
    <w:rsid w:val="00291D5B"/>
    <w:rsid w:val="00292919"/>
    <w:rsid w:val="0029378D"/>
    <w:rsid w:val="002949FA"/>
    <w:rsid w:val="00295AB6"/>
    <w:rsid w:val="00297684"/>
    <w:rsid w:val="002A1163"/>
    <w:rsid w:val="002A323E"/>
    <w:rsid w:val="002A36E3"/>
    <w:rsid w:val="002A3DCC"/>
    <w:rsid w:val="002A46D4"/>
    <w:rsid w:val="002A7E69"/>
    <w:rsid w:val="002B00A6"/>
    <w:rsid w:val="002B1A03"/>
    <w:rsid w:val="002B2ACF"/>
    <w:rsid w:val="002B2D97"/>
    <w:rsid w:val="002B3786"/>
    <w:rsid w:val="002B4A8C"/>
    <w:rsid w:val="002B6812"/>
    <w:rsid w:val="002B77E1"/>
    <w:rsid w:val="002C04B2"/>
    <w:rsid w:val="002C19A0"/>
    <w:rsid w:val="002C1D51"/>
    <w:rsid w:val="002C1E73"/>
    <w:rsid w:val="002C1E90"/>
    <w:rsid w:val="002C2055"/>
    <w:rsid w:val="002C23BB"/>
    <w:rsid w:val="002C2944"/>
    <w:rsid w:val="002C29CF"/>
    <w:rsid w:val="002C443B"/>
    <w:rsid w:val="002C48C7"/>
    <w:rsid w:val="002C4D7C"/>
    <w:rsid w:val="002C4F6D"/>
    <w:rsid w:val="002C569F"/>
    <w:rsid w:val="002D05A8"/>
    <w:rsid w:val="002D09D1"/>
    <w:rsid w:val="002D0DDA"/>
    <w:rsid w:val="002D1F10"/>
    <w:rsid w:val="002D1FBA"/>
    <w:rsid w:val="002D25D3"/>
    <w:rsid w:val="002D2FA7"/>
    <w:rsid w:val="002D355C"/>
    <w:rsid w:val="002D49EB"/>
    <w:rsid w:val="002D4B28"/>
    <w:rsid w:val="002D4CBC"/>
    <w:rsid w:val="002D5FE6"/>
    <w:rsid w:val="002D71C4"/>
    <w:rsid w:val="002D7BC3"/>
    <w:rsid w:val="002E0E01"/>
    <w:rsid w:val="002E13E1"/>
    <w:rsid w:val="002E536E"/>
    <w:rsid w:val="002E58E9"/>
    <w:rsid w:val="002E6178"/>
    <w:rsid w:val="002E7573"/>
    <w:rsid w:val="002E7621"/>
    <w:rsid w:val="002F0C2B"/>
    <w:rsid w:val="002F0C95"/>
    <w:rsid w:val="002F158E"/>
    <w:rsid w:val="002F22FB"/>
    <w:rsid w:val="002F2991"/>
    <w:rsid w:val="002F2A14"/>
    <w:rsid w:val="002F3141"/>
    <w:rsid w:val="002F3519"/>
    <w:rsid w:val="002F4C2F"/>
    <w:rsid w:val="002F5955"/>
    <w:rsid w:val="002F77DD"/>
    <w:rsid w:val="002F787D"/>
    <w:rsid w:val="002F7E75"/>
    <w:rsid w:val="003001E7"/>
    <w:rsid w:val="00301CBC"/>
    <w:rsid w:val="00302287"/>
    <w:rsid w:val="003032EA"/>
    <w:rsid w:val="0030355E"/>
    <w:rsid w:val="00304481"/>
    <w:rsid w:val="003044D5"/>
    <w:rsid w:val="003050B1"/>
    <w:rsid w:val="003061E2"/>
    <w:rsid w:val="0030651C"/>
    <w:rsid w:val="00311B6F"/>
    <w:rsid w:val="003137DC"/>
    <w:rsid w:val="003140A5"/>
    <w:rsid w:val="0031441A"/>
    <w:rsid w:val="00314F85"/>
    <w:rsid w:val="003157CE"/>
    <w:rsid w:val="00315B2E"/>
    <w:rsid w:val="00315CE6"/>
    <w:rsid w:val="0031716D"/>
    <w:rsid w:val="00322F50"/>
    <w:rsid w:val="003232B6"/>
    <w:rsid w:val="0032411F"/>
    <w:rsid w:val="0032447B"/>
    <w:rsid w:val="00324F3F"/>
    <w:rsid w:val="00327831"/>
    <w:rsid w:val="00330F5C"/>
    <w:rsid w:val="00331593"/>
    <w:rsid w:val="00332D72"/>
    <w:rsid w:val="00333618"/>
    <w:rsid w:val="003347B9"/>
    <w:rsid w:val="00336940"/>
    <w:rsid w:val="0033773E"/>
    <w:rsid w:val="00340608"/>
    <w:rsid w:val="00341B4E"/>
    <w:rsid w:val="0034221F"/>
    <w:rsid w:val="003447B2"/>
    <w:rsid w:val="00347D1A"/>
    <w:rsid w:val="003503BA"/>
    <w:rsid w:val="003514DE"/>
    <w:rsid w:val="00351D4E"/>
    <w:rsid w:val="0035400B"/>
    <w:rsid w:val="0035408E"/>
    <w:rsid w:val="00354ED0"/>
    <w:rsid w:val="0035559D"/>
    <w:rsid w:val="00356279"/>
    <w:rsid w:val="00356ECA"/>
    <w:rsid w:val="00357EEB"/>
    <w:rsid w:val="003616F2"/>
    <w:rsid w:val="00361B71"/>
    <w:rsid w:val="00362C76"/>
    <w:rsid w:val="00363239"/>
    <w:rsid w:val="00363760"/>
    <w:rsid w:val="00363C1B"/>
    <w:rsid w:val="0036534B"/>
    <w:rsid w:val="003670BE"/>
    <w:rsid w:val="003705E5"/>
    <w:rsid w:val="0037224E"/>
    <w:rsid w:val="00372503"/>
    <w:rsid w:val="003728EF"/>
    <w:rsid w:val="00373352"/>
    <w:rsid w:val="00374D71"/>
    <w:rsid w:val="0038093D"/>
    <w:rsid w:val="00380D77"/>
    <w:rsid w:val="00384DDF"/>
    <w:rsid w:val="00385DF6"/>
    <w:rsid w:val="00386BAB"/>
    <w:rsid w:val="00386CF4"/>
    <w:rsid w:val="00390325"/>
    <w:rsid w:val="0039040A"/>
    <w:rsid w:val="003921E4"/>
    <w:rsid w:val="00393432"/>
    <w:rsid w:val="00393D73"/>
    <w:rsid w:val="00393E94"/>
    <w:rsid w:val="003952A7"/>
    <w:rsid w:val="00397C4F"/>
    <w:rsid w:val="003A04F4"/>
    <w:rsid w:val="003A5588"/>
    <w:rsid w:val="003A5C77"/>
    <w:rsid w:val="003A6246"/>
    <w:rsid w:val="003A63B3"/>
    <w:rsid w:val="003A7059"/>
    <w:rsid w:val="003A70C4"/>
    <w:rsid w:val="003A7A54"/>
    <w:rsid w:val="003B01B7"/>
    <w:rsid w:val="003B0235"/>
    <w:rsid w:val="003B3EEC"/>
    <w:rsid w:val="003B4294"/>
    <w:rsid w:val="003B6220"/>
    <w:rsid w:val="003B718F"/>
    <w:rsid w:val="003B7921"/>
    <w:rsid w:val="003B7943"/>
    <w:rsid w:val="003B7FA9"/>
    <w:rsid w:val="003C0421"/>
    <w:rsid w:val="003C33EA"/>
    <w:rsid w:val="003C345C"/>
    <w:rsid w:val="003C4ACE"/>
    <w:rsid w:val="003C5271"/>
    <w:rsid w:val="003C58D9"/>
    <w:rsid w:val="003D022C"/>
    <w:rsid w:val="003D04D0"/>
    <w:rsid w:val="003D1903"/>
    <w:rsid w:val="003D19EA"/>
    <w:rsid w:val="003D28E5"/>
    <w:rsid w:val="003D3AA9"/>
    <w:rsid w:val="003D3E81"/>
    <w:rsid w:val="003D5351"/>
    <w:rsid w:val="003D5FEA"/>
    <w:rsid w:val="003D6FE6"/>
    <w:rsid w:val="003E00B6"/>
    <w:rsid w:val="003E0A28"/>
    <w:rsid w:val="003E133B"/>
    <w:rsid w:val="003E13A4"/>
    <w:rsid w:val="003E168F"/>
    <w:rsid w:val="003E228F"/>
    <w:rsid w:val="003E294B"/>
    <w:rsid w:val="003E33CC"/>
    <w:rsid w:val="003E471E"/>
    <w:rsid w:val="003E535C"/>
    <w:rsid w:val="003E712E"/>
    <w:rsid w:val="003E7C2F"/>
    <w:rsid w:val="003E7CDD"/>
    <w:rsid w:val="003F10A3"/>
    <w:rsid w:val="003F10AD"/>
    <w:rsid w:val="003F1926"/>
    <w:rsid w:val="003F6B4B"/>
    <w:rsid w:val="003F7661"/>
    <w:rsid w:val="003F78FC"/>
    <w:rsid w:val="0040077C"/>
    <w:rsid w:val="004032EE"/>
    <w:rsid w:val="00403405"/>
    <w:rsid w:val="00403926"/>
    <w:rsid w:val="00405660"/>
    <w:rsid w:val="004056BF"/>
    <w:rsid w:val="00405C2A"/>
    <w:rsid w:val="00406168"/>
    <w:rsid w:val="00406169"/>
    <w:rsid w:val="0040724E"/>
    <w:rsid w:val="004079EB"/>
    <w:rsid w:val="00410532"/>
    <w:rsid w:val="0041097A"/>
    <w:rsid w:val="0041187D"/>
    <w:rsid w:val="00412CA4"/>
    <w:rsid w:val="00413339"/>
    <w:rsid w:val="004140A8"/>
    <w:rsid w:val="004143F1"/>
    <w:rsid w:val="004148D2"/>
    <w:rsid w:val="0041546B"/>
    <w:rsid w:val="00415479"/>
    <w:rsid w:val="004162CC"/>
    <w:rsid w:val="004165E9"/>
    <w:rsid w:val="00416B04"/>
    <w:rsid w:val="00417C87"/>
    <w:rsid w:val="00422C81"/>
    <w:rsid w:val="004230AE"/>
    <w:rsid w:val="00424050"/>
    <w:rsid w:val="00424BD0"/>
    <w:rsid w:val="004253CA"/>
    <w:rsid w:val="004261C7"/>
    <w:rsid w:val="00430088"/>
    <w:rsid w:val="004314F0"/>
    <w:rsid w:val="00431A78"/>
    <w:rsid w:val="00432936"/>
    <w:rsid w:val="00434293"/>
    <w:rsid w:val="00434CBB"/>
    <w:rsid w:val="00435DD8"/>
    <w:rsid w:val="0043701A"/>
    <w:rsid w:val="00437182"/>
    <w:rsid w:val="00437531"/>
    <w:rsid w:val="00437A6C"/>
    <w:rsid w:val="004401D8"/>
    <w:rsid w:val="00440449"/>
    <w:rsid w:val="0044065F"/>
    <w:rsid w:val="00440B41"/>
    <w:rsid w:val="00441FE2"/>
    <w:rsid w:val="00446500"/>
    <w:rsid w:val="00446D81"/>
    <w:rsid w:val="004473D4"/>
    <w:rsid w:val="0045010D"/>
    <w:rsid w:val="004503CD"/>
    <w:rsid w:val="00453AA7"/>
    <w:rsid w:val="00457330"/>
    <w:rsid w:val="004576D5"/>
    <w:rsid w:val="0046097F"/>
    <w:rsid w:val="00462084"/>
    <w:rsid w:val="00464713"/>
    <w:rsid w:val="00465AC6"/>
    <w:rsid w:val="00466D04"/>
    <w:rsid w:val="004678E4"/>
    <w:rsid w:val="004703E5"/>
    <w:rsid w:val="00470D03"/>
    <w:rsid w:val="00470D6B"/>
    <w:rsid w:val="00471226"/>
    <w:rsid w:val="00471F0A"/>
    <w:rsid w:val="00472317"/>
    <w:rsid w:val="00472A7B"/>
    <w:rsid w:val="004735B6"/>
    <w:rsid w:val="00474107"/>
    <w:rsid w:val="00474A6E"/>
    <w:rsid w:val="00475EDC"/>
    <w:rsid w:val="00476620"/>
    <w:rsid w:val="00477712"/>
    <w:rsid w:val="00477CF9"/>
    <w:rsid w:val="004805FB"/>
    <w:rsid w:val="0048082D"/>
    <w:rsid w:val="00480FA9"/>
    <w:rsid w:val="0048123C"/>
    <w:rsid w:val="00481FB3"/>
    <w:rsid w:val="004834C1"/>
    <w:rsid w:val="00486353"/>
    <w:rsid w:val="00491481"/>
    <w:rsid w:val="00491CB0"/>
    <w:rsid w:val="004920D1"/>
    <w:rsid w:val="0049267D"/>
    <w:rsid w:val="00492A3E"/>
    <w:rsid w:val="00493B2C"/>
    <w:rsid w:val="00493BB0"/>
    <w:rsid w:val="004949AA"/>
    <w:rsid w:val="00494BC0"/>
    <w:rsid w:val="00494BC2"/>
    <w:rsid w:val="004967D2"/>
    <w:rsid w:val="004A0815"/>
    <w:rsid w:val="004A09E0"/>
    <w:rsid w:val="004A29A6"/>
    <w:rsid w:val="004A45EC"/>
    <w:rsid w:val="004A4E64"/>
    <w:rsid w:val="004A5786"/>
    <w:rsid w:val="004A63A5"/>
    <w:rsid w:val="004A749F"/>
    <w:rsid w:val="004A75F5"/>
    <w:rsid w:val="004A7785"/>
    <w:rsid w:val="004B09B8"/>
    <w:rsid w:val="004B11E0"/>
    <w:rsid w:val="004B1467"/>
    <w:rsid w:val="004B41B1"/>
    <w:rsid w:val="004B577B"/>
    <w:rsid w:val="004B6C9F"/>
    <w:rsid w:val="004B7FA3"/>
    <w:rsid w:val="004C147C"/>
    <w:rsid w:val="004C2786"/>
    <w:rsid w:val="004C32EE"/>
    <w:rsid w:val="004C3F70"/>
    <w:rsid w:val="004C40F2"/>
    <w:rsid w:val="004C5ED9"/>
    <w:rsid w:val="004C762B"/>
    <w:rsid w:val="004D03C9"/>
    <w:rsid w:val="004D181B"/>
    <w:rsid w:val="004D367A"/>
    <w:rsid w:val="004D4530"/>
    <w:rsid w:val="004D4CF0"/>
    <w:rsid w:val="004D5AD8"/>
    <w:rsid w:val="004D7462"/>
    <w:rsid w:val="004D7863"/>
    <w:rsid w:val="004E09AD"/>
    <w:rsid w:val="004E0DCD"/>
    <w:rsid w:val="004E4B9F"/>
    <w:rsid w:val="004E6B28"/>
    <w:rsid w:val="004E7CC0"/>
    <w:rsid w:val="004F07A7"/>
    <w:rsid w:val="004F1D42"/>
    <w:rsid w:val="004F5861"/>
    <w:rsid w:val="004F5A4C"/>
    <w:rsid w:val="00500AFF"/>
    <w:rsid w:val="005010E9"/>
    <w:rsid w:val="00501D60"/>
    <w:rsid w:val="0050288E"/>
    <w:rsid w:val="00505127"/>
    <w:rsid w:val="00505309"/>
    <w:rsid w:val="00506923"/>
    <w:rsid w:val="00507143"/>
    <w:rsid w:val="00507196"/>
    <w:rsid w:val="00510AFA"/>
    <w:rsid w:val="00510E00"/>
    <w:rsid w:val="00510F88"/>
    <w:rsid w:val="005124BB"/>
    <w:rsid w:val="005125A5"/>
    <w:rsid w:val="00514FEF"/>
    <w:rsid w:val="005159AD"/>
    <w:rsid w:val="00515E2F"/>
    <w:rsid w:val="00516043"/>
    <w:rsid w:val="00516702"/>
    <w:rsid w:val="005172C3"/>
    <w:rsid w:val="005202F1"/>
    <w:rsid w:val="0052031C"/>
    <w:rsid w:val="00520387"/>
    <w:rsid w:val="00520581"/>
    <w:rsid w:val="00521A08"/>
    <w:rsid w:val="005233B0"/>
    <w:rsid w:val="005239FD"/>
    <w:rsid w:val="0052640D"/>
    <w:rsid w:val="00526A8E"/>
    <w:rsid w:val="00526DD5"/>
    <w:rsid w:val="00527DD8"/>
    <w:rsid w:val="005315DB"/>
    <w:rsid w:val="005315E5"/>
    <w:rsid w:val="00532A46"/>
    <w:rsid w:val="00532AE6"/>
    <w:rsid w:val="0053309D"/>
    <w:rsid w:val="0053354D"/>
    <w:rsid w:val="00534323"/>
    <w:rsid w:val="00537687"/>
    <w:rsid w:val="00537CA0"/>
    <w:rsid w:val="00541047"/>
    <w:rsid w:val="00541537"/>
    <w:rsid w:val="00542768"/>
    <w:rsid w:val="00542B54"/>
    <w:rsid w:val="005430F5"/>
    <w:rsid w:val="005431DD"/>
    <w:rsid w:val="005447DC"/>
    <w:rsid w:val="005457C5"/>
    <w:rsid w:val="005458F0"/>
    <w:rsid w:val="005460A2"/>
    <w:rsid w:val="0054659C"/>
    <w:rsid w:val="00546BE8"/>
    <w:rsid w:val="00553143"/>
    <w:rsid w:val="005549BB"/>
    <w:rsid w:val="00555D3E"/>
    <w:rsid w:val="005560CF"/>
    <w:rsid w:val="00561675"/>
    <w:rsid w:val="0056251F"/>
    <w:rsid w:val="00562DD4"/>
    <w:rsid w:val="0056424B"/>
    <w:rsid w:val="00564522"/>
    <w:rsid w:val="0056458F"/>
    <w:rsid w:val="00564A80"/>
    <w:rsid w:val="00564DA1"/>
    <w:rsid w:val="005654B5"/>
    <w:rsid w:val="0056630E"/>
    <w:rsid w:val="00566E41"/>
    <w:rsid w:val="005675D6"/>
    <w:rsid w:val="00573E85"/>
    <w:rsid w:val="005740AA"/>
    <w:rsid w:val="00575739"/>
    <w:rsid w:val="0057690B"/>
    <w:rsid w:val="005771E3"/>
    <w:rsid w:val="005812B2"/>
    <w:rsid w:val="00581737"/>
    <w:rsid w:val="00582991"/>
    <w:rsid w:val="00582EBA"/>
    <w:rsid w:val="00583444"/>
    <w:rsid w:val="005854CD"/>
    <w:rsid w:val="00586D45"/>
    <w:rsid w:val="005876E0"/>
    <w:rsid w:val="0059104F"/>
    <w:rsid w:val="005934CB"/>
    <w:rsid w:val="005945E2"/>
    <w:rsid w:val="005957D0"/>
    <w:rsid w:val="0059643F"/>
    <w:rsid w:val="005A07D2"/>
    <w:rsid w:val="005A0C8D"/>
    <w:rsid w:val="005A1C0B"/>
    <w:rsid w:val="005A2C14"/>
    <w:rsid w:val="005A468F"/>
    <w:rsid w:val="005A46EE"/>
    <w:rsid w:val="005A4F3A"/>
    <w:rsid w:val="005A5D20"/>
    <w:rsid w:val="005A642C"/>
    <w:rsid w:val="005A6D31"/>
    <w:rsid w:val="005A7EF0"/>
    <w:rsid w:val="005B1105"/>
    <w:rsid w:val="005B37E5"/>
    <w:rsid w:val="005B3FED"/>
    <w:rsid w:val="005B400A"/>
    <w:rsid w:val="005B464A"/>
    <w:rsid w:val="005B50D5"/>
    <w:rsid w:val="005B675D"/>
    <w:rsid w:val="005C4FDF"/>
    <w:rsid w:val="005C563A"/>
    <w:rsid w:val="005C73A9"/>
    <w:rsid w:val="005D420B"/>
    <w:rsid w:val="005D4E04"/>
    <w:rsid w:val="005D5972"/>
    <w:rsid w:val="005D748A"/>
    <w:rsid w:val="005D76A9"/>
    <w:rsid w:val="005E0767"/>
    <w:rsid w:val="005E157F"/>
    <w:rsid w:val="005E1757"/>
    <w:rsid w:val="005E2908"/>
    <w:rsid w:val="005E2B00"/>
    <w:rsid w:val="005E301D"/>
    <w:rsid w:val="005E38FA"/>
    <w:rsid w:val="005E4EEF"/>
    <w:rsid w:val="005E65EF"/>
    <w:rsid w:val="005E7709"/>
    <w:rsid w:val="005E7D95"/>
    <w:rsid w:val="005F366F"/>
    <w:rsid w:val="005F4C4C"/>
    <w:rsid w:val="005F6664"/>
    <w:rsid w:val="005F74B4"/>
    <w:rsid w:val="005F75B5"/>
    <w:rsid w:val="00601C4A"/>
    <w:rsid w:val="00604C16"/>
    <w:rsid w:val="006055BF"/>
    <w:rsid w:val="00605C2B"/>
    <w:rsid w:val="00605EBC"/>
    <w:rsid w:val="0060626D"/>
    <w:rsid w:val="00607167"/>
    <w:rsid w:val="006104E8"/>
    <w:rsid w:val="00612097"/>
    <w:rsid w:val="0061229E"/>
    <w:rsid w:val="00612573"/>
    <w:rsid w:val="0061618E"/>
    <w:rsid w:val="00617B88"/>
    <w:rsid w:val="006207D9"/>
    <w:rsid w:val="00622A07"/>
    <w:rsid w:val="00623D3F"/>
    <w:rsid w:val="00623FF4"/>
    <w:rsid w:val="006244B5"/>
    <w:rsid w:val="006248D6"/>
    <w:rsid w:val="00625D91"/>
    <w:rsid w:val="006266B1"/>
    <w:rsid w:val="00626BA5"/>
    <w:rsid w:val="00627EBD"/>
    <w:rsid w:val="0063408B"/>
    <w:rsid w:val="006341EC"/>
    <w:rsid w:val="006357D4"/>
    <w:rsid w:val="00635EB7"/>
    <w:rsid w:val="00636E1B"/>
    <w:rsid w:val="00637F53"/>
    <w:rsid w:val="00640919"/>
    <w:rsid w:val="006412DB"/>
    <w:rsid w:val="006462F5"/>
    <w:rsid w:val="00646304"/>
    <w:rsid w:val="00646383"/>
    <w:rsid w:val="0064695D"/>
    <w:rsid w:val="00650F62"/>
    <w:rsid w:val="006536D1"/>
    <w:rsid w:val="00660D9B"/>
    <w:rsid w:val="00660E55"/>
    <w:rsid w:val="006613D6"/>
    <w:rsid w:val="006639A2"/>
    <w:rsid w:val="00663EBF"/>
    <w:rsid w:val="0066604C"/>
    <w:rsid w:val="00666A25"/>
    <w:rsid w:val="00671567"/>
    <w:rsid w:val="006722DA"/>
    <w:rsid w:val="0067269D"/>
    <w:rsid w:val="00672B8B"/>
    <w:rsid w:val="006751C9"/>
    <w:rsid w:val="006775CA"/>
    <w:rsid w:val="006779CE"/>
    <w:rsid w:val="00683E7B"/>
    <w:rsid w:val="006848D8"/>
    <w:rsid w:val="0068653E"/>
    <w:rsid w:val="006866F4"/>
    <w:rsid w:val="00686BC2"/>
    <w:rsid w:val="00687A41"/>
    <w:rsid w:val="0069078B"/>
    <w:rsid w:val="00690F46"/>
    <w:rsid w:val="00691BA8"/>
    <w:rsid w:val="00693BED"/>
    <w:rsid w:val="00695551"/>
    <w:rsid w:val="00695E33"/>
    <w:rsid w:val="0069689A"/>
    <w:rsid w:val="00696A14"/>
    <w:rsid w:val="00697F35"/>
    <w:rsid w:val="006A0B32"/>
    <w:rsid w:val="006A1DE8"/>
    <w:rsid w:val="006A24CA"/>
    <w:rsid w:val="006A3102"/>
    <w:rsid w:val="006A3219"/>
    <w:rsid w:val="006A3358"/>
    <w:rsid w:val="006A351A"/>
    <w:rsid w:val="006A4719"/>
    <w:rsid w:val="006A4AD9"/>
    <w:rsid w:val="006A4DC0"/>
    <w:rsid w:val="006A5DD0"/>
    <w:rsid w:val="006A5FEC"/>
    <w:rsid w:val="006A647A"/>
    <w:rsid w:val="006A64B8"/>
    <w:rsid w:val="006A6FFC"/>
    <w:rsid w:val="006A7483"/>
    <w:rsid w:val="006A77B6"/>
    <w:rsid w:val="006B1438"/>
    <w:rsid w:val="006B5D9C"/>
    <w:rsid w:val="006B6D43"/>
    <w:rsid w:val="006B71C8"/>
    <w:rsid w:val="006B72E7"/>
    <w:rsid w:val="006C0117"/>
    <w:rsid w:val="006C1C0F"/>
    <w:rsid w:val="006C29DD"/>
    <w:rsid w:val="006C2E39"/>
    <w:rsid w:val="006C2EE5"/>
    <w:rsid w:val="006C365C"/>
    <w:rsid w:val="006C37C8"/>
    <w:rsid w:val="006C4C9F"/>
    <w:rsid w:val="006C60CD"/>
    <w:rsid w:val="006C7291"/>
    <w:rsid w:val="006C7D75"/>
    <w:rsid w:val="006D017C"/>
    <w:rsid w:val="006D15B2"/>
    <w:rsid w:val="006D1788"/>
    <w:rsid w:val="006D2B45"/>
    <w:rsid w:val="006D3F08"/>
    <w:rsid w:val="006D4846"/>
    <w:rsid w:val="006D51EB"/>
    <w:rsid w:val="006D58A3"/>
    <w:rsid w:val="006D5DA6"/>
    <w:rsid w:val="006E02E0"/>
    <w:rsid w:val="006E1313"/>
    <w:rsid w:val="006E2A48"/>
    <w:rsid w:val="006E45B0"/>
    <w:rsid w:val="006E4A13"/>
    <w:rsid w:val="006E4E00"/>
    <w:rsid w:val="006E558D"/>
    <w:rsid w:val="006E5E4B"/>
    <w:rsid w:val="006E664A"/>
    <w:rsid w:val="006E69F7"/>
    <w:rsid w:val="006E6BA9"/>
    <w:rsid w:val="006E6BE3"/>
    <w:rsid w:val="006E6D77"/>
    <w:rsid w:val="006E7025"/>
    <w:rsid w:val="006E73DF"/>
    <w:rsid w:val="006F0C85"/>
    <w:rsid w:val="006F107E"/>
    <w:rsid w:val="006F35E7"/>
    <w:rsid w:val="006F5368"/>
    <w:rsid w:val="006F573C"/>
    <w:rsid w:val="006F5DBD"/>
    <w:rsid w:val="006F77CA"/>
    <w:rsid w:val="00700EB1"/>
    <w:rsid w:val="00701882"/>
    <w:rsid w:val="00703FE5"/>
    <w:rsid w:val="007059F8"/>
    <w:rsid w:val="00705FDC"/>
    <w:rsid w:val="007072A7"/>
    <w:rsid w:val="00710B97"/>
    <w:rsid w:val="00710D7A"/>
    <w:rsid w:val="0071188F"/>
    <w:rsid w:val="00712EE9"/>
    <w:rsid w:val="0071418E"/>
    <w:rsid w:val="00715E76"/>
    <w:rsid w:val="007161EB"/>
    <w:rsid w:val="00716958"/>
    <w:rsid w:val="00717367"/>
    <w:rsid w:val="00717439"/>
    <w:rsid w:val="00720065"/>
    <w:rsid w:val="00720148"/>
    <w:rsid w:val="007201A7"/>
    <w:rsid w:val="007220F7"/>
    <w:rsid w:val="0072503F"/>
    <w:rsid w:val="007260C1"/>
    <w:rsid w:val="00726EA5"/>
    <w:rsid w:val="00727901"/>
    <w:rsid w:val="00730B1A"/>
    <w:rsid w:val="00731025"/>
    <w:rsid w:val="007320FA"/>
    <w:rsid w:val="00732158"/>
    <w:rsid w:val="00733C88"/>
    <w:rsid w:val="007340A1"/>
    <w:rsid w:val="00736DB5"/>
    <w:rsid w:val="00741E4B"/>
    <w:rsid w:val="0074312E"/>
    <w:rsid w:val="0074380A"/>
    <w:rsid w:val="00745902"/>
    <w:rsid w:val="00745AFE"/>
    <w:rsid w:val="00747817"/>
    <w:rsid w:val="00747935"/>
    <w:rsid w:val="00750D1C"/>
    <w:rsid w:val="00752A54"/>
    <w:rsid w:val="00755D06"/>
    <w:rsid w:val="00755F22"/>
    <w:rsid w:val="007561E6"/>
    <w:rsid w:val="00756E4A"/>
    <w:rsid w:val="00757C13"/>
    <w:rsid w:val="00762CCC"/>
    <w:rsid w:val="00765DF1"/>
    <w:rsid w:val="00767404"/>
    <w:rsid w:val="00767695"/>
    <w:rsid w:val="00770091"/>
    <w:rsid w:val="00775071"/>
    <w:rsid w:val="00776C49"/>
    <w:rsid w:val="0077781B"/>
    <w:rsid w:val="00777906"/>
    <w:rsid w:val="0078099C"/>
    <w:rsid w:val="0078222D"/>
    <w:rsid w:val="00782753"/>
    <w:rsid w:val="007833DE"/>
    <w:rsid w:val="00783CBF"/>
    <w:rsid w:val="00785846"/>
    <w:rsid w:val="0078629D"/>
    <w:rsid w:val="00787279"/>
    <w:rsid w:val="007902D9"/>
    <w:rsid w:val="007904FF"/>
    <w:rsid w:val="00790F90"/>
    <w:rsid w:val="00792464"/>
    <w:rsid w:val="00792DF0"/>
    <w:rsid w:val="007935C6"/>
    <w:rsid w:val="00794847"/>
    <w:rsid w:val="00797325"/>
    <w:rsid w:val="007976CE"/>
    <w:rsid w:val="007A0230"/>
    <w:rsid w:val="007A0648"/>
    <w:rsid w:val="007A0675"/>
    <w:rsid w:val="007A0B31"/>
    <w:rsid w:val="007A13B7"/>
    <w:rsid w:val="007A1E3C"/>
    <w:rsid w:val="007A743B"/>
    <w:rsid w:val="007B031A"/>
    <w:rsid w:val="007B15D4"/>
    <w:rsid w:val="007B41A0"/>
    <w:rsid w:val="007B4447"/>
    <w:rsid w:val="007B47C1"/>
    <w:rsid w:val="007B4D6C"/>
    <w:rsid w:val="007B6DF7"/>
    <w:rsid w:val="007C0ADB"/>
    <w:rsid w:val="007C0E69"/>
    <w:rsid w:val="007C3B3A"/>
    <w:rsid w:val="007C3C93"/>
    <w:rsid w:val="007C463C"/>
    <w:rsid w:val="007C5468"/>
    <w:rsid w:val="007C5974"/>
    <w:rsid w:val="007C71E7"/>
    <w:rsid w:val="007C7E98"/>
    <w:rsid w:val="007D0729"/>
    <w:rsid w:val="007D188D"/>
    <w:rsid w:val="007D19C0"/>
    <w:rsid w:val="007D27DB"/>
    <w:rsid w:val="007D3559"/>
    <w:rsid w:val="007D4D87"/>
    <w:rsid w:val="007D67C2"/>
    <w:rsid w:val="007D6ACF"/>
    <w:rsid w:val="007D787B"/>
    <w:rsid w:val="007E043E"/>
    <w:rsid w:val="007E4367"/>
    <w:rsid w:val="007E5147"/>
    <w:rsid w:val="007E6241"/>
    <w:rsid w:val="007E667C"/>
    <w:rsid w:val="007E6A42"/>
    <w:rsid w:val="007E71DB"/>
    <w:rsid w:val="007E7268"/>
    <w:rsid w:val="007E72D2"/>
    <w:rsid w:val="007F02A8"/>
    <w:rsid w:val="007F56C2"/>
    <w:rsid w:val="007F714B"/>
    <w:rsid w:val="00800168"/>
    <w:rsid w:val="00800265"/>
    <w:rsid w:val="0080084A"/>
    <w:rsid w:val="00801F3F"/>
    <w:rsid w:val="008034FF"/>
    <w:rsid w:val="00807254"/>
    <w:rsid w:val="008108D5"/>
    <w:rsid w:val="00810911"/>
    <w:rsid w:val="00810E57"/>
    <w:rsid w:val="00811D2E"/>
    <w:rsid w:val="008121E5"/>
    <w:rsid w:val="00812736"/>
    <w:rsid w:val="00813DC0"/>
    <w:rsid w:val="00814E6E"/>
    <w:rsid w:val="00815399"/>
    <w:rsid w:val="0081547C"/>
    <w:rsid w:val="00817862"/>
    <w:rsid w:val="008178F6"/>
    <w:rsid w:val="0082095C"/>
    <w:rsid w:val="00820E17"/>
    <w:rsid w:val="00823AF0"/>
    <w:rsid w:val="008243DB"/>
    <w:rsid w:val="008267F5"/>
    <w:rsid w:val="008308EB"/>
    <w:rsid w:val="00830985"/>
    <w:rsid w:val="00830D21"/>
    <w:rsid w:val="008314D4"/>
    <w:rsid w:val="00833848"/>
    <w:rsid w:val="00833C45"/>
    <w:rsid w:val="0083486E"/>
    <w:rsid w:val="00835EF6"/>
    <w:rsid w:val="0083603F"/>
    <w:rsid w:val="00837E11"/>
    <w:rsid w:val="008408F4"/>
    <w:rsid w:val="00841624"/>
    <w:rsid w:val="0084301B"/>
    <w:rsid w:val="0084368D"/>
    <w:rsid w:val="00844333"/>
    <w:rsid w:val="00844EC4"/>
    <w:rsid w:val="00845D0E"/>
    <w:rsid w:val="008471A6"/>
    <w:rsid w:val="00847549"/>
    <w:rsid w:val="00847764"/>
    <w:rsid w:val="00847965"/>
    <w:rsid w:val="00847A10"/>
    <w:rsid w:val="00847E3A"/>
    <w:rsid w:val="008531D7"/>
    <w:rsid w:val="00853B7E"/>
    <w:rsid w:val="00854BF3"/>
    <w:rsid w:val="0085509C"/>
    <w:rsid w:val="00855258"/>
    <w:rsid w:val="00855797"/>
    <w:rsid w:val="008558A0"/>
    <w:rsid w:val="00856F04"/>
    <w:rsid w:val="008573AA"/>
    <w:rsid w:val="00857AA8"/>
    <w:rsid w:val="00861CB8"/>
    <w:rsid w:val="0086269D"/>
    <w:rsid w:val="0086313B"/>
    <w:rsid w:val="008631FA"/>
    <w:rsid w:val="008638AC"/>
    <w:rsid w:val="00864405"/>
    <w:rsid w:val="00865A8A"/>
    <w:rsid w:val="008665A1"/>
    <w:rsid w:val="008706AD"/>
    <w:rsid w:val="00871CEE"/>
    <w:rsid w:val="00872346"/>
    <w:rsid w:val="008738CC"/>
    <w:rsid w:val="00873A32"/>
    <w:rsid w:val="00874E61"/>
    <w:rsid w:val="00874F96"/>
    <w:rsid w:val="0087595B"/>
    <w:rsid w:val="00876A7E"/>
    <w:rsid w:val="00876D91"/>
    <w:rsid w:val="00877C62"/>
    <w:rsid w:val="008801EA"/>
    <w:rsid w:val="008804AF"/>
    <w:rsid w:val="00882D54"/>
    <w:rsid w:val="0088321C"/>
    <w:rsid w:val="008832AF"/>
    <w:rsid w:val="008858FD"/>
    <w:rsid w:val="008869AF"/>
    <w:rsid w:val="00886C36"/>
    <w:rsid w:val="00886E01"/>
    <w:rsid w:val="00887988"/>
    <w:rsid w:val="0089133B"/>
    <w:rsid w:val="00891BAD"/>
    <w:rsid w:val="00891D0F"/>
    <w:rsid w:val="00892630"/>
    <w:rsid w:val="0089337C"/>
    <w:rsid w:val="00894755"/>
    <w:rsid w:val="0089574E"/>
    <w:rsid w:val="00895E56"/>
    <w:rsid w:val="0089742A"/>
    <w:rsid w:val="00897E79"/>
    <w:rsid w:val="008A130B"/>
    <w:rsid w:val="008A1FE7"/>
    <w:rsid w:val="008A20F7"/>
    <w:rsid w:val="008A2D2B"/>
    <w:rsid w:val="008A2FEA"/>
    <w:rsid w:val="008A34BD"/>
    <w:rsid w:val="008A5F35"/>
    <w:rsid w:val="008A61DE"/>
    <w:rsid w:val="008A6FE4"/>
    <w:rsid w:val="008B0E30"/>
    <w:rsid w:val="008B10FF"/>
    <w:rsid w:val="008B1B32"/>
    <w:rsid w:val="008B2D43"/>
    <w:rsid w:val="008B358B"/>
    <w:rsid w:val="008B506E"/>
    <w:rsid w:val="008B5ADE"/>
    <w:rsid w:val="008B5B95"/>
    <w:rsid w:val="008B6574"/>
    <w:rsid w:val="008B73D6"/>
    <w:rsid w:val="008B7839"/>
    <w:rsid w:val="008C11C9"/>
    <w:rsid w:val="008C28DE"/>
    <w:rsid w:val="008C2B0F"/>
    <w:rsid w:val="008C2E5F"/>
    <w:rsid w:val="008C2EC3"/>
    <w:rsid w:val="008C306C"/>
    <w:rsid w:val="008C5017"/>
    <w:rsid w:val="008C514D"/>
    <w:rsid w:val="008C6183"/>
    <w:rsid w:val="008C686A"/>
    <w:rsid w:val="008C7A73"/>
    <w:rsid w:val="008C7C1C"/>
    <w:rsid w:val="008C7FFA"/>
    <w:rsid w:val="008D0A8A"/>
    <w:rsid w:val="008D0F72"/>
    <w:rsid w:val="008D1C2E"/>
    <w:rsid w:val="008D3710"/>
    <w:rsid w:val="008D4055"/>
    <w:rsid w:val="008D4696"/>
    <w:rsid w:val="008E0FF2"/>
    <w:rsid w:val="008E1370"/>
    <w:rsid w:val="008E32A4"/>
    <w:rsid w:val="008E42E4"/>
    <w:rsid w:val="008E54DC"/>
    <w:rsid w:val="008E6B20"/>
    <w:rsid w:val="008F0583"/>
    <w:rsid w:val="008F17D0"/>
    <w:rsid w:val="008F18E3"/>
    <w:rsid w:val="008F3E39"/>
    <w:rsid w:val="008F42D6"/>
    <w:rsid w:val="008F4B1E"/>
    <w:rsid w:val="008F5661"/>
    <w:rsid w:val="008F5CE9"/>
    <w:rsid w:val="008F6655"/>
    <w:rsid w:val="008F6819"/>
    <w:rsid w:val="008F6F1F"/>
    <w:rsid w:val="009002C7"/>
    <w:rsid w:val="00900F2E"/>
    <w:rsid w:val="0090172C"/>
    <w:rsid w:val="00901D82"/>
    <w:rsid w:val="009035CB"/>
    <w:rsid w:val="0090488B"/>
    <w:rsid w:val="00904BC1"/>
    <w:rsid w:val="00905DAD"/>
    <w:rsid w:val="00910788"/>
    <w:rsid w:val="00911D24"/>
    <w:rsid w:val="0091235B"/>
    <w:rsid w:val="00913831"/>
    <w:rsid w:val="009138F4"/>
    <w:rsid w:val="00913B62"/>
    <w:rsid w:val="0091756D"/>
    <w:rsid w:val="00920C61"/>
    <w:rsid w:val="00920D0F"/>
    <w:rsid w:val="009213E3"/>
    <w:rsid w:val="00921725"/>
    <w:rsid w:val="0092194E"/>
    <w:rsid w:val="00921AD1"/>
    <w:rsid w:val="00922AEC"/>
    <w:rsid w:val="00924013"/>
    <w:rsid w:val="00926462"/>
    <w:rsid w:val="009310E4"/>
    <w:rsid w:val="009336F2"/>
    <w:rsid w:val="00933CB5"/>
    <w:rsid w:val="00934FF6"/>
    <w:rsid w:val="009362F2"/>
    <w:rsid w:val="00936FA2"/>
    <w:rsid w:val="00937FB3"/>
    <w:rsid w:val="00940E1A"/>
    <w:rsid w:val="009413A3"/>
    <w:rsid w:val="0094225D"/>
    <w:rsid w:val="00942CD0"/>
    <w:rsid w:val="009431B6"/>
    <w:rsid w:val="009441B9"/>
    <w:rsid w:val="00944703"/>
    <w:rsid w:val="00945D87"/>
    <w:rsid w:val="00950223"/>
    <w:rsid w:val="00951091"/>
    <w:rsid w:val="009514B8"/>
    <w:rsid w:val="00951893"/>
    <w:rsid w:val="0095272A"/>
    <w:rsid w:val="009537AD"/>
    <w:rsid w:val="009543C2"/>
    <w:rsid w:val="00954A41"/>
    <w:rsid w:val="00954B7A"/>
    <w:rsid w:val="00954FBA"/>
    <w:rsid w:val="00956163"/>
    <w:rsid w:val="00956476"/>
    <w:rsid w:val="0095689E"/>
    <w:rsid w:val="00956D9B"/>
    <w:rsid w:val="00956E04"/>
    <w:rsid w:val="00957918"/>
    <w:rsid w:val="00960B83"/>
    <w:rsid w:val="00960E3F"/>
    <w:rsid w:val="00962075"/>
    <w:rsid w:val="009622C5"/>
    <w:rsid w:val="00964936"/>
    <w:rsid w:val="00965014"/>
    <w:rsid w:val="00965CC5"/>
    <w:rsid w:val="009662B2"/>
    <w:rsid w:val="009665E0"/>
    <w:rsid w:val="00966D4F"/>
    <w:rsid w:val="009715F3"/>
    <w:rsid w:val="009726B9"/>
    <w:rsid w:val="009732CC"/>
    <w:rsid w:val="00973D80"/>
    <w:rsid w:val="009743A8"/>
    <w:rsid w:val="00975948"/>
    <w:rsid w:val="00975B47"/>
    <w:rsid w:val="00975C84"/>
    <w:rsid w:val="00975EC5"/>
    <w:rsid w:val="00975FC8"/>
    <w:rsid w:val="0097630F"/>
    <w:rsid w:val="009765BD"/>
    <w:rsid w:val="00976602"/>
    <w:rsid w:val="00976EBB"/>
    <w:rsid w:val="009779FE"/>
    <w:rsid w:val="009825CB"/>
    <w:rsid w:val="009826E6"/>
    <w:rsid w:val="00983989"/>
    <w:rsid w:val="00983BA2"/>
    <w:rsid w:val="00984405"/>
    <w:rsid w:val="009854ED"/>
    <w:rsid w:val="0098674F"/>
    <w:rsid w:val="00990207"/>
    <w:rsid w:val="00990A66"/>
    <w:rsid w:val="00991265"/>
    <w:rsid w:val="00995F18"/>
    <w:rsid w:val="0099693C"/>
    <w:rsid w:val="00997004"/>
    <w:rsid w:val="00997DF6"/>
    <w:rsid w:val="009A06ED"/>
    <w:rsid w:val="009A1B45"/>
    <w:rsid w:val="009A2D7B"/>
    <w:rsid w:val="009A32C5"/>
    <w:rsid w:val="009A4968"/>
    <w:rsid w:val="009A5101"/>
    <w:rsid w:val="009A51FE"/>
    <w:rsid w:val="009A63AB"/>
    <w:rsid w:val="009B0A5F"/>
    <w:rsid w:val="009B0B23"/>
    <w:rsid w:val="009B19DB"/>
    <w:rsid w:val="009B24AC"/>
    <w:rsid w:val="009B2820"/>
    <w:rsid w:val="009B33FA"/>
    <w:rsid w:val="009B357C"/>
    <w:rsid w:val="009B3E4F"/>
    <w:rsid w:val="009B4103"/>
    <w:rsid w:val="009B559B"/>
    <w:rsid w:val="009B6212"/>
    <w:rsid w:val="009B79A0"/>
    <w:rsid w:val="009B7A07"/>
    <w:rsid w:val="009C00A8"/>
    <w:rsid w:val="009C131A"/>
    <w:rsid w:val="009C34C4"/>
    <w:rsid w:val="009C5C4E"/>
    <w:rsid w:val="009C5D26"/>
    <w:rsid w:val="009D090E"/>
    <w:rsid w:val="009D0BD8"/>
    <w:rsid w:val="009D1F10"/>
    <w:rsid w:val="009D24F2"/>
    <w:rsid w:val="009D32FD"/>
    <w:rsid w:val="009D3D03"/>
    <w:rsid w:val="009D667E"/>
    <w:rsid w:val="009D7C0F"/>
    <w:rsid w:val="009D7E0C"/>
    <w:rsid w:val="009E0390"/>
    <w:rsid w:val="009E1320"/>
    <w:rsid w:val="009E1D32"/>
    <w:rsid w:val="009E277C"/>
    <w:rsid w:val="009E282F"/>
    <w:rsid w:val="009E3007"/>
    <w:rsid w:val="009E35AF"/>
    <w:rsid w:val="009E394E"/>
    <w:rsid w:val="009E40EA"/>
    <w:rsid w:val="009E4B59"/>
    <w:rsid w:val="009E50BD"/>
    <w:rsid w:val="009E5174"/>
    <w:rsid w:val="009E607F"/>
    <w:rsid w:val="009E6476"/>
    <w:rsid w:val="009E7CAE"/>
    <w:rsid w:val="009F05DE"/>
    <w:rsid w:val="009F0E57"/>
    <w:rsid w:val="009F1172"/>
    <w:rsid w:val="009F120B"/>
    <w:rsid w:val="009F133F"/>
    <w:rsid w:val="009F1A45"/>
    <w:rsid w:val="009F2B2C"/>
    <w:rsid w:val="009F2DCE"/>
    <w:rsid w:val="009F40A6"/>
    <w:rsid w:val="009F42C7"/>
    <w:rsid w:val="00A012B0"/>
    <w:rsid w:val="00A029B5"/>
    <w:rsid w:val="00A03875"/>
    <w:rsid w:val="00A03C15"/>
    <w:rsid w:val="00A03F24"/>
    <w:rsid w:val="00A049EA"/>
    <w:rsid w:val="00A04E85"/>
    <w:rsid w:val="00A04F64"/>
    <w:rsid w:val="00A055C6"/>
    <w:rsid w:val="00A111DB"/>
    <w:rsid w:val="00A12C77"/>
    <w:rsid w:val="00A12D74"/>
    <w:rsid w:val="00A137BF"/>
    <w:rsid w:val="00A14C56"/>
    <w:rsid w:val="00A14CB5"/>
    <w:rsid w:val="00A15399"/>
    <w:rsid w:val="00A21CBD"/>
    <w:rsid w:val="00A2224C"/>
    <w:rsid w:val="00A2249E"/>
    <w:rsid w:val="00A2578D"/>
    <w:rsid w:val="00A257FA"/>
    <w:rsid w:val="00A3043D"/>
    <w:rsid w:val="00A30BA8"/>
    <w:rsid w:val="00A31E63"/>
    <w:rsid w:val="00A340F5"/>
    <w:rsid w:val="00A34714"/>
    <w:rsid w:val="00A358AC"/>
    <w:rsid w:val="00A35E6C"/>
    <w:rsid w:val="00A36C37"/>
    <w:rsid w:val="00A40E0E"/>
    <w:rsid w:val="00A41AEC"/>
    <w:rsid w:val="00A426E9"/>
    <w:rsid w:val="00A43450"/>
    <w:rsid w:val="00A4554A"/>
    <w:rsid w:val="00A45F08"/>
    <w:rsid w:val="00A46169"/>
    <w:rsid w:val="00A4637D"/>
    <w:rsid w:val="00A50C0C"/>
    <w:rsid w:val="00A50FD2"/>
    <w:rsid w:val="00A51314"/>
    <w:rsid w:val="00A52302"/>
    <w:rsid w:val="00A5371B"/>
    <w:rsid w:val="00A538B6"/>
    <w:rsid w:val="00A54586"/>
    <w:rsid w:val="00A5727D"/>
    <w:rsid w:val="00A57B1D"/>
    <w:rsid w:val="00A600C3"/>
    <w:rsid w:val="00A60F83"/>
    <w:rsid w:val="00A624BF"/>
    <w:rsid w:val="00A62BD1"/>
    <w:rsid w:val="00A65326"/>
    <w:rsid w:val="00A65C20"/>
    <w:rsid w:val="00A65CDD"/>
    <w:rsid w:val="00A65E27"/>
    <w:rsid w:val="00A66FD1"/>
    <w:rsid w:val="00A67344"/>
    <w:rsid w:val="00A705D8"/>
    <w:rsid w:val="00A709A8"/>
    <w:rsid w:val="00A70EB8"/>
    <w:rsid w:val="00A71D8D"/>
    <w:rsid w:val="00A729EC"/>
    <w:rsid w:val="00A740FD"/>
    <w:rsid w:val="00A763C6"/>
    <w:rsid w:val="00A765B2"/>
    <w:rsid w:val="00A77BF3"/>
    <w:rsid w:val="00A80ED8"/>
    <w:rsid w:val="00A829F1"/>
    <w:rsid w:val="00A83229"/>
    <w:rsid w:val="00A83DB4"/>
    <w:rsid w:val="00A83E38"/>
    <w:rsid w:val="00A83E9C"/>
    <w:rsid w:val="00A90C90"/>
    <w:rsid w:val="00A93309"/>
    <w:rsid w:val="00A95D5E"/>
    <w:rsid w:val="00A976DD"/>
    <w:rsid w:val="00A977F3"/>
    <w:rsid w:val="00AA4F7E"/>
    <w:rsid w:val="00AB0223"/>
    <w:rsid w:val="00AB13A7"/>
    <w:rsid w:val="00AB15E8"/>
    <w:rsid w:val="00AB275C"/>
    <w:rsid w:val="00AB27EF"/>
    <w:rsid w:val="00AB2BD0"/>
    <w:rsid w:val="00AB3AE7"/>
    <w:rsid w:val="00AB5E9A"/>
    <w:rsid w:val="00AB611B"/>
    <w:rsid w:val="00AB61F2"/>
    <w:rsid w:val="00AB79C4"/>
    <w:rsid w:val="00AC1A9C"/>
    <w:rsid w:val="00AC2AE8"/>
    <w:rsid w:val="00AC3514"/>
    <w:rsid w:val="00AC3D02"/>
    <w:rsid w:val="00AC435A"/>
    <w:rsid w:val="00AC4FD6"/>
    <w:rsid w:val="00AC7757"/>
    <w:rsid w:val="00AD0A5C"/>
    <w:rsid w:val="00AD157F"/>
    <w:rsid w:val="00AD4627"/>
    <w:rsid w:val="00AD4E1C"/>
    <w:rsid w:val="00AD5893"/>
    <w:rsid w:val="00AD5F71"/>
    <w:rsid w:val="00AD7CD3"/>
    <w:rsid w:val="00AE0E53"/>
    <w:rsid w:val="00AE1200"/>
    <w:rsid w:val="00AE2EFE"/>
    <w:rsid w:val="00AE3FA1"/>
    <w:rsid w:val="00AE4194"/>
    <w:rsid w:val="00AE5272"/>
    <w:rsid w:val="00AE5B88"/>
    <w:rsid w:val="00AE6D5C"/>
    <w:rsid w:val="00AE754C"/>
    <w:rsid w:val="00AF0C15"/>
    <w:rsid w:val="00AF0E31"/>
    <w:rsid w:val="00AF10CA"/>
    <w:rsid w:val="00AF1B61"/>
    <w:rsid w:val="00AF28D6"/>
    <w:rsid w:val="00AF3938"/>
    <w:rsid w:val="00AF3C3D"/>
    <w:rsid w:val="00AF5FC4"/>
    <w:rsid w:val="00B00CB4"/>
    <w:rsid w:val="00B02D85"/>
    <w:rsid w:val="00B02DA4"/>
    <w:rsid w:val="00B04337"/>
    <w:rsid w:val="00B04FC4"/>
    <w:rsid w:val="00B05758"/>
    <w:rsid w:val="00B076D0"/>
    <w:rsid w:val="00B07C15"/>
    <w:rsid w:val="00B10366"/>
    <w:rsid w:val="00B106E5"/>
    <w:rsid w:val="00B10A02"/>
    <w:rsid w:val="00B12BE8"/>
    <w:rsid w:val="00B13699"/>
    <w:rsid w:val="00B13C2F"/>
    <w:rsid w:val="00B14A17"/>
    <w:rsid w:val="00B15C63"/>
    <w:rsid w:val="00B22355"/>
    <w:rsid w:val="00B24712"/>
    <w:rsid w:val="00B247AD"/>
    <w:rsid w:val="00B24842"/>
    <w:rsid w:val="00B25C0D"/>
    <w:rsid w:val="00B26178"/>
    <w:rsid w:val="00B269C5"/>
    <w:rsid w:val="00B26EA5"/>
    <w:rsid w:val="00B2773D"/>
    <w:rsid w:val="00B306F7"/>
    <w:rsid w:val="00B30ACD"/>
    <w:rsid w:val="00B31D73"/>
    <w:rsid w:val="00B32525"/>
    <w:rsid w:val="00B3453E"/>
    <w:rsid w:val="00B35892"/>
    <w:rsid w:val="00B36F61"/>
    <w:rsid w:val="00B40086"/>
    <w:rsid w:val="00B4245A"/>
    <w:rsid w:val="00B42691"/>
    <w:rsid w:val="00B436D6"/>
    <w:rsid w:val="00B43812"/>
    <w:rsid w:val="00B444A1"/>
    <w:rsid w:val="00B4492D"/>
    <w:rsid w:val="00B458EA"/>
    <w:rsid w:val="00B50EBA"/>
    <w:rsid w:val="00B51845"/>
    <w:rsid w:val="00B5227C"/>
    <w:rsid w:val="00B5683A"/>
    <w:rsid w:val="00B56D17"/>
    <w:rsid w:val="00B60E52"/>
    <w:rsid w:val="00B62139"/>
    <w:rsid w:val="00B63093"/>
    <w:rsid w:val="00B645CB"/>
    <w:rsid w:val="00B649E2"/>
    <w:rsid w:val="00B64EAD"/>
    <w:rsid w:val="00B65957"/>
    <w:rsid w:val="00B667CC"/>
    <w:rsid w:val="00B67DB2"/>
    <w:rsid w:val="00B70022"/>
    <w:rsid w:val="00B70142"/>
    <w:rsid w:val="00B7052F"/>
    <w:rsid w:val="00B71496"/>
    <w:rsid w:val="00B7154C"/>
    <w:rsid w:val="00B725C0"/>
    <w:rsid w:val="00B72975"/>
    <w:rsid w:val="00B7346C"/>
    <w:rsid w:val="00B742FA"/>
    <w:rsid w:val="00B74933"/>
    <w:rsid w:val="00B74B77"/>
    <w:rsid w:val="00B7678A"/>
    <w:rsid w:val="00B76E16"/>
    <w:rsid w:val="00B7765E"/>
    <w:rsid w:val="00B7773C"/>
    <w:rsid w:val="00B82462"/>
    <w:rsid w:val="00B84042"/>
    <w:rsid w:val="00B8487D"/>
    <w:rsid w:val="00B849C8"/>
    <w:rsid w:val="00B85649"/>
    <w:rsid w:val="00B85E83"/>
    <w:rsid w:val="00B85EBE"/>
    <w:rsid w:val="00B8771F"/>
    <w:rsid w:val="00B90FF8"/>
    <w:rsid w:val="00B92DE8"/>
    <w:rsid w:val="00B93625"/>
    <w:rsid w:val="00B94835"/>
    <w:rsid w:val="00B948C4"/>
    <w:rsid w:val="00B95BC2"/>
    <w:rsid w:val="00BA1D5E"/>
    <w:rsid w:val="00BA1E1D"/>
    <w:rsid w:val="00BA207D"/>
    <w:rsid w:val="00BA211C"/>
    <w:rsid w:val="00BA226F"/>
    <w:rsid w:val="00BA3EC6"/>
    <w:rsid w:val="00BA4942"/>
    <w:rsid w:val="00BA52C9"/>
    <w:rsid w:val="00BA7F16"/>
    <w:rsid w:val="00BB043B"/>
    <w:rsid w:val="00BB108F"/>
    <w:rsid w:val="00BB2456"/>
    <w:rsid w:val="00BB27E4"/>
    <w:rsid w:val="00BB59AE"/>
    <w:rsid w:val="00BB6754"/>
    <w:rsid w:val="00BB6FB6"/>
    <w:rsid w:val="00BB7FE2"/>
    <w:rsid w:val="00BC09DA"/>
    <w:rsid w:val="00BC28AB"/>
    <w:rsid w:val="00BC4C63"/>
    <w:rsid w:val="00BC50BF"/>
    <w:rsid w:val="00BC59B9"/>
    <w:rsid w:val="00BC6E30"/>
    <w:rsid w:val="00BC7E53"/>
    <w:rsid w:val="00BD0FEC"/>
    <w:rsid w:val="00BD105B"/>
    <w:rsid w:val="00BD1A42"/>
    <w:rsid w:val="00BD1B26"/>
    <w:rsid w:val="00BD2A35"/>
    <w:rsid w:val="00BD48D1"/>
    <w:rsid w:val="00BD5BC5"/>
    <w:rsid w:val="00BD5F36"/>
    <w:rsid w:val="00BD632C"/>
    <w:rsid w:val="00BD7038"/>
    <w:rsid w:val="00BD7DE6"/>
    <w:rsid w:val="00BE05B7"/>
    <w:rsid w:val="00BE08FC"/>
    <w:rsid w:val="00BE1366"/>
    <w:rsid w:val="00BE39F2"/>
    <w:rsid w:val="00BE422C"/>
    <w:rsid w:val="00BE44F6"/>
    <w:rsid w:val="00BE5AEE"/>
    <w:rsid w:val="00BE5DFC"/>
    <w:rsid w:val="00BE5FB7"/>
    <w:rsid w:val="00BE6B59"/>
    <w:rsid w:val="00BF0EFA"/>
    <w:rsid w:val="00BF2881"/>
    <w:rsid w:val="00BF32DA"/>
    <w:rsid w:val="00BF3542"/>
    <w:rsid w:val="00BF393A"/>
    <w:rsid w:val="00BF3FEE"/>
    <w:rsid w:val="00BF4BC4"/>
    <w:rsid w:val="00BF4D31"/>
    <w:rsid w:val="00C00822"/>
    <w:rsid w:val="00C00F35"/>
    <w:rsid w:val="00C01629"/>
    <w:rsid w:val="00C033CB"/>
    <w:rsid w:val="00C0356B"/>
    <w:rsid w:val="00C03B50"/>
    <w:rsid w:val="00C0425D"/>
    <w:rsid w:val="00C043E3"/>
    <w:rsid w:val="00C04654"/>
    <w:rsid w:val="00C05176"/>
    <w:rsid w:val="00C054B9"/>
    <w:rsid w:val="00C074A3"/>
    <w:rsid w:val="00C07682"/>
    <w:rsid w:val="00C07D3C"/>
    <w:rsid w:val="00C12222"/>
    <w:rsid w:val="00C13C6A"/>
    <w:rsid w:val="00C13FDB"/>
    <w:rsid w:val="00C141AB"/>
    <w:rsid w:val="00C15851"/>
    <w:rsid w:val="00C167A3"/>
    <w:rsid w:val="00C168BC"/>
    <w:rsid w:val="00C17455"/>
    <w:rsid w:val="00C17944"/>
    <w:rsid w:val="00C20D0A"/>
    <w:rsid w:val="00C20D98"/>
    <w:rsid w:val="00C215F8"/>
    <w:rsid w:val="00C21AA8"/>
    <w:rsid w:val="00C255D4"/>
    <w:rsid w:val="00C26D0F"/>
    <w:rsid w:val="00C30913"/>
    <w:rsid w:val="00C3144F"/>
    <w:rsid w:val="00C32230"/>
    <w:rsid w:val="00C323C3"/>
    <w:rsid w:val="00C333EB"/>
    <w:rsid w:val="00C33FA4"/>
    <w:rsid w:val="00C35EE3"/>
    <w:rsid w:val="00C36534"/>
    <w:rsid w:val="00C409C2"/>
    <w:rsid w:val="00C41969"/>
    <w:rsid w:val="00C42C81"/>
    <w:rsid w:val="00C43335"/>
    <w:rsid w:val="00C438B1"/>
    <w:rsid w:val="00C43ACB"/>
    <w:rsid w:val="00C43E5E"/>
    <w:rsid w:val="00C44E90"/>
    <w:rsid w:val="00C4545D"/>
    <w:rsid w:val="00C478F6"/>
    <w:rsid w:val="00C47C1D"/>
    <w:rsid w:val="00C50CF3"/>
    <w:rsid w:val="00C510D1"/>
    <w:rsid w:val="00C52A33"/>
    <w:rsid w:val="00C543DA"/>
    <w:rsid w:val="00C54FEB"/>
    <w:rsid w:val="00C60974"/>
    <w:rsid w:val="00C63CFB"/>
    <w:rsid w:val="00C651DF"/>
    <w:rsid w:val="00C659EF"/>
    <w:rsid w:val="00C66FC0"/>
    <w:rsid w:val="00C67D07"/>
    <w:rsid w:val="00C70978"/>
    <w:rsid w:val="00C713FD"/>
    <w:rsid w:val="00C72B32"/>
    <w:rsid w:val="00C72B9F"/>
    <w:rsid w:val="00C73103"/>
    <w:rsid w:val="00C73C3E"/>
    <w:rsid w:val="00C74DD3"/>
    <w:rsid w:val="00C76CFD"/>
    <w:rsid w:val="00C76FA4"/>
    <w:rsid w:val="00C776C6"/>
    <w:rsid w:val="00C805D7"/>
    <w:rsid w:val="00C80E7F"/>
    <w:rsid w:val="00C8324F"/>
    <w:rsid w:val="00C83D59"/>
    <w:rsid w:val="00C86CDD"/>
    <w:rsid w:val="00C92F0D"/>
    <w:rsid w:val="00C9352F"/>
    <w:rsid w:val="00C93AA6"/>
    <w:rsid w:val="00C9450D"/>
    <w:rsid w:val="00C95175"/>
    <w:rsid w:val="00C96171"/>
    <w:rsid w:val="00C963B6"/>
    <w:rsid w:val="00C974BB"/>
    <w:rsid w:val="00C97906"/>
    <w:rsid w:val="00C97EB1"/>
    <w:rsid w:val="00CA07D0"/>
    <w:rsid w:val="00CA18D1"/>
    <w:rsid w:val="00CA1CC2"/>
    <w:rsid w:val="00CA2861"/>
    <w:rsid w:val="00CA28CC"/>
    <w:rsid w:val="00CA2C23"/>
    <w:rsid w:val="00CA36F1"/>
    <w:rsid w:val="00CA4F59"/>
    <w:rsid w:val="00CA5431"/>
    <w:rsid w:val="00CA5501"/>
    <w:rsid w:val="00CA56FA"/>
    <w:rsid w:val="00CA60A7"/>
    <w:rsid w:val="00CA72EC"/>
    <w:rsid w:val="00CA7A53"/>
    <w:rsid w:val="00CB0CA2"/>
    <w:rsid w:val="00CB17DC"/>
    <w:rsid w:val="00CB206E"/>
    <w:rsid w:val="00CB2640"/>
    <w:rsid w:val="00CB53A1"/>
    <w:rsid w:val="00CB6333"/>
    <w:rsid w:val="00CB7025"/>
    <w:rsid w:val="00CB706D"/>
    <w:rsid w:val="00CB726A"/>
    <w:rsid w:val="00CC0476"/>
    <w:rsid w:val="00CC08E3"/>
    <w:rsid w:val="00CC13F1"/>
    <w:rsid w:val="00CC4191"/>
    <w:rsid w:val="00CC523E"/>
    <w:rsid w:val="00CC5A74"/>
    <w:rsid w:val="00CC6E21"/>
    <w:rsid w:val="00CD0CED"/>
    <w:rsid w:val="00CD1367"/>
    <w:rsid w:val="00CD34DC"/>
    <w:rsid w:val="00CD5390"/>
    <w:rsid w:val="00CD678F"/>
    <w:rsid w:val="00CE0706"/>
    <w:rsid w:val="00CE48B5"/>
    <w:rsid w:val="00CE490F"/>
    <w:rsid w:val="00CE4B6F"/>
    <w:rsid w:val="00CE4F0F"/>
    <w:rsid w:val="00CE59DD"/>
    <w:rsid w:val="00CE7EC6"/>
    <w:rsid w:val="00CE7F5C"/>
    <w:rsid w:val="00CF00E3"/>
    <w:rsid w:val="00CF013B"/>
    <w:rsid w:val="00CF0911"/>
    <w:rsid w:val="00CF125F"/>
    <w:rsid w:val="00CF1BD9"/>
    <w:rsid w:val="00CF2F6C"/>
    <w:rsid w:val="00CF3FDC"/>
    <w:rsid w:val="00CF4C04"/>
    <w:rsid w:val="00CF4C7C"/>
    <w:rsid w:val="00CF4C9F"/>
    <w:rsid w:val="00CF5E8E"/>
    <w:rsid w:val="00D00A6F"/>
    <w:rsid w:val="00D0113F"/>
    <w:rsid w:val="00D020FB"/>
    <w:rsid w:val="00D04B9A"/>
    <w:rsid w:val="00D0550D"/>
    <w:rsid w:val="00D07609"/>
    <w:rsid w:val="00D12116"/>
    <w:rsid w:val="00D13480"/>
    <w:rsid w:val="00D149B2"/>
    <w:rsid w:val="00D14C51"/>
    <w:rsid w:val="00D16842"/>
    <w:rsid w:val="00D17C08"/>
    <w:rsid w:val="00D216E7"/>
    <w:rsid w:val="00D22C07"/>
    <w:rsid w:val="00D22F38"/>
    <w:rsid w:val="00D2309B"/>
    <w:rsid w:val="00D23E71"/>
    <w:rsid w:val="00D257D1"/>
    <w:rsid w:val="00D2638B"/>
    <w:rsid w:val="00D26642"/>
    <w:rsid w:val="00D26FB0"/>
    <w:rsid w:val="00D26FC6"/>
    <w:rsid w:val="00D332B5"/>
    <w:rsid w:val="00D33771"/>
    <w:rsid w:val="00D33DDF"/>
    <w:rsid w:val="00D34748"/>
    <w:rsid w:val="00D34E4B"/>
    <w:rsid w:val="00D367A6"/>
    <w:rsid w:val="00D37A0B"/>
    <w:rsid w:val="00D404D1"/>
    <w:rsid w:val="00D43443"/>
    <w:rsid w:val="00D436A8"/>
    <w:rsid w:val="00D43AE0"/>
    <w:rsid w:val="00D44C7E"/>
    <w:rsid w:val="00D47C82"/>
    <w:rsid w:val="00D51AB0"/>
    <w:rsid w:val="00D51D4D"/>
    <w:rsid w:val="00D51F50"/>
    <w:rsid w:val="00D52CB5"/>
    <w:rsid w:val="00D5335F"/>
    <w:rsid w:val="00D542DF"/>
    <w:rsid w:val="00D5548A"/>
    <w:rsid w:val="00D56323"/>
    <w:rsid w:val="00D619E4"/>
    <w:rsid w:val="00D61AE6"/>
    <w:rsid w:val="00D62400"/>
    <w:rsid w:val="00D648F1"/>
    <w:rsid w:val="00D64A6A"/>
    <w:rsid w:val="00D659C0"/>
    <w:rsid w:val="00D66777"/>
    <w:rsid w:val="00D66CE1"/>
    <w:rsid w:val="00D701E3"/>
    <w:rsid w:val="00D70316"/>
    <w:rsid w:val="00D708A9"/>
    <w:rsid w:val="00D70F9D"/>
    <w:rsid w:val="00D75DCF"/>
    <w:rsid w:val="00D762DD"/>
    <w:rsid w:val="00D8026A"/>
    <w:rsid w:val="00D831E5"/>
    <w:rsid w:val="00D83E9B"/>
    <w:rsid w:val="00D84128"/>
    <w:rsid w:val="00D843E4"/>
    <w:rsid w:val="00D84881"/>
    <w:rsid w:val="00D86F73"/>
    <w:rsid w:val="00D9054F"/>
    <w:rsid w:val="00D9109E"/>
    <w:rsid w:val="00D9372C"/>
    <w:rsid w:val="00D94030"/>
    <w:rsid w:val="00D945E1"/>
    <w:rsid w:val="00D96385"/>
    <w:rsid w:val="00DA0642"/>
    <w:rsid w:val="00DA1AD8"/>
    <w:rsid w:val="00DA31CB"/>
    <w:rsid w:val="00DA37FB"/>
    <w:rsid w:val="00DA4DD2"/>
    <w:rsid w:val="00DA5853"/>
    <w:rsid w:val="00DA594C"/>
    <w:rsid w:val="00DA7835"/>
    <w:rsid w:val="00DA78B6"/>
    <w:rsid w:val="00DB2C42"/>
    <w:rsid w:val="00DB3A96"/>
    <w:rsid w:val="00DB70DD"/>
    <w:rsid w:val="00DB7302"/>
    <w:rsid w:val="00DB79B4"/>
    <w:rsid w:val="00DC03C4"/>
    <w:rsid w:val="00DC081B"/>
    <w:rsid w:val="00DC14C5"/>
    <w:rsid w:val="00DC1EFA"/>
    <w:rsid w:val="00DC202F"/>
    <w:rsid w:val="00DC494A"/>
    <w:rsid w:val="00DC54FF"/>
    <w:rsid w:val="00DC63EF"/>
    <w:rsid w:val="00DC7633"/>
    <w:rsid w:val="00DC7B37"/>
    <w:rsid w:val="00DC7BAB"/>
    <w:rsid w:val="00DD17C0"/>
    <w:rsid w:val="00DD2680"/>
    <w:rsid w:val="00DD334F"/>
    <w:rsid w:val="00DD3F1B"/>
    <w:rsid w:val="00DD3FC9"/>
    <w:rsid w:val="00DD6969"/>
    <w:rsid w:val="00DD72A0"/>
    <w:rsid w:val="00DE2C2B"/>
    <w:rsid w:val="00DE2C77"/>
    <w:rsid w:val="00DE3664"/>
    <w:rsid w:val="00DE401D"/>
    <w:rsid w:val="00DE409E"/>
    <w:rsid w:val="00DE5A07"/>
    <w:rsid w:val="00DE5C42"/>
    <w:rsid w:val="00DE6306"/>
    <w:rsid w:val="00DE788B"/>
    <w:rsid w:val="00DF1149"/>
    <w:rsid w:val="00DF1489"/>
    <w:rsid w:val="00DF1A6B"/>
    <w:rsid w:val="00DF2215"/>
    <w:rsid w:val="00DF308A"/>
    <w:rsid w:val="00DF7E95"/>
    <w:rsid w:val="00E00C75"/>
    <w:rsid w:val="00E0245D"/>
    <w:rsid w:val="00E02CF9"/>
    <w:rsid w:val="00E02E7B"/>
    <w:rsid w:val="00E02F83"/>
    <w:rsid w:val="00E043E2"/>
    <w:rsid w:val="00E04A79"/>
    <w:rsid w:val="00E06813"/>
    <w:rsid w:val="00E075A1"/>
    <w:rsid w:val="00E07E61"/>
    <w:rsid w:val="00E10220"/>
    <w:rsid w:val="00E1095B"/>
    <w:rsid w:val="00E1221E"/>
    <w:rsid w:val="00E12221"/>
    <w:rsid w:val="00E1247E"/>
    <w:rsid w:val="00E12CEE"/>
    <w:rsid w:val="00E12D3F"/>
    <w:rsid w:val="00E13A6E"/>
    <w:rsid w:val="00E141E7"/>
    <w:rsid w:val="00E15A1D"/>
    <w:rsid w:val="00E16FBB"/>
    <w:rsid w:val="00E21B96"/>
    <w:rsid w:val="00E21E1A"/>
    <w:rsid w:val="00E220EF"/>
    <w:rsid w:val="00E2588D"/>
    <w:rsid w:val="00E25DC8"/>
    <w:rsid w:val="00E30E72"/>
    <w:rsid w:val="00E31E13"/>
    <w:rsid w:val="00E3276D"/>
    <w:rsid w:val="00E32A26"/>
    <w:rsid w:val="00E32C91"/>
    <w:rsid w:val="00E33556"/>
    <w:rsid w:val="00E33979"/>
    <w:rsid w:val="00E34E3C"/>
    <w:rsid w:val="00E360F5"/>
    <w:rsid w:val="00E36485"/>
    <w:rsid w:val="00E36551"/>
    <w:rsid w:val="00E37304"/>
    <w:rsid w:val="00E44EE8"/>
    <w:rsid w:val="00E4500C"/>
    <w:rsid w:val="00E450B7"/>
    <w:rsid w:val="00E5015B"/>
    <w:rsid w:val="00E5247B"/>
    <w:rsid w:val="00E5256D"/>
    <w:rsid w:val="00E52BB3"/>
    <w:rsid w:val="00E542B3"/>
    <w:rsid w:val="00E55550"/>
    <w:rsid w:val="00E55584"/>
    <w:rsid w:val="00E556BB"/>
    <w:rsid w:val="00E55E4B"/>
    <w:rsid w:val="00E56A38"/>
    <w:rsid w:val="00E5706F"/>
    <w:rsid w:val="00E57608"/>
    <w:rsid w:val="00E57B57"/>
    <w:rsid w:val="00E60BB1"/>
    <w:rsid w:val="00E60C05"/>
    <w:rsid w:val="00E62DAA"/>
    <w:rsid w:val="00E63828"/>
    <w:rsid w:val="00E645CD"/>
    <w:rsid w:val="00E649E1"/>
    <w:rsid w:val="00E64D24"/>
    <w:rsid w:val="00E6616B"/>
    <w:rsid w:val="00E70301"/>
    <w:rsid w:val="00E70E86"/>
    <w:rsid w:val="00E71833"/>
    <w:rsid w:val="00E721F1"/>
    <w:rsid w:val="00E72A3A"/>
    <w:rsid w:val="00E74263"/>
    <w:rsid w:val="00E763E0"/>
    <w:rsid w:val="00E81592"/>
    <w:rsid w:val="00E82370"/>
    <w:rsid w:val="00E833DF"/>
    <w:rsid w:val="00E83EC4"/>
    <w:rsid w:val="00E846B4"/>
    <w:rsid w:val="00E84EF4"/>
    <w:rsid w:val="00E85194"/>
    <w:rsid w:val="00E85DBD"/>
    <w:rsid w:val="00E85FEF"/>
    <w:rsid w:val="00E8628E"/>
    <w:rsid w:val="00E902E8"/>
    <w:rsid w:val="00E90D30"/>
    <w:rsid w:val="00E932AD"/>
    <w:rsid w:val="00E933E8"/>
    <w:rsid w:val="00E95057"/>
    <w:rsid w:val="00E96368"/>
    <w:rsid w:val="00E96C36"/>
    <w:rsid w:val="00EA0CD7"/>
    <w:rsid w:val="00EA120C"/>
    <w:rsid w:val="00EA1DD4"/>
    <w:rsid w:val="00EA3AFA"/>
    <w:rsid w:val="00EA4A2C"/>
    <w:rsid w:val="00EA6170"/>
    <w:rsid w:val="00EA68F6"/>
    <w:rsid w:val="00EA6F3A"/>
    <w:rsid w:val="00EB0152"/>
    <w:rsid w:val="00EB07E3"/>
    <w:rsid w:val="00EB2A93"/>
    <w:rsid w:val="00EB2BF3"/>
    <w:rsid w:val="00EB35EF"/>
    <w:rsid w:val="00EB4110"/>
    <w:rsid w:val="00EB4426"/>
    <w:rsid w:val="00EB4E60"/>
    <w:rsid w:val="00EB6B09"/>
    <w:rsid w:val="00EB7D25"/>
    <w:rsid w:val="00EC1765"/>
    <w:rsid w:val="00EC2D02"/>
    <w:rsid w:val="00EC2F76"/>
    <w:rsid w:val="00EC3472"/>
    <w:rsid w:val="00ED2A3A"/>
    <w:rsid w:val="00ED2A96"/>
    <w:rsid w:val="00ED2CE4"/>
    <w:rsid w:val="00ED4EB9"/>
    <w:rsid w:val="00ED5D4B"/>
    <w:rsid w:val="00ED62E8"/>
    <w:rsid w:val="00ED71F2"/>
    <w:rsid w:val="00ED7365"/>
    <w:rsid w:val="00ED7FF8"/>
    <w:rsid w:val="00EE1377"/>
    <w:rsid w:val="00EE1839"/>
    <w:rsid w:val="00EE32CD"/>
    <w:rsid w:val="00EE396D"/>
    <w:rsid w:val="00EE58E6"/>
    <w:rsid w:val="00EE5B1F"/>
    <w:rsid w:val="00EE755D"/>
    <w:rsid w:val="00EF141E"/>
    <w:rsid w:val="00EF1BFB"/>
    <w:rsid w:val="00EF28E5"/>
    <w:rsid w:val="00EF2EAF"/>
    <w:rsid w:val="00EF31CB"/>
    <w:rsid w:val="00EF3621"/>
    <w:rsid w:val="00EF4239"/>
    <w:rsid w:val="00EF6E8B"/>
    <w:rsid w:val="00EF6F5A"/>
    <w:rsid w:val="00EF78DE"/>
    <w:rsid w:val="00EF7F9A"/>
    <w:rsid w:val="00F03235"/>
    <w:rsid w:val="00F04D60"/>
    <w:rsid w:val="00F055B3"/>
    <w:rsid w:val="00F0628A"/>
    <w:rsid w:val="00F14782"/>
    <w:rsid w:val="00F1499F"/>
    <w:rsid w:val="00F15F8D"/>
    <w:rsid w:val="00F16D2A"/>
    <w:rsid w:val="00F20A31"/>
    <w:rsid w:val="00F21924"/>
    <w:rsid w:val="00F255CD"/>
    <w:rsid w:val="00F25DF7"/>
    <w:rsid w:val="00F30CFE"/>
    <w:rsid w:val="00F3391B"/>
    <w:rsid w:val="00F33B01"/>
    <w:rsid w:val="00F3472A"/>
    <w:rsid w:val="00F34993"/>
    <w:rsid w:val="00F34B38"/>
    <w:rsid w:val="00F36996"/>
    <w:rsid w:val="00F37A6D"/>
    <w:rsid w:val="00F41BE4"/>
    <w:rsid w:val="00F45A5B"/>
    <w:rsid w:val="00F45A77"/>
    <w:rsid w:val="00F53DAC"/>
    <w:rsid w:val="00F54041"/>
    <w:rsid w:val="00F5428C"/>
    <w:rsid w:val="00F550C9"/>
    <w:rsid w:val="00F601D5"/>
    <w:rsid w:val="00F60724"/>
    <w:rsid w:val="00F608C4"/>
    <w:rsid w:val="00F61B5C"/>
    <w:rsid w:val="00F621B2"/>
    <w:rsid w:val="00F62895"/>
    <w:rsid w:val="00F62A6B"/>
    <w:rsid w:val="00F631C8"/>
    <w:rsid w:val="00F638F5"/>
    <w:rsid w:val="00F63982"/>
    <w:rsid w:val="00F645C9"/>
    <w:rsid w:val="00F64925"/>
    <w:rsid w:val="00F64C6A"/>
    <w:rsid w:val="00F659A6"/>
    <w:rsid w:val="00F65CAC"/>
    <w:rsid w:val="00F66254"/>
    <w:rsid w:val="00F66C34"/>
    <w:rsid w:val="00F678F2"/>
    <w:rsid w:val="00F67BC1"/>
    <w:rsid w:val="00F70956"/>
    <w:rsid w:val="00F71555"/>
    <w:rsid w:val="00F730EC"/>
    <w:rsid w:val="00F73FB6"/>
    <w:rsid w:val="00F743E6"/>
    <w:rsid w:val="00F74AC9"/>
    <w:rsid w:val="00F74BA9"/>
    <w:rsid w:val="00F7622D"/>
    <w:rsid w:val="00F762CF"/>
    <w:rsid w:val="00F7778F"/>
    <w:rsid w:val="00F80666"/>
    <w:rsid w:val="00F81A97"/>
    <w:rsid w:val="00F81EAA"/>
    <w:rsid w:val="00F820E7"/>
    <w:rsid w:val="00F82D01"/>
    <w:rsid w:val="00F850DE"/>
    <w:rsid w:val="00F8571C"/>
    <w:rsid w:val="00F870C5"/>
    <w:rsid w:val="00F93FE0"/>
    <w:rsid w:val="00F947D0"/>
    <w:rsid w:val="00F94D62"/>
    <w:rsid w:val="00F95329"/>
    <w:rsid w:val="00F9589C"/>
    <w:rsid w:val="00F963CC"/>
    <w:rsid w:val="00F97120"/>
    <w:rsid w:val="00FA0A91"/>
    <w:rsid w:val="00FA1E7B"/>
    <w:rsid w:val="00FA2843"/>
    <w:rsid w:val="00FA301C"/>
    <w:rsid w:val="00FA3C3D"/>
    <w:rsid w:val="00FA5319"/>
    <w:rsid w:val="00FA70B4"/>
    <w:rsid w:val="00FB0A8C"/>
    <w:rsid w:val="00FB1372"/>
    <w:rsid w:val="00FB14DB"/>
    <w:rsid w:val="00FB2439"/>
    <w:rsid w:val="00FB2BD6"/>
    <w:rsid w:val="00FB44E5"/>
    <w:rsid w:val="00FB55A4"/>
    <w:rsid w:val="00FB6D2F"/>
    <w:rsid w:val="00FB6F0E"/>
    <w:rsid w:val="00FC5E05"/>
    <w:rsid w:val="00FC6E7D"/>
    <w:rsid w:val="00FC757B"/>
    <w:rsid w:val="00FC76A4"/>
    <w:rsid w:val="00FC7B8D"/>
    <w:rsid w:val="00FD01E2"/>
    <w:rsid w:val="00FD06EF"/>
    <w:rsid w:val="00FD2CE7"/>
    <w:rsid w:val="00FD371B"/>
    <w:rsid w:val="00FD4D4B"/>
    <w:rsid w:val="00FE389F"/>
    <w:rsid w:val="00FE3B2F"/>
    <w:rsid w:val="00FE404A"/>
    <w:rsid w:val="00FE4109"/>
    <w:rsid w:val="00FE432F"/>
    <w:rsid w:val="00FE45EF"/>
    <w:rsid w:val="00FE4F04"/>
    <w:rsid w:val="00FE5390"/>
    <w:rsid w:val="00FE551B"/>
    <w:rsid w:val="00FE6A6D"/>
    <w:rsid w:val="00FE7A38"/>
    <w:rsid w:val="00FF0A59"/>
    <w:rsid w:val="00FF0DB7"/>
    <w:rsid w:val="00FF1E65"/>
    <w:rsid w:val="00FF2133"/>
    <w:rsid w:val="00FF3027"/>
    <w:rsid w:val="00FF3267"/>
    <w:rsid w:val="00FF4220"/>
    <w:rsid w:val="00FF4BE7"/>
    <w:rsid w:val="00FF7597"/>
    <w:rsid w:val="01F96EC8"/>
    <w:rsid w:val="028719D0"/>
    <w:rsid w:val="029B75CA"/>
    <w:rsid w:val="02F01725"/>
    <w:rsid w:val="031C2553"/>
    <w:rsid w:val="033A25B1"/>
    <w:rsid w:val="03443858"/>
    <w:rsid w:val="035A307B"/>
    <w:rsid w:val="03726617"/>
    <w:rsid w:val="038B058F"/>
    <w:rsid w:val="0399335C"/>
    <w:rsid w:val="03A644DC"/>
    <w:rsid w:val="03CF5E7E"/>
    <w:rsid w:val="03FB5299"/>
    <w:rsid w:val="04444A13"/>
    <w:rsid w:val="044C0B1D"/>
    <w:rsid w:val="04AF7112"/>
    <w:rsid w:val="04DF500F"/>
    <w:rsid w:val="04E64BF6"/>
    <w:rsid w:val="04FC6AE0"/>
    <w:rsid w:val="05133C75"/>
    <w:rsid w:val="051E25B2"/>
    <w:rsid w:val="057523EE"/>
    <w:rsid w:val="0582366F"/>
    <w:rsid w:val="058E5767"/>
    <w:rsid w:val="05987AE7"/>
    <w:rsid w:val="0624121E"/>
    <w:rsid w:val="06273CD6"/>
    <w:rsid w:val="065822CA"/>
    <w:rsid w:val="066B5890"/>
    <w:rsid w:val="06DB1A08"/>
    <w:rsid w:val="07070EA5"/>
    <w:rsid w:val="07860BB0"/>
    <w:rsid w:val="085B0C61"/>
    <w:rsid w:val="092959CA"/>
    <w:rsid w:val="0A4D0927"/>
    <w:rsid w:val="0A530F50"/>
    <w:rsid w:val="0A7C3C8A"/>
    <w:rsid w:val="0A985D5F"/>
    <w:rsid w:val="0B3A7200"/>
    <w:rsid w:val="0BCF2858"/>
    <w:rsid w:val="0C64677F"/>
    <w:rsid w:val="0C69007D"/>
    <w:rsid w:val="0C6B18E3"/>
    <w:rsid w:val="0C8C1159"/>
    <w:rsid w:val="0D0560F5"/>
    <w:rsid w:val="0D2D06D9"/>
    <w:rsid w:val="0DF20A80"/>
    <w:rsid w:val="0E4214F1"/>
    <w:rsid w:val="0F183AD3"/>
    <w:rsid w:val="0F1D7D7F"/>
    <w:rsid w:val="0F3E72BB"/>
    <w:rsid w:val="11286AF9"/>
    <w:rsid w:val="1215457F"/>
    <w:rsid w:val="121B7CCF"/>
    <w:rsid w:val="124D097B"/>
    <w:rsid w:val="12551F23"/>
    <w:rsid w:val="12810624"/>
    <w:rsid w:val="1300231C"/>
    <w:rsid w:val="135F2949"/>
    <w:rsid w:val="13B41C63"/>
    <w:rsid w:val="13FE1610"/>
    <w:rsid w:val="1540541D"/>
    <w:rsid w:val="15565967"/>
    <w:rsid w:val="169528F0"/>
    <w:rsid w:val="169725E3"/>
    <w:rsid w:val="178D35C8"/>
    <w:rsid w:val="1864257A"/>
    <w:rsid w:val="1880735D"/>
    <w:rsid w:val="189015C1"/>
    <w:rsid w:val="19467B43"/>
    <w:rsid w:val="195864CF"/>
    <w:rsid w:val="19A90B8D"/>
    <w:rsid w:val="1ACE4623"/>
    <w:rsid w:val="1AF02DF1"/>
    <w:rsid w:val="1BEB5A4F"/>
    <w:rsid w:val="1C4A047F"/>
    <w:rsid w:val="1C7D52CF"/>
    <w:rsid w:val="1C9378D2"/>
    <w:rsid w:val="1C9657E5"/>
    <w:rsid w:val="1D17405F"/>
    <w:rsid w:val="1DA05AA4"/>
    <w:rsid w:val="1E0345E3"/>
    <w:rsid w:val="1E3C392C"/>
    <w:rsid w:val="1E6312E8"/>
    <w:rsid w:val="1E676D64"/>
    <w:rsid w:val="1F1D250F"/>
    <w:rsid w:val="1F657590"/>
    <w:rsid w:val="1FE01B46"/>
    <w:rsid w:val="20387569"/>
    <w:rsid w:val="20BC5B4A"/>
    <w:rsid w:val="20BD3FB9"/>
    <w:rsid w:val="211E0F0D"/>
    <w:rsid w:val="225C361F"/>
    <w:rsid w:val="22AB3ABF"/>
    <w:rsid w:val="23235776"/>
    <w:rsid w:val="23295E88"/>
    <w:rsid w:val="23307C29"/>
    <w:rsid w:val="233200D8"/>
    <w:rsid w:val="233A65B6"/>
    <w:rsid w:val="23940E02"/>
    <w:rsid w:val="23D5576A"/>
    <w:rsid w:val="23DA2AF1"/>
    <w:rsid w:val="2432352D"/>
    <w:rsid w:val="245A0DBF"/>
    <w:rsid w:val="24823C47"/>
    <w:rsid w:val="25201F1F"/>
    <w:rsid w:val="255D4DBB"/>
    <w:rsid w:val="256516E0"/>
    <w:rsid w:val="25A0311B"/>
    <w:rsid w:val="25F37777"/>
    <w:rsid w:val="25F80BEF"/>
    <w:rsid w:val="2604087D"/>
    <w:rsid w:val="260929B3"/>
    <w:rsid w:val="262729DB"/>
    <w:rsid w:val="265D08F5"/>
    <w:rsid w:val="26833736"/>
    <w:rsid w:val="26A3777A"/>
    <w:rsid w:val="270218C6"/>
    <w:rsid w:val="27102E5E"/>
    <w:rsid w:val="277327DA"/>
    <w:rsid w:val="27846795"/>
    <w:rsid w:val="27BF15AE"/>
    <w:rsid w:val="27EB411E"/>
    <w:rsid w:val="280F46A2"/>
    <w:rsid w:val="28F14AAA"/>
    <w:rsid w:val="296205E8"/>
    <w:rsid w:val="29903B9B"/>
    <w:rsid w:val="2A187669"/>
    <w:rsid w:val="2A1F668A"/>
    <w:rsid w:val="2A69499D"/>
    <w:rsid w:val="2A73664D"/>
    <w:rsid w:val="2A834201"/>
    <w:rsid w:val="2B7C33F3"/>
    <w:rsid w:val="2B9E2BAB"/>
    <w:rsid w:val="2C091017"/>
    <w:rsid w:val="2C7164A6"/>
    <w:rsid w:val="2D007763"/>
    <w:rsid w:val="2D3A1340"/>
    <w:rsid w:val="2D616B06"/>
    <w:rsid w:val="2DE81100"/>
    <w:rsid w:val="2DEF64CC"/>
    <w:rsid w:val="2DFE4FBF"/>
    <w:rsid w:val="2EFC2F0B"/>
    <w:rsid w:val="2EFE0BDB"/>
    <w:rsid w:val="2F07146F"/>
    <w:rsid w:val="2F305F8A"/>
    <w:rsid w:val="2F3467D9"/>
    <w:rsid w:val="2F6259C4"/>
    <w:rsid w:val="2F827A5E"/>
    <w:rsid w:val="2F982E42"/>
    <w:rsid w:val="2FC20D6A"/>
    <w:rsid w:val="2FD61B58"/>
    <w:rsid w:val="302650B3"/>
    <w:rsid w:val="304F119F"/>
    <w:rsid w:val="3075353C"/>
    <w:rsid w:val="31063299"/>
    <w:rsid w:val="3161109D"/>
    <w:rsid w:val="31833929"/>
    <w:rsid w:val="31A70840"/>
    <w:rsid w:val="327E4671"/>
    <w:rsid w:val="32814119"/>
    <w:rsid w:val="32C91500"/>
    <w:rsid w:val="32DD31FD"/>
    <w:rsid w:val="32FF212E"/>
    <w:rsid w:val="33452B84"/>
    <w:rsid w:val="33604D90"/>
    <w:rsid w:val="337B4AD8"/>
    <w:rsid w:val="33E10EBA"/>
    <w:rsid w:val="341E3ACD"/>
    <w:rsid w:val="346239BA"/>
    <w:rsid w:val="34756830"/>
    <w:rsid w:val="34782C49"/>
    <w:rsid w:val="351110E2"/>
    <w:rsid w:val="3530593D"/>
    <w:rsid w:val="35713623"/>
    <w:rsid w:val="35731C8E"/>
    <w:rsid w:val="35A07995"/>
    <w:rsid w:val="36440851"/>
    <w:rsid w:val="365618E5"/>
    <w:rsid w:val="36C344B8"/>
    <w:rsid w:val="36D72B72"/>
    <w:rsid w:val="36DA1DD6"/>
    <w:rsid w:val="36E8395A"/>
    <w:rsid w:val="379C3687"/>
    <w:rsid w:val="37EB3DB8"/>
    <w:rsid w:val="38663170"/>
    <w:rsid w:val="389C60A9"/>
    <w:rsid w:val="3A227D51"/>
    <w:rsid w:val="3A2F0615"/>
    <w:rsid w:val="3A683CF4"/>
    <w:rsid w:val="3B03797B"/>
    <w:rsid w:val="3BB83F2C"/>
    <w:rsid w:val="3BC367C1"/>
    <w:rsid w:val="3BE07A88"/>
    <w:rsid w:val="3C9450C1"/>
    <w:rsid w:val="3CA803D8"/>
    <w:rsid w:val="3DD27E02"/>
    <w:rsid w:val="3DF14808"/>
    <w:rsid w:val="3E8D3B5F"/>
    <w:rsid w:val="3EE03D50"/>
    <w:rsid w:val="3F0E2962"/>
    <w:rsid w:val="3F735C9E"/>
    <w:rsid w:val="402167DB"/>
    <w:rsid w:val="40520794"/>
    <w:rsid w:val="41377F7D"/>
    <w:rsid w:val="416903A7"/>
    <w:rsid w:val="418A496E"/>
    <w:rsid w:val="41B94863"/>
    <w:rsid w:val="41D53D0D"/>
    <w:rsid w:val="42F205FF"/>
    <w:rsid w:val="433A6730"/>
    <w:rsid w:val="43BA29DA"/>
    <w:rsid w:val="4469669F"/>
    <w:rsid w:val="44AE507F"/>
    <w:rsid w:val="46252A99"/>
    <w:rsid w:val="46B22E05"/>
    <w:rsid w:val="46E746AD"/>
    <w:rsid w:val="46F801AE"/>
    <w:rsid w:val="47350E6C"/>
    <w:rsid w:val="47920C5A"/>
    <w:rsid w:val="47AA14A8"/>
    <w:rsid w:val="47D215BA"/>
    <w:rsid w:val="48330BA4"/>
    <w:rsid w:val="484C1412"/>
    <w:rsid w:val="485C6422"/>
    <w:rsid w:val="48684DC2"/>
    <w:rsid w:val="48D423AA"/>
    <w:rsid w:val="48EA489A"/>
    <w:rsid w:val="49064DD9"/>
    <w:rsid w:val="49455B97"/>
    <w:rsid w:val="49BD73EB"/>
    <w:rsid w:val="4A565917"/>
    <w:rsid w:val="4AAB04C6"/>
    <w:rsid w:val="4AB675C4"/>
    <w:rsid w:val="4B1E14E5"/>
    <w:rsid w:val="4B592EEF"/>
    <w:rsid w:val="4B785D74"/>
    <w:rsid w:val="4BE13907"/>
    <w:rsid w:val="4BF44DCB"/>
    <w:rsid w:val="4C32593C"/>
    <w:rsid w:val="4C891FD4"/>
    <w:rsid w:val="4C8D6025"/>
    <w:rsid w:val="4CAE18F7"/>
    <w:rsid w:val="4CDB2104"/>
    <w:rsid w:val="4CE62415"/>
    <w:rsid w:val="4D844CA2"/>
    <w:rsid w:val="4DF32114"/>
    <w:rsid w:val="4DF760BF"/>
    <w:rsid w:val="4E50267E"/>
    <w:rsid w:val="4E8A3F21"/>
    <w:rsid w:val="4F025AF6"/>
    <w:rsid w:val="4F531A9B"/>
    <w:rsid w:val="4F5F211C"/>
    <w:rsid w:val="4F8E7901"/>
    <w:rsid w:val="4FD03A76"/>
    <w:rsid w:val="5107796B"/>
    <w:rsid w:val="519B78A3"/>
    <w:rsid w:val="51C265BA"/>
    <w:rsid w:val="51DB4D42"/>
    <w:rsid w:val="51EB5B30"/>
    <w:rsid w:val="52CF3C7C"/>
    <w:rsid w:val="52DF4D0E"/>
    <w:rsid w:val="52EA7BC9"/>
    <w:rsid w:val="536F35A6"/>
    <w:rsid w:val="53B97272"/>
    <w:rsid w:val="54136627"/>
    <w:rsid w:val="54B03E76"/>
    <w:rsid w:val="54C61014"/>
    <w:rsid w:val="554379A2"/>
    <w:rsid w:val="55961E7F"/>
    <w:rsid w:val="55D20505"/>
    <w:rsid w:val="56504935"/>
    <w:rsid w:val="56B14DB5"/>
    <w:rsid w:val="56D46542"/>
    <w:rsid w:val="56E61DD1"/>
    <w:rsid w:val="576556E7"/>
    <w:rsid w:val="57D32DD0"/>
    <w:rsid w:val="582D08DF"/>
    <w:rsid w:val="588C6B97"/>
    <w:rsid w:val="58B32187"/>
    <w:rsid w:val="58CF63B2"/>
    <w:rsid w:val="59234368"/>
    <w:rsid w:val="59567CD3"/>
    <w:rsid w:val="59B960C5"/>
    <w:rsid w:val="5A527759"/>
    <w:rsid w:val="5A834B3B"/>
    <w:rsid w:val="5AAC2C1F"/>
    <w:rsid w:val="5B293C03"/>
    <w:rsid w:val="5B3062C7"/>
    <w:rsid w:val="5B98782B"/>
    <w:rsid w:val="5C076B8D"/>
    <w:rsid w:val="5C491F73"/>
    <w:rsid w:val="5C4A5F64"/>
    <w:rsid w:val="5C597F61"/>
    <w:rsid w:val="5C671565"/>
    <w:rsid w:val="5CCC18B7"/>
    <w:rsid w:val="5CDA33D6"/>
    <w:rsid w:val="5D800BB6"/>
    <w:rsid w:val="5D821CEB"/>
    <w:rsid w:val="5D9C5497"/>
    <w:rsid w:val="5E666035"/>
    <w:rsid w:val="5E762872"/>
    <w:rsid w:val="5E7D301B"/>
    <w:rsid w:val="5EAE58CA"/>
    <w:rsid w:val="5EC55E0B"/>
    <w:rsid w:val="5F8F4557"/>
    <w:rsid w:val="5FA647F3"/>
    <w:rsid w:val="5FD053D7"/>
    <w:rsid w:val="5FD7374F"/>
    <w:rsid w:val="609E3187"/>
    <w:rsid w:val="60A056E7"/>
    <w:rsid w:val="61897F29"/>
    <w:rsid w:val="620F51BF"/>
    <w:rsid w:val="62740BD9"/>
    <w:rsid w:val="62870A35"/>
    <w:rsid w:val="62A40357"/>
    <w:rsid w:val="63416D0D"/>
    <w:rsid w:val="63A807C2"/>
    <w:rsid w:val="63AD00BB"/>
    <w:rsid w:val="63D52F45"/>
    <w:rsid w:val="641649C3"/>
    <w:rsid w:val="64777082"/>
    <w:rsid w:val="64B96EE3"/>
    <w:rsid w:val="65321D1C"/>
    <w:rsid w:val="655F347A"/>
    <w:rsid w:val="6621372E"/>
    <w:rsid w:val="66285EA3"/>
    <w:rsid w:val="663F7966"/>
    <w:rsid w:val="66544CE6"/>
    <w:rsid w:val="6674653D"/>
    <w:rsid w:val="67461C8B"/>
    <w:rsid w:val="675B1D35"/>
    <w:rsid w:val="677D333A"/>
    <w:rsid w:val="67C33ACC"/>
    <w:rsid w:val="67CB129B"/>
    <w:rsid w:val="68326FEF"/>
    <w:rsid w:val="683729D8"/>
    <w:rsid w:val="685B7F95"/>
    <w:rsid w:val="69075638"/>
    <w:rsid w:val="69B62273"/>
    <w:rsid w:val="6A1364D0"/>
    <w:rsid w:val="6A244C92"/>
    <w:rsid w:val="6A2D7FEB"/>
    <w:rsid w:val="6A511EFA"/>
    <w:rsid w:val="6A893DC5"/>
    <w:rsid w:val="6AC03BFA"/>
    <w:rsid w:val="6AD71D05"/>
    <w:rsid w:val="6B940A4D"/>
    <w:rsid w:val="6BC043B8"/>
    <w:rsid w:val="6BC43C59"/>
    <w:rsid w:val="6C67530A"/>
    <w:rsid w:val="6D266F73"/>
    <w:rsid w:val="6DBB5A86"/>
    <w:rsid w:val="6DF14A1F"/>
    <w:rsid w:val="6DF9765E"/>
    <w:rsid w:val="6E8B016D"/>
    <w:rsid w:val="6EB6584E"/>
    <w:rsid w:val="6F3040D9"/>
    <w:rsid w:val="6F424616"/>
    <w:rsid w:val="6FB6182B"/>
    <w:rsid w:val="6FB619CF"/>
    <w:rsid w:val="6FDD7DBD"/>
    <w:rsid w:val="7086142A"/>
    <w:rsid w:val="70CE2DB0"/>
    <w:rsid w:val="716F6651"/>
    <w:rsid w:val="71BB2702"/>
    <w:rsid w:val="71BC3A02"/>
    <w:rsid w:val="72197FE1"/>
    <w:rsid w:val="725D01F5"/>
    <w:rsid w:val="726A6633"/>
    <w:rsid w:val="72833BB1"/>
    <w:rsid w:val="746A273C"/>
    <w:rsid w:val="7505543D"/>
    <w:rsid w:val="752A4247"/>
    <w:rsid w:val="76362EA6"/>
    <w:rsid w:val="763F2064"/>
    <w:rsid w:val="76AA651F"/>
    <w:rsid w:val="76AF1D88"/>
    <w:rsid w:val="7717074A"/>
    <w:rsid w:val="77302EC9"/>
    <w:rsid w:val="77693369"/>
    <w:rsid w:val="778B00FF"/>
    <w:rsid w:val="77CC339C"/>
    <w:rsid w:val="77EF1299"/>
    <w:rsid w:val="78424A1E"/>
    <w:rsid w:val="78880AE2"/>
    <w:rsid w:val="78957090"/>
    <w:rsid w:val="78B6564F"/>
    <w:rsid w:val="78D46652"/>
    <w:rsid w:val="78DC2D40"/>
    <w:rsid w:val="791C1087"/>
    <w:rsid w:val="791E7113"/>
    <w:rsid w:val="79501600"/>
    <w:rsid w:val="79582968"/>
    <w:rsid w:val="799E680F"/>
    <w:rsid w:val="79CB512B"/>
    <w:rsid w:val="79DE272E"/>
    <w:rsid w:val="7A615AB0"/>
    <w:rsid w:val="7A826E2D"/>
    <w:rsid w:val="7B051D26"/>
    <w:rsid w:val="7B637F83"/>
    <w:rsid w:val="7BDB6356"/>
    <w:rsid w:val="7C1914FD"/>
    <w:rsid w:val="7C296138"/>
    <w:rsid w:val="7C9537CE"/>
    <w:rsid w:val="7CE02C9B"/>
    <w:rsid w:val="7CE509D0"/>
    <w:rsid w:val="7CEE32FF"/>
    <w:rsid w:val="7DF67D98"/>
    <w:rsid w:val="7DFA7D8C"/>
    <w:rsid w:val="7E1F7CFC"/>
    <w:rsid w:val="7E2B33C0"/>
    <w:rsid w:val="7ED14F91"/>
    <w:rsid w:val="7EE7641A"/>
    <w:rsid w:val="7EFB200E"/>
    <w:rsid w:val="7F2F7F0A"/>
    <w:rsid w:val="7F673200"/>
    <w:rsid w:val="7F912972"/>
    <w:rsid w:val="7FCD6999"/>
    <w:rsid w:val="7FD341FD"/>
    <w:rsid w:val="7FF13411"/>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99" w:semiHidden="0" w:name="heading 3"/>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39" w:semiHidden="0" w:name="toc 1"/>
    <w:lsdException w:qFormat="1" w:unhideWhenUsed="0" w:uiPriority="39" w:semiHidden="0" w:name="toc 2"/>
    <w:lsdException w:qFormat="1" w:unhideWhenUsed="0" w:uiPriority="39" w:semiHidden="0" w:name="toc 3"/>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nhideWhenUsed="0" w:uiPriority="0" w:semiHidden="0" w:name="annotation text"/>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nhideWhenUsed="0" w:uiPriority="0" w:semiHidden="0" w:name="annotation reference"/>
    <w:lsdException w:uiPriority="99" w:name="line number" w:locked="1"/>
    <w:lsdException w:qFormat="1" w:unhideWhenUsed="0" w:uiPriority="0" w:semiHidden="0" w:name="page number"/>
    <w:lsdException w:uiPriority="99" w:name="endnote reference" w:locked="1"/>
    <w:lsdException w:uiPriority="99" w:name="endnote text" w:locked="1"/>
    <w:lsdException w:qFormat="1" w:uiPriority="99" w:name="table of authorities" w:locked="1"/>
    <w:lsdException w:uiPriority="99" w:name="macro" w:locked="1"/>
    <w:lsdException w:unhideWhenUsed="0" w:uiPriority="0" w:semiHidden="0" w:name="toa heading"/>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0" w:semiHidden="0" w:name="Body Text"/>
    <w:lsdException w:qFormat="1" w:unhideWhenUsed="0" w:uiPriority="0" w:semiHidden="0"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nhideWhenUsed="0" w:uiPriority="0" w:semiHidden="0" w:name="Date"/>
    <w:lsdException w:qFormat="1" w:unhideWhenUsed="0" w:uiPriority="0" w:semiHidden="0" w:name="Body Text First Indent"/>
    <w:lsdException w:qFormat="1" w:unhideWhenUsed="0" w:uiPriority="0" w:semiHidden="0" w:name="Body Text First Indent 2" w:locked="1"/>
    <w:lsdException w:uiPriority="99" w:name="Note Heading" w:locked="1"/>
    <w:lsdException w:uiPriority="99" w:name="Body Text 2" w:locked="1"/>
    <w:lsdException w:uiPriority="99" w:name="Body Text 3" w:locked="1"/>
    <w:lsdException w:unhideWhenUsed="0" w:uiPriority="0" w:semiHidden="0" w:name="Body Text Indent 2"/>
    <w:lsdException w:unhideWhenUsed="0" w:uiPriority="0" w:semiHidden="0" w:name="Body Text Indent 3"/>
    <w:lsdException w:uiPriority="99" w:name="Block Text" w:locked="1"/>
    <w:lsdException w:qFormat="1" w:unhideWhenUsed="0" w:uiPriority="99" w:semiHidden="0" w:name="Hyperlink"/>
    <w:lsdException w:qFormat="1" w:uiPriority="99" w:name="FollowedHyperlink" w:locked="1"/>
    <w:lsdException w:qFormat="1" w:unhideWhenUsed="0" w:uiPriority="22"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iPriority="99" w:name="E-mail Signature" w:locked="1"/>
    <w:lsdException w:qFormat="1" w:unhideWhenUsed="0" w:uiPriority="0" w:semiHidden="0" w:name="Normal (Web)"/>
    <w:lsdException w:qFormat="1" w:uiPriority="99" w:name="HTML Acronym" w:locked="1"/>
    <w:lsdException w:uiPriority="99" w:name="HTML Address" w:locked="1"/>
    <w:lsdException w:qFormat="1" w:uiPriority="99" w:name="HTML Cite" w:locked="1"/>
    <w:lsdException w:qFormat="1" w:uiPriority="99" w:name="HTML Code" w:locked="1"/>
    <w:lsdException w:qFormat="1" w:uiPriority="99" w:name="HTML Definition" w:locked="1"/>
    <w:lsdException w:qFormat="1" w:uiPriority="99" w:name="HTML Keyboard" w:locked="1"/>
    <w:lsdException w:uiPriority="99" w:name="HTML Preformatted" w:locked="1"/>
    <w:lsdException w:qFormat="1" w:uiPriority="99" w:name="HTML Sample" w:locked="1"/>
    <w:lsdException w:qFormat="1" w:uiPriority="99" w:name="HTML Typewriter" w:locked="1"/>
    <w:lsdException w:qFormat="1" w:uiPriority="99" w:name="HTML Variable" w:locked="1"/>
    <w:lsdException w:qFormat="1" w:uiPriority="99" w:name="Normal Table"/>
    <w:lsdException w:unhideWhenUsed="0" w:uiPriority="0"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0" w:semiHidden="0"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3"/>
    <w:qFormat/>
    <w:uiPriority w:val="99"/>
    <w:pPr>
      <w:keepNext/>
      <w:outlineLvl w:val="0"/>
    </w:pPr>
    <w:rPr>
      <w:rFonts w:ascii="宋体"/>
      <w:sz w:val="28"/>
    </w:rPr>
  </w:style>
  <w:style w:type="paragraph" w:styleId="3">
    <w:name w:val="heading 2"/>
    <w:basedOn w:val="1"/>
    <w:next w:val="1"/>
    <w:link w:val="34"/>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5"/>
    <w:qFormat/>
    <w:uiPriority w:val="99"/>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table of authorities"/>
    <w:basedOn w:val="1"/>
    <w:next w:val="1"/>
    <w:semiHidden/>
    <w:unhideWhenUsed/>
    <w:qFormat/>
    <w:locked/>
    <w:uiPriority w:val="99"/>
    <w:pPr>
      <w:ind w:left="420" w:leftChars="200"/>
    </w:pPr>
  </w:style>
  <w:style w:type="paragraph" w:styleId="6">
    <w:name w:val="Body Text"/>
    <w:basedOn w:val="1"/>
    <w:next w:val="1"/>
    <w:qFormat/>
    <w:uiPriority w:val="0"/>
    <w:pPr>
      <w:spacing w:after="120"/>
    </w:pPr>
  </w:style>
  <w:style w:type="paragraph" w:styleId="7">
    <w:name w:val="Body Text Indent"/>
    <w:basedOn w:val="1"/>
    <w:next w:val="1"/>
    <w:qFormat/>
    <w:locked/>
    <w:uiPriority w:val="0"/>
    <w:pPr>
      <w:autoSpaceDE w:val="0"/>
      <w:autoSpaceDN w:val="0"/>
      <w:adjustRightInd w:val="0"/>
      <w:spacing w:line="360" w:lineRule="auto"/>
      <w:ind w:firstLine="480"/>
      <w:jc w:val="left"/>
    </w:pPr>
    <w:rPr>
      <w:rFonts w:ascii="宋体" w:hAnsi="宋体"/>
      <w:kern w:val="0"/>
      <w:sz w:val="24"/>
    </w:rPr>
  </w:style>
  <w:style w:type="paragraph" w:styleId="8">
    <w:name w:val="toc 3"/>
    <w:basedOn w:val="1"/>
    <w:next w:val="1"/>
    <w:qFormat/>
    <w:uiPriority w:val="39"/>
    <w:pPr>
      <w:ind w:left="840" w:leftChars="400"/>
    </w:pPr>
    <w:rPr>
      <w:rFonts w:eastAsia="仿宋"/>
    </w:rPr>
  </w:style>
  <w:style w:type="paragraph" w:styleId="9">
    <w:name w:val="Balloon Text"/>
    <w:basedOn w:val="1"/>
    <w:link w:val="52"/>
    <w:qFormat/>
    <w:uiPriority w:val="0"/>
    <w:rPr>
      <w:sz w:val="18"/>
      <w:szCs w:val="18"/>
    </w:rPr>
  </w:style>
  <w:style w:type="paragraph" w:styleId="10">
    <w:name w:val="footer"/>
    <w:basedOn w:val="1"/>
    <w:link w:val="48"/>
    <w:qFormat/>
    <w:uiPriority w:val="99"/>
    <w:pPr>
      <w:tabs>
        <w:tab w:val="center" w:pos="4153"/>
        <w:tab w:val="right" w:pos="8306"/>
      </w:tabs>
      <w:snapToGrid w:val="0"/>
      <w:jc w:val="left"/>
    </w:pPr>
    <w:rPr>
      <w:sz w:val="18"/>
      <w:szCs w:val="18"/>
    </w:rPr>
  </w:style>
  <w:style w:type="paragraph" w:styleId="11">
    <w:name w:val="header"/>
    <w:basedOn w:val="1"/>
    <w:link w:val="47"/>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39"/>
    <w:rPr>
      <w:rFonts w:eastAsia="仿宋"/>
    </w:rPr>
  </w:style>
  <w:style w:type="paragraph" w:styleId="13">
    <w:name w:val="toc 2"/>
    <w:basedOn w:val="1"/>
    <w:next w:val="1"/>
    <w:qFormat/>
    <w:uiPriority w:val="39"/>
    <w:pPr>
      <w:ind w:left="420" w:leftChars="200"/>
    </w:pPr>
    <w:rPr>
      <w:rFonts w:eastAsia="仿宋"/>
    </w:rPr>
  </w:style>
  <w:style w:type="paragraph" w:styleId="14">
    <w:name w:val="Normal (Web)"/>
    <w:basedOn w:val="1"/>
    <w:qFormat/>
    <w:uiPriority w:val="0"/>
    <w:pPr>
      <w:spacing w:beforeAutospacing="1" w:afterAutospacing="1"/>
      <w:jc w:val="left"/>
    </w:pPr>
    <w:rPr>
      <w:kern w:val="0"/>
      <w:sz w:val="24"/>
    </w:rPr>
  </w:style>
  <w:style w:type="paragraph" w:styleId="15">
    <w:name w:val="Body Text First Indent"/>
    <w:basedOn w:val="6"/>
    <w:qFormat/>
    <w:uiPriority w:val="0"/>
    <w:pPr>
      <w:ind w:firstLine="420" w:firstLineChars="100"/>
    </w:pPr>
  </w:style>
  <w:style w:type="paragraph" w:styleId="16">
    <w:name w:val="Body Text First Indent 2"/>
    <w:basedOn w:val="7"/>
    <w:qFormat/>
    <w:locked/>
    <w:uiPriority w:val="0"/>
    <w:pPr>
      <w:autoSpaceDE/>
      <w:autoSpaceDN/>
      <w:adjustRightInd/>
      <w:spacing w:after="120" w:afterLines="0" w:line="240" w:lineRule="auto"/>
      <w:ind w:left="420" w:leftChars="200" w:firstLine="420" w:firstLineChars="200"/>
      <w:jc w:val="both"/>
    </w:pPr>
    <w:rPr>
      <w:rFonts w:ascii="Times New Roman" w:hAnsi="Times New Roman"/>
      <w:kern w:val="2"/>
      <w:sz w:val="21"/>
    </w:rPr>
  </w:style>
  <w:style w:type="table" w:styleId="18">
    <w:name w:val="Table Grid"/>
    <w:basedOn w:val="17"/>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Strong"/>
    <w:basedOn w:val="19"/>
    <w:qFormat/>
    <w:locked/>
    <w:uiPriority w:val="22"/>
    <w:rPr>
      <w:b/>
      <w:bCs/>
    </w:rPr>
  </w:style>
  <w:style w:type="character" w:styleId="21">
    <w:name w:val="page number"/>
    <w:qFormat/>
    <w:uiPriority w:val="0"/>
  </w:style>
  <w:style w:type="character" w:styleId="22">
    <w:name w:val="FollowedHyperlink"/>
    <w:basedOn w:val="19"/>
    <w:semiHidden/>
    <w:unhideWhenUsed/>
    <w:qFormat/>
    <w:locked/>
    <w:uiPriority w:val="99"/>
    <w:rPr>
      <w:color w:val="800080"/>
      <w:u w:val="none"/>
    </w:rPr>
  </w:style>
  <w:style w:type="character" w:styleId="23">
    <w:name w:val="Emphasis"/>
    <w:basedOn w:val="19"/>
    <w:qFormat/>
    <w:locked/>
    <w:uiPriority w:val="20"/>
    <w:rPr>
      <w:b/>
      <w:bCs/>
    </w:rPr>
  </w:style>
  <w:style w:type="character" w:styleId="24">
    <w:name w:val="HTML Definition"/>
    <w:basedOn w:val="19"/>
    <w:semiHidden/>
    <w:unhideWhenUsed/>
    <w:qFormat/>
    <w:locked/>
    <w:uiPriority w:val="99"/>
  </w:style>
  <w:style w:type="character" w:styleId="25">
    <w:name w:val="HTML Typewriter"/>
    <w:basedOn w:val="19"/>
    <w:semiHidden/>
    <w:unhideWhenUsed/>
    <w:qFormat/>
    <w:locked/>
    <w:uiPriority w:val="99"/>
    <w:rPr>
      <w:rFonts w:hint="default" w:ascii="monospace" w:hAnsi="monospace" w:eastAsia="monospace" w:cs="monospace"/>
      <w:sz w:val="20"/>
    </w:rPr>
  </w:style>
  <w:style w:type="character" w:styleId="26">
    <w:name w:val="HTML Acronym"/>
    <w:basedOn w:val="19"/>
    <w:semiHidden/>
    <w:unhideWhenUsed/>
    <w:qFormat/>
    <w:locked/>
    <w:uiPriority w:val="99"/>
  </w:style>
  <w:style w:type="character" w:styleId="27">
    <w:name w:val="HTML Variable"/>
    <w:basedOn w:val="19"/>
    <w:semiHidden/>
    <w:unhideWhenUsed/>
    <w:qFormat/>
    <w:locked/>
    <w:uiPriority w:val="99"/>
  </w:style>
  <w:style w:type="character" w:styleId="28">
    <w:name w:val="Hyperlink"/>
    <w:basedOn w:val="19"/>
    <w:qFormat/>
    <w:uiPriority w:val="99"/>
    <w:rPr>
      <w:color w:val="0000FF"/>
      <w:u w:val="none"/>
    </w:rPr>
  </w:style>
  <w:style w:type="character" w:styleId="29">
    <w:name w:val="HTML Code"/>
    <w:basedOn w:val="19"/>
    <w:semiHidden/>
    <w:unhideWhenUsed/>
    <w:qFormat/>
    <w:locked/>
    <w:uiPriority w:val="99"/>
    <w:rPr>
      <w:rFonts w:hint="default" w:ascii="monospace" w:hAnsi="monospace" w:eastAsia="monospace" w:cs="monospace"/>
      <w:sz w:val="20"/>
    </w:rPr>
  </w:style>
  <w:style w:type="character" w:styleId="30">
    <w:name w:val="HTML Cite"/>
    <w:basedOn w:val="19"/>
    <w:semiHidden/>
    <w:unhideWhenUsed/>
    <w:qFormat/>
    <w:locked/>
    <w:uiPriority w:val="99"/>
  </w:style>
  <w:style w:type="character" w:styleId="31">
    <w:name w:val="HTML Keyboard"/>
    <w:basedOn w:val="19"/>
    <w:semiHidden/>
    <w:unhideWhenUsed/>
    <w:qFormat/>
    <w:locked/>
    <w:uiPriority w:val="99"/>
    <w:rPr>
      <w:rFonts w:ascii="monospace" w:hAnsi="monospace" w:eastAsia="monospace" w:cs="monospace"/>
      <w:sz w:val="20"/>
    </w:rPr>
  </w:style>
  <w:style w:type="character" w:styleId="32">
    <w:name w:val="HTML Sample"/>
    <w:basedOn w:val="19"/>
    <w:semiHidden/>
    <w:unhideWhenUsed/>
    <w:qFormat/>
    <w:locked/>
    <w:uiPriority w:val="99"/>
    <w:rPr>
      <w:rFonts w:hint="default" w:ascii="monospace" w:hAnsi="monospace" w:eastAsia="monospace" w:cs="monospace"/>
    </w:rPr>
  </w:style>
  <w:style w:type="character" w:customStyle="1" w:styleId="33">
    <w:name w:val="标题 1 Char"/>
    <w:basedOn w:val="19"/>
    <w:link w:val="2"/>
    <w:qFormat/>
    <w:locked/>
    <w:uiPriority w:val="99"/>
    <w:rPr>
      <w:rFonts w:ascii="宋体" w:cs="Times New Roman"/>
      <w:kern w:val="2"/>
      <w:sz w:val="28"/>
    </w:rPr>
  </w:style>
  <w:style w:type="character" w:customStyle="1" w:styleId="34">
    <w:name w:val="标题 2 Char"/>
    <w:basedOn w:val="19"/>
    <w:link w:val="3"/>
    <w:semiHidden/>
    <w:qFormat/>
    <w:locked/>
    <w:uiPriority w:val="99"/>
    <w:rPr>
      <w:rFonts w:ascii="Cambria" w:hAnsi="Cambria" w:eastAsia="宋体" w:cs="Times New Roman"/>
      <w:b/>
      <w:bCs/>
      <w:sz w:val="32"/>
      <w:szCs w:val="32"/>
    </w:rPr>
  </w:style>
  <w:style w:type="character" w:customStyle="1" w:styleId="35">
    <w:name w:val="标题 3 Char"/>
    <w:basedOn w:val="19"/>
    <w:link w:val="4"/>
    <w:semiHidden/>
    <w:qFormat/>
    <w:locked/>
    <w:uiPriority w:val="99"/>
    <w:rPr>
      <w:rFonts w:cs="Times New Roman"/>
      <w:b/>
      <w:bCs/>
      <w:sz w:val="32"/>
      <w:szCs w:val="32"/>
    </w:rPr>
  </w:style>
  <w:style w:type="paragraph" w:customStyle="1" w:styleId="36">
    <w:name w:val="1文件名"/>
    <w:basedOn w:val="1"/>
    <w:qFormat/>
    <w:uiPriority w:val="0"/>
    <w:pPr>
      <w:snapToGrid w:val="0"/>
      <w:spacing w:line="360" w:lineRule="auto"/>
      <w:jc w:val="center"/>
    </w:pPr>
    <w:rPr>
      <w:rFonts w:hint="eastAsia" w:ascii="仿宋" w:hAnsi="仿宋" w:eastAsia="仿宋" w:cs="仿宋"/>
      <w:sz w:val="80"/>
      <w:szCs w:val="80"/>
    </w:rPr>
  </w:style>
  <w:style w:type="paragraph" w:customStyle="1" w:styleId="37">
    <w:name w:val="2项目名称、编号"/>
    <w:basedOn w:val="1"/>
    <w:qFormat/>
    <w:uiPriority w:val="0"/>
    <w:pPr>
      <w:ind w:firstLine="1285" w:firstLineChars="400"/>
    </w:pPr>
    <w:rPr>
      <w:rFonts w:hint="eastAsia" w:ascii="仿宋" w:hAnsi="仿宋" w:eastAsia="仿宋" w:cs="仿宋"/>
      <w:b/>
      <w:bCs/>
      <w:sz w:val="32"/>
    </w:rPr>
  </w:style>
  <w:style w:type="paragraph" w:customStyle="1" w:styleId="38">
    <w:name w:val="3公司名"/>
    <w:basedOn w:val="1"/>
    <w:qFormat/>
    <w:uiPriority w:val="0"/>
    <w:pPr>
      <w:spacing w:line="480" w:lineRule="auto"/>
      <w:jc w:val="center"/>
    </w:pPr>
    <w:rPr>
      <w:rFonts w:hint="eastAsia" w:ascii="仿宋" w:hAnsi="仿宋" w:eastAsia="仿宋" w:cs="仿宋"/>
      <w:b/>
      <w:sz w:val="36"/>
    </w:rPr>
  </w:style>
  <w:style w:type="paragraph" w:customStyle="1" w:styleId="39">
    <w:name w:val="4目录"/>
    <w:basedOn w:val="1"/>
    <w:qFormat/>
    <w:uiPriority w:val="0"/>
    <w:pPr>
      <w:spacing w:line="480" w:lineRule="auto"/>
      <w:jc w:val="center"/>
    </w:pPr>
    <w:rPr>
      <w:rFonts w:hint="eastAsia" w:ascii="仿宋" w:hAnsi="仿宋" w:eastAsia="仿宋" w:cs="仿宋"/>
      <w:bCs/>
      <w:sz w:val="52"/>
    </w:rPr>
  </w:style>
  <w:style w:type="paragraph" w:customStyle="1" w:styleId="40">
    <w:name w:val="5一级标题"/>
    <w:basedOn w:val="5"/>
    <w:qFormat/>
    <w:uiPriority w:val="0"/>
    <w:pPr>
      <w:tabs>
        <w:tab w:val="right" w:leader="dot" w:pos="9913"/>
      </w:tabs>
      <w:spacing w:line="360" w:lineRule="auto"/>
      <w:ind w:left="0" w:leftChars="0"/>
      <w:jc w:val="center"/>
      <w:outlineLvl w:val="0"/>
    </w:pPr>
    <w:rPr>
      <w:rFonts w:hint="eastAsia" w:ascii="仿宋" w:hAnsi="仿宋" w:eastAsia="仿宋" w:cs="仿宋"/>
      <w:b/>
      <w:bCs/>
      <w:sz w:val="32"/>
    </w:rPr>
  </w:style>
  <w:style w:type="paragraph" w:customStyle="1" w:styleId="41">
    <w:name w:val="6二级标题-居左"/>
    <w:basedOn w:val="1"/>
    <w:next w:val="1"/>
    <w:qFormat/>
    <w:uiPriority w:val="0"/>
    <w:pPr>
      <w:keepNext/>
      <w:keepLines/>
      <w:spacing w:before="100" w:beforeLines="100" w:line="360" w:lineRule="auto"/>
      <w:ind w:firstLine="482" w:firstLineChars="200"/>
      <w:outlineLvl w:val="1"/>
    </w:pPr>
    <w:rPr>
      <w:rFonts w:hint="eastAsia" w:ascii="仿宋" w:hAnsi="仿宋" w:eastAsia="仿宋" w:cs="仿宋"/>
      <w:b/>
      <w:sz w:val="24"/>
      <w:szCs w:val="24"/>
    </w:rPr>
  </w:style>
  <w:style w:type="paragraph" w:customStyle="1" w:styleId="42">
    <w:name w:val="6二级标题-居中"/>
    <w:basedOn w:val="1"/>
    <w:next w:val="1"/>
    <w:qFormat/>
    <w:uiPriority w:val="0"/>
    <w:pPr>
      <w:keepNext/>
      <w:keepLines/>
      <w:spacing w:before="100" w:beforeLines="100" w:line="360" w:lineRule="auto"/>
      <w:jc w:val="center"/>
      <w:outlineLvl w:val="1"/>
    </w:pPr>
    <w:rPr>
      <w:rFonts w:hint="eastAsia" w:ascii="仿宋" w:hAnsi="仿宋" w:eastAsia="仿宋" w:cs="仿宋"/>
      <w:b/>
      <w:bCs/>
      <w:sz w:val="24"/>
      <w:szCs w:val="24"/>
    </w:rPr>
  </w:style>
  <w:style w:type="paragraph" w:customStyle="1" w:styleId="43">
    <w:name w:val="7三级标题-居左1"/>
    <w:basedOn w:val="1"/>
    <w:qFormat/>
    <w:uiPriority w:val="0"/>
    <w:pPr>
      <w:adjustRightInd w:val="0"/>
      <w:snapToGrid w:val="0"/>
      <w:spacing w:before="100" w:beforeLines="100" w:line="360" w:lineRule="auto"/>
      <w:outlineLvl w:val="2"/>
    </w:pPr>
    <w:rPr>
      <w:rFonts w:hint="eastAsia" w:ascii="仿宋" w:hAnsi="仿宋" w:eastAsia="仿宋" w:cs="仿宋"/>
      <w:b/>
      <w:bCs/>
      <w:sz w:val="24"/>
      <w:szCs w:val="24"/>
    </w:rPr>
  </w:style>
  <w:style w:type="paragraph" w:customStyle="1" w:styleId="44">
    <w:name w:val="6二级标题-居左-不上目录"/>
    <w:basedOn w:val="1"/>
    <w:qFormat/>
    <w:uiPriority w:val="0"/>
    <w:pPr>
      <w:keepNext/>
      <w:keepLines/>
      <w:spacing w:before="100" w:beforeLines="100" w:line="360" w:lineRule="auto"/>
      <w:ind w:firstLine="482" w:firstLineChars="200"/>
    </w:pPr>
    <w:rPr>
      <w:rFonts w:hint="eastAsia" w:ascii="仿宋" w:hAnsi="仿宋" w:eastAsia="仿宋" w:cs="仿宋"/>
      <w:b/>
      <w:sz w:val="24"/>
      <w:szCs w:val="24"/>
    </w:rPr>
  </w:style>
  <w:style w:type="paragraph" w:customStyle="1" w:styleId="45">
    <w:name w:val="8正文"/>
    <w:basedOn w:val="1"/>
    <w:qFormat/>
    <w:uiPriority w:val="0"/>
    <w:pPr>
      <w:spacing w:line="360" w:lineRule="auto"/>
      <w:ind w:firstLine="480" w:firstLineChars="200"/>
    </w:pPr>
    <w:rPr>
      <w:rFonts w:hint="eastAsia" w:ascii="仿宋" w:hAnsi="仿宋" w:eastAsia="仿宋" w:cs="仿宋"/>
      <w:sz w:val="24"/>
      <w:szCs w:val="24"/>
    </w:rPr>
  </w:style>
  <w:style w:type="character" w:customStyle="1" w:styleId="46">
    <w:name w:val="mini-outputtext1"/>
    <w:basedOn w:val="19"/>
    <w:qFormat/>
    <w:uiPriority w:val="0"/>
  </w:style>
  <w:style w:type="character" w:customStyle="1" w:styleId="47">
    <w:name w:val="页眉 Char"/>
    <w:basedOn w:val="19"/>
    <w:link w:val="11"/>
    <w:qFormat/>
    <w:uiPriority w:val="99"/>
    <w:rPr>
      <w:kern w:val="2"/>
      <w:sz w:val="18"/>
      <w:szCs w:val="18"/>
    </w:rPr>
  </w:style>
  <w:style w:type="character" w:customStyle="1" w:styleId="48">
    <w:name w:val="页脚 Char"/>
    <w:basedOn w:val="19"/>
    <w:link w:val="10"/>
    <w:qFormat/>
    <w:uiPriority w:val="99"/>
    <w:rPr>
      <w:kern w:val="2"/>
      <w:sz w:val="18"/>
      <w:szCs w:val="18"/>
    </w:rPr>
  </w:style>
  <w:style w:type="paragraph" w:customStyle="1" w:styleId="49">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character" w:customStyle="1" w:styleId="50">
    <w:name w:val="标题 2 字符"/>
    <w:qFormat/>
    <w:uiPriority w:val="0"/>
    <w:rPr>
      <w:rFonts w:ascii="Arial" w:hAnsi="Arial" w:eastAsia="黑体"/>
      <w:b/>
      <w:bCs/>
      <w:kern w:val="2"/>
      <w:sz w:val="32"/>
      <w:szCs w:val="32"/>
    </w:rPr>
  </w:style>
  <w:style w:type="paragraph" w:styleId="51">
    <w:name w:val="List Paragraph"/>
    <w:basedOn w:val="1"/>
    <w:qFormat/>
    <w:uiPriority w:val="34"/>
    <w:pPr>
      <w:ind w:firstLine="420" w:firstLineChars="200"/>
    </w:pPr>
    <w:rPr>
      <w:rFonts w:asciiTheme="minorHAnsi" w:hAnsiTheme="minorHAnsi" w:eastAsiaTheme="minorEastAsia" w:cstheme="minorBidi"/>
      <w:szCs w:val="22"/>
    </w:rPr>
  </w:style>
  <w:style w:type="character" w:customStyle="1" w:styleId="52">
    <w:name w:val="批注框文本 Char"/>
    <w:basedOn w:val="19"/>
    <w:link w:val="9"/>
    <w:qFormat/>
    <w:uiPriority w:val="0"/>
    <w:rPr>
      <w:kern w:val="2"/>
      <w:sz w:val="18"/>
      <w:szCs w:val="18"/>
    </w:rPr>
  </w:style>
  <w:style w:type="paragraph" w:customStyle="1" w:styleId="53">
    <w:name w:val="Body text|1"/>
    <w:basedOn w:val="1"/>
    <w:qFormat/>
    <w:uiPriority w:val="0"/>
    <w:pPr>
      <w:kinsoku w:val="0"/>
      <w:autoSpaceDE w:val="0"/>
      <w:autoSpaceDN w:val="0"/>
      <w:adjustRightInd w:val="0"/>
      <w:snapToGrid w:val="0"/>
      <w:spacing w:line="432" w:lineRule="auto"/>
      <w:ind w:firstLine="400"/>
      <w:jc w:val="left"/>
      <w:textAlignment w:val="baseline"/>
    </w:pPr>
    <w:rPr>
      <w:rFonts w:ascii="宋体" w:hAnsi="宋体" w:cs="宋体"/>
      <w:snapToGrid w:val="0"/>
      <w:color w:val="000000"/>
      <w:kern w:val="0"/>
      <w:sz w:val="30"/>
      <w:szCs w:val="30"/>
      <w:lang w:val="zh-TW" w:eastAsia="zh-TW" w:bidi="zh-TW"/>
    </w:rPr>
  </w:style>
  <w:style w:type="paragraph" w:customStyle="1" w:styleId="54">
    <w:name w:val="Body text|2"/>
    <w:basedOn w:val="1"/>
    <w:qFormat/>
    <w:uiPriority w:val="0"/>
    <w:pPr>
      <w:kinsoku w:val="0"/>
      <w:autoSpaceDE w:val="0"/>
      <w:autoSpaceDN w:val="0"/>
      <w:adjustRightInd w:val="0"/>
      <w:snapToGrid w:val="0"/>
      <w:jc w:val="left"/>
      <w:textAlignment w:val="baseline"/>
    </w:pPr>
    <w:rPr>
      <w:rFonts w:ascii="宋体" w:hAnsi="宋体" w:cs="宋体"/>
      <w:snapToGrid w:val="0"/>
      <w:color w:val="000000"/>
      <w:kern w:val="0"/>
      <w:sz w:val="26"/>
      <w:szCs w:val="26"/>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theme" Target="theme/theme1.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997B75-6588-4B19-B0FA-80044B6E155F}">
  <ds:schemaRefs/>
</ds:datastoreItem>
</file>

<file path=docProps/app.xml><?xml version="1.0" encoding="utf-8"?>
<Properties xmlns="http://schemas.openxmlformats.org/officeDocument/2006/extended-properties" xmlns:vt="http://schemas.openxmlformats.org/officeDocument/2006/docPropsVTypes">
  <Template>Normal</Template>
  <Company>江西省机电设备招标公司</Company>
  <Pages>43</Pages>
  <Words>17670</Words>
  <Characters>18705</Characters>
  <Lines>76</Lines>
  <Paragraphs>62</Paragraphs>
  <TotalTime>0</TotalTime>
  <ScaleCrop>false</ScaleCrop>
  <LinksUpToDate>false</LinksUpToDate>
  <CharactersWithSpaces>19208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2024-12-13T10:57:00Z</dcterms:created>
  <dc:creator>hxw</dc:creator>
  <cp:lastModifiedBy>Jingjing</cp:lastModifiedBy>
  <cp:lastPrinted>2025-01-02T06:45:00Z</cp:lastPrinted>
  <dcterms:modified xsi:type="dcterms:W3CDTF">2025-09-11T07:08:49Z</dcterms:modified>
  <dc:title>竞争性谈判文件</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033537D8217C4B9387531F609286398B_13</vt:lpwstr>
  </property>
  <property fmtid="{D5CDD505-2E9C-101B-9397-08002B2CF9AE}" pid="4" name="KSOTemplateDocerSaveRecord">
    <vt:lpwstr>eyJoZGlkIjoiMzEwNTM5NzYwMDRjMzkwZTVkZjY2ODkwMGIxNGU0OTUiLCJ1c2VySWQiOiI4NTQzMjA5MjgifQ==</vt:lpwstr>
  </property>
</Properties>
</file>